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CHƯƠNG I: QUY ĐỊNH CHUNG</w:t>
      </w:r>
    </w:p>
    <w:p>
      <w:r>
        <w:t>Điều 1. Phạm vi điều chỉnh</w:t>
      </w:r>
    </w:p>
    <w:p>
      <w:r>
        <w:t>Văn bản này quy định về việc kiểm tra hệ thống.</w:t>
      </w:r>
    </w:p>
    <w:p>
      <w:r>
        <w:t>Điều 2. Đối tượng áp dụng</w:t>
      </w:r>
    </w:p>
    <w:p>
      <w:r>
        <w:t>1. Các hệ thống RAG.</w:t>
      </w:r>
    </w:p>
    <w:p>
      <w:r>
        <w:t>2. Các kỹ sư 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