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8B78" w14:textId="77777777" w:rsidR="000A3C18" w:rsidRPr="000A7D1D" w:rsidRDefault="000A3C18" w:rsidP="000A3C18">
      <w:pPr>
        <w:pStyle w:val="Titre2"/>
      </w:pPr>
      <w:r>
        <w:t>3. Prévoir. Les fondements épistémologiques prévisionnistes de la MA et des FGA</w:t>
      </w:r>
    </w:p>
    <w:p w14:paraId="4F6B4778" w14:textId="77777777" w:rsidR="000A3C18" w:rsidRDefault="000A3C18" w:rsidP="000A3C18">
      <w:pPr>
        <w:spacing w:line="276" w:lineRule="auto"/>
        <w:ind w:firstLine="708"/>
        <w:jc w:val="both"/>
        <w:rPr>
          <w:rFonts w:cs="Times New Roman"/>
          <w:sz w:val="24"/>
          <w:szCs w:val="24"/>
        </w:rPr>
      </w:pPr>
    </w:p>
    <w:p w14:paraId="61A1AE5E" w14:textId="77777777" w:rsidR="000A3C18" w:rsidRDefault="000A3C18" w:rsidP="000A3C18">
      <w:pPr>
        <w:spacing w:line="276" w:lineRule="auto"/>
        <w:ind w:firstLine="708"/>
        <w:jc w:val="both"/>
        <w:rPr>
          <w:rFonts w:cs="Times New Roman"/>
          <w:sz w:val="24"/>
          <w:szCs w:val="24"/>
        </w:rPr>
      </w:pPr>
      <w:r>
        <w:rPr>
          <w:rFonts w:cs="Times New Roman"/>
          <w:sz w:val="24"/>
          <w:szCs w:val="24"/>
        </w:rPr>
        <w:t xml:space="preserve">Les idées de migration ou de flux de gènes assistés pourraient s’appeler migrations et flux de gènes d’anticipation, si on les caractérisait par leur fondement épistémologique plutôt que par le sens éthique, « d’assistance », qu’elles se proposent. Elles reposent en effet sur </w:t>
      </w:r>
      <w:proofErr w:type="spellStart"/>
      <w:r>
        <w:rPr>
          <w:rFonts w:cs="Times New Roman"/>
          <w:sz w:val="24"/>
          <w:szCs w:val="24"/>
        </w:rPr>
        <w:t>sur</w:t>
      </w:r>
      <w:proofErr w:type="spellEnd"/>
      <w:r>
        <w:rPr>
          <w:rFonts w:cs="Times New Roman"/>
          <w:sz w:val="24"/>
          <w:szCs w:val="24"/>
        </w:rPr>
        <w:t xml:space="preserve"> des prévisions, lesquelles font partie du champ en plein essor des prospectives environnementales, dont l’ouvrage </w:t>
      </w:r>
      <w:r w:rsidRPr="00787066">
        <w:rPr>
          <w:rFonts w:cs="Times New Roman"/>
          <w:i/>
          <w:sz w:val="24"/>
          <w:szCs w:val="24"/>
        </w:rPr>
        <w:t>Les écologies futures</w:t>
      </w:r>
      <w:r>
        <w:rPr>
          <w:rFonts w:cs="Times New Roman"/>
          <w:sz w:val="24"/>
          <w:szCs w:val="24"/>
        </w:rPr>
        <w:t xml:space="preserve">, dirigé par </w:t>
      </w:r>
      <w:commentRangeStart w:id="0"/>
      <w:r>
        <w:rPr>
          <w:rFonts w:cs="Times New Roman"/>
          <w:sz w:val="24"/>
          <w:szCs w:val="24"/>
        </w:rPr>
        <w:t>Laurent Mermet</w:t>
      </w:r>
      <w:commentRangeEnd w:id="0"/>
      <w:r w:rsidR="004506EB">
        <w:rPr>
          <w:rStyle w:val="Marquedecommentaire"/>
        </w:rPr>
        <w:commentReference w:id="0"/>
      </w:r>
      <w:r>
        <w:rPr>
          <w:rFonts w:cs="Times New Roman"/>
          <w:sz w:val="24"/>
          <w:szCs w:val="24"/>
        </w:rPr>
        <w:t>, prenait acte dès 2005. Je décrirai ici de quelle(s) manière(s) ces prévisions procèdent, avant d’en exposer quelques limites et critiques.</w:t>
      </w:r>
    </w:p>
    <w:p w14:paraId="12AB3BF2" w14:textId="77777777" w:rsidR="000A3C18" w:rsidRDefault="000A3C18" w:rsidP="000A3C18">
      <w:pPr>
        <w:spacing w:line="276" w:lineRule="auto"/>
        <w:rPr>
          <w:rFonts w:cs="Times New Roman"/>
          <w:sz w:val="24"/>
          <w:szCs w:val="24"/>
        </w:rPr>
      </w:pPr>
    </w:p>
    <w:p w14:paraId="4E2766B0" w14:textId="77777777" w:rsidR="000A3C18" w:rsidRDefault="000A3C18" w:rsidP="000A3C18">
      <w:pPr>
        <w:pStyle w:val="Titre3"/>
      </w:pPr>
      <w:r>
        <w:t>Manières de prévoir</w:t>
      </w:r>
    </w:p>
    <w:p w14:paraId="589B5B7B" w14:textId="03B5CDA9" w:rsidR="000A3C18" w:rsidRDefault="000A3C18" w:rsidP="000A3C18">
      <w:pPr>
        <w:spacing w:line="276" w:lineRule="auto"/>
        <w:ind w:firstLine="708"/>
        <w:rPr>
          <w:sz w:val="24"/>
          <w:szCs w:val="24"/>
        </w:rPr>
      </w:pPr>
      <w:r>
        <w:rPr>
          <w:rFonts w:cs="Times New Roman"/>
          <w:sz w:val="24"/>
          <w:szCs w:val="24"/>
        </w:rPr>
        <w:t>Les prévisions qui nous intéressent, relatives aux aires de distribution des espèces, à leur fonctionnement sous contraintes, et aux caractéristiques écologiques des écosystèmes, sont élaborées le plus souvent à partir de modèles</w:t>
      </w:r>
      <w:r>
        <w:rPr>
          <w:rStyle w:val="Appelnotedebasdep"/>
          <w:rFonts w:cs="Times New Roman"/>
          <w:sz w:val="24"/>
          <w:szCs w:val="24"/>
        </w:rPr>
        <w:footnoteReference w:id="1"/>
      </w:r>
      <w:r>
        <w:rPr>
          <w:rFonts w:cs="Times New Roman"/>
          <w:sz w:val="24"/>
          <w:szCs w:val="24"/>
        </w:rPr>
        <w:t xml:space="preserve">. Ces modèles sont de différents types : on distingue, en particulier, </w:t>
      </w:r>
      <w:commentRangeStart w:id="1"/>
      <w:r>
        <w:rPr>
          <w:rFonts w:cs="Times New Roman"/>
          <w:sz w:val="24"/>
          <w:szCs w:val="24"/>
        </w:rPr>
        <w:t xml:space="preserve">les modèles de végétation globale dynamique (qui s’adressent à la composition, </w:t>
      </w:r>
      <w:proofErr w:type="spellStart"/>
      <w:r>
        <w:rPr>
          <w:rFonts w:cs="Times New Roman"/>
          <w:sz w:val="24"/>
          <w:szCs w:val="24"/>
        </w:rPr>
        <w:t>multispécifique</w:t>
      </w:r>
      <w:proofErr w:type="spellEnd"/>
      <w:r>
        <w:rPr>
          <w:rFonts w:cs="Times New Roman"/>
          <w:sz w:val="24"/>
          <w:szCs w:val="24"/>
        </w:rPr>
        <w:t xml:space="preserve">, d’un écosystème), </w:t>
      </w:r>
      <w:commentRangeEnd w:id="1"/>
      <w:r w:rsidR="004506EB">
        <w:rPr>
          <w:rStyle w:val="Marquedecommentaire"/>
        </w:rPr>
        <w:commentReference w:id="1"/>
      </w:r>
      <w:r>
        <w:rPr>
          <w:rFonts w:cs="Times New Roman"/>
          <w:sz w:val="24"/>
          <w:szCs w:val="24"/>
        </w:rPr>
        <w:t xml:space="preserve">et les modèles spécifiques, centrés sur une espèce. Au sein de ce second type, existe également une différence importante entre les </w:t>
      </w:r>
      <w:commentRangeStart w:id="2"/>
      <w:commentRangeStart w:id="3"/>
      <w:commentRangeStart w:id="4"/>
      <w:r>
        <w:rPr>
          <w:rFonts w:cs="Times New Roman"/>
          <w:sz w:val="24"/>
          <w:szCs w:val="24"/>
        </w:rPr>
        <w:t>modèles de niche (aussi appelés </w:t>
      </w:r>
      <w:proofErr w:type="spellStart"/>
      <w:r w:rsidRPr="007103BA">
        <w:rPr>
          <w:rFonts w:cs="Times New Roman"/>
          <w:i/>
          <w:sz w:val="24"/>
          <w:szCs w:val="24"/>
        </w:rPr>
        <w:t>species</w:t>
      </w:r>
      <w:proofErr w:type="spellEnd"/>
      <w:r w:rsidRPr="007103BA">
        <w:rPr>
          <w:rFonts w:cs="Times New Roman"/>
          <w:i/>
          <w:sz w:val="24"/>
          <w:szCs w:val="24"/>
        </w:rPr>
        <w:t xml:space="preserve"> distribution </w:t>
      </w:r>
      <w:proofErr w:type="spellStart"/>
      <w:r w:rsidRPr="007103BA">
        <w:rPr>
          <w:rFonts w:cs="Times New Roman"/>
          <w:i/>
          <w:sz w:val="24"/>
          <w:szCs w:val="24"/>
        </w:rPr>
        <w:t>models</w:t>
      </w:r>
      <w:proofErr w:type="spellEnd"/>
      <w:r>
        <w:rPr>
          <w:rFonts w:cs="Times New Roman"/>
          <w:sz w:val="24"/>
          <w:szCs w:val="24"/>
        </w:rPr>
        <w:t xml:space="preserve">, </w:t>
      </w:r>
      <w:proofErr w:type="spellStart"/>
      <w:r>
        <w:rPr>
          <w:rFonts w:cs="Times New Roman"/>
          <w:sz w:val="24"/>
          <w:szCs w:val="24"/>
        </w:rPr>
        <w:t>SDMs</w:t>
      </w:r>
      <w:proofErr w:type="spellEnd"/>
      <w:r>
        <w:rPr>
          <w:rFonts w:cs="Times New Roman"/>
          <w:sz w:val="24"/>
          <w:szCs w:val="24"/>
        </w:rPr>
        <w:t xml:space="preserve">), </w:t>
      </w:r>
      <w:commentRangeEnd w:id="2"/>
      <w:r w:rsidR="004D7CBD">
        <w:rPr>
          <w:rStyle w:val="Marquedecommentaire"/>
        </w:rPr>
        <w:commentReference w:id="2"/>
      </w:r>
      <w:commentRangeEnd w:id="3"/>
      <w:r w:rsidR="004D7CBD">
        <w:rPr>
          <w:rStyle w:val="Marquedecommentaire"/>
        </w:rPr>
        <w:commentReference w:id="3"/>
      </w:r>
      <w:commentRangeEnd w:id="4"/>
      <w:r w:rsidR="004D7CBD">
        <w:rPr>
          <w:rStyle w:val="Marquedecommentaire"/>
        </w:rPr>
        <w:commentReference w:id="4"/>
      </w:r>
      <w:r>
        <w:rPr>
          <w:rFonts w:cs="Times New Roman"/>
          <w:sz w:val="24"/>
          <w:szCs w:val="24"/>
        </w:rPr>
        <w:t xml:space="preserve">qui s’appuient sur les données de présence des espèces pour en modéliser une niche écologique potentielle, ou une probabilité de présence, et les modèles fondés sur les processus, qui modélisent les processus biologiques (par exemple la croissance), et </w:t>
      </w:r>
      <w:commentRangeStart w:id="5"/>
      <w:commentRangeStart w:id="6"/>
      <w:r>
        <w:rPr>
          <w:rFonts w:cs="Times New Roman"/>
          <w:sz w:val="24"/>
          <w:szCs w:val="24"/>
        </w:rPr>
        <w:t>non pas la distribution</w:t>
      </w:r>
      <w:commentRangeEnd w:id="5"/>
      <w:r>
        <w:rPr>
          <w:rStyle w:val="Marquedecommentaire"/>
        </w:rPr>
        <w:commentReference w:id="5"/>
      </w:r>
      <w:commentRangeEnd w:id="6"/>
      <w:r w:rsidR="004506EB">
        <w:rPr>
          <w:rStyle w:val="Marquedecommentaire"/>
        </w:rPr>
        <w:commentReference w:id="6"/>
      </w:r>
      <w:r>
        <w:rPr>
          <w:rFonts w:cs="Times New Roman"/>
          <w:sz w:val="24"/>
          <w:szCs w:val="24"/>
        </w:rPr>
        <w:t xml:space="preserve">. Le premier type de modèles fonctionne en estimant la valeur heuristique de différentes variables climatiques et topographiques pour rendre compte de la distribution effective, contemporaine, de l’espèce, puis, pour simuler sa distribution potentielle (si le test du modèle, effectué avec des données non prises en compte dans son élaboration, suggère qu’il est pertinent). Epistémologiquement, la démarche qui le soutient se limite donc à des corrélations statistiques, entre des présences observées et des variables climatiques ou écologiques. Le second type de modèle, </w:t>
      </w:r>
      <w:r w:rsidRPr="00F9428C">
        <w:rPr>
          <w:rFonts w:cs="Times New Roman"/>
          <w:i/>
          <w:sz w:val="24"/>
          <w:szCs w:val="24"/>
        </w:rPr>
        <w:t>a contrario</w:t>
      </w:r>
      <w:r>
        <w:rPr>
          <w:rFonts w:cs="Times New Roman"/>
          <w:sz w:val="24"/>
          <w:szCs w:val="24"/>
        </w:rPr>
        <w:t xml:space="preserve">, intègre des partis pris théoriques sur les causalités écologiques : il s’agit de modéliser des processus physiologiques, au niveau des populations, par exemple la photosynthèse ou la feuillaison, pour une population forestière. Dans le champ de l’écologie forestière, on peut prendre, comme exemple du premier type de modèle, </w:t>
      </w:r>
      <w:commentRangeStart w:id="7"/>
      <w:commentRangeStart w:id="8"/>
      <w:commentRangeStart w:id="9"/>
      <w:r>
        <w:rPr>
          <w:rFonts w:cs="Times New Roman"/>
          <w:sz w:val="24"/>
          <w:szCs w:val="24"/>
        </w:rPr>
        <w:t xml:space="preserve">les modèles de type </w:t>
      </w:r>
      <w:proofErr w:type="spellStart"/>
      <w:proofErr w:type="gramStart"/>
      <w:r>
        <w:rPr>
          <w:rFonts w:cs="Times New Roman"/>
          <w:sz w:val="24"/>
          <w:szCs w:val="24"/>
        </w:rPr>
        <w:t>Biomod</w:t>
      </w:r>
      <w:proofErr w:type="spellEnd"/>
      <w:r>
        <w:rPr>
          <w:rFonts w:cs="Times New Roman"/>
          <w:sz w:val="24"/>
          <w:szCs w:val="24"/>
        </w:rPr>
        <w:t xml:space="preserve"> ,</w:t>
      </w:r>
      <w:proofErr w:type="gramEnd"/>
      <w:r>
        <w:rPr>
          <w:rFonts w:cs="Times New Roman"/>
          <w:sz w:val="24"/>
          <w:szCs w:val="24"/>
        </w:rPr>
        <w:t xml:space="preserve"> </w:t>
      </w:r>
      <w:commentRangeEnd w:id="7"/>
      <w:r w:rsidR="004D7CBD">
        <w:rPr>
          <w:rStyle w:val="Marquedecommentaire"/>
        </w:rPr>
        <w:commentReference w:id="7"/>
      </w:r>
      <w:commentRangeEnd w:id="8"/>
      <w:r w:rsidR="004D7CBD">
        <w:rPr>
          <w:rStyle w:val="Marquedecommentaire"/>
        </w:rPr>
        <w:commentReference w:id="8"/>
      </w:r>
      <w:commentRangeEnd w:id="9"/>
      <w:r w:rsidR="00AF4400">
        <w:rPr>
          <w:rStyle w:val="Marquedecommentaire"/>
        </w:rPr>
        <w:commentReference w:id="9"/>
      </w:r>
      <w:r>
        <w:rPr>
          <w:rFonts w:cs="Times New Roman"/>
          <w:sz w:val="24"/>
          <w:szCs w:val="24"/>
        </w:rPr>
        <w:t xml:space="preserve">et pour illustrer </w:t>
      </w:r>
      <w:r>
        <w:rPr>
          <w:sz w:val="24"/>
          <w:szCs w:val="24"/>
        </w:rPr>
        <w:t xml:space="preserve">le second type de modèle, </w:t>
      </w:r>
      <w:commentRangeStart w:id="10"/>
      <w:r>
        <w:rPr>
          <w:sz w:val="24"/>
          <w:szCs w:val="24"/>
        </w:rPr>
        <w:t xml:space="preserve">le modèle PHENOFIT, qui quant à lui </w:t>
      </w:r>
      <w:commentRangeStart w:id="11"/>
      <w:r>
        <w:rPr>
          <w:sz w:val="24"/>
          <w:szCs w:val="24"/>
        </w:rPr>
        <w:t>essaie de modéliser</w:t>
      </w:r>
      <w:commentRangeEnd w:id="11"/>
      <w:r w:rsidR="00C579E7">
        <w:rPr>
          <w:rStyle w:val="Marquedecommentaire"/>
        </w:rPr>
        <w:commentReference w:id="11"/>
      </w:r>
      <w:r>
        <w:rPr>
          <w:sz w:val="24"/>
          <w:szCs w:val="24"/>
        </w:rPr>
        <w:t xml:space="preserve"> la réponse des populations d’arbres sous contrainte – par exemple, en conditions de stress hydrique- en prenant en compte la plasticité des traits phénologiques des arbres.</w:t>
      </w:r>
      <w:commentRangeEnd w:id="10"/>
      <w:r w:rsidR="00C579E7">
        <w:rPr>
          <w:rStyle w:val="Marquedecommentaire"/>
        </w:rPr>
        <w:commentReference w:id="10"/>
      </w:r>
    </w:p>
    <w:p w14:paraId="5B116CF3" w14:textId="77777777" w:rsidR="000A3C18" w:rsidRDefault="000A3C18" w:rsidP="000A3C18">
      <w:pPr>
        <w:spacing w:line="276" w:lineRule="auto"/>
        <w:ind w:firstLine="708"/>
        <w:rPr>
          <w:sz w:val="24"/>
          <w:szCs w:val="24"/>
        </w:rPr>
      </w:pPr>
      <w:r>
        <w:rPr>
          <w:sz w:val="24"/>
          <w:szCs w:val="24"/>
        </w:rPr>
        <w:t xml:space="preserve"> </w:t>
      </w:r>
      <w:r>
        <w:rPr>
          <w:rFonts w:cs="Times New Roman"/>
          <w:sz w:val="24"/>
          <w:szCs w:val="24"/>
        </w:rPr>
        <w:t xml:space="preserve">Dans les deux cas, il est donc possible de construire un modèle à partir de connaissances actuelles (soit des observations de la présence effective des espèces, soit des connaissances relatives aux processus biologiques), et de le faire fonctionner en y intégrant les résultats de scénarios de prévisions climatiques comme ceux que propose le GIEC : on dit alors qu’on « force » un modèle écologique, en y entrant ces données climatiques. </w:t>
      </w:r>
      <w:r>
        <w:rPr>
          <w:sz w:val="24"/>
          <w:szCs w:val="24"/>
        </w:rPr>
        <w:t xml:space="preserve">Dès 2001, </w:t>
      </w:r>
      <w:r>
        <w:rPr>
          <w:sz w:val="24"/>
          <w:szCs w:val="24"/>
        </w:rPr>
        <w:lastRenderedPageBreak/>
        <w:t xml:space="preserve">en foresterie le projet CARBOFOR offrit ainsi une modélisation et une cartographie des aires de répartition potentielle des principales essences forestières françaises, à partir du modèle climatique ARPEGE. Les prévisions issues du projet indiquaient en particulier l’augmentation forte des probabilités de présence du chêne vert dans toute la moitié Sud de la France, en 2100, et à l’inverse, une régression importante de l’aire potentielle de distribution du hêtre dans le sud de son aire de répartition actuelle </w:t>
      </w:r>
      <w:r>
        <w:rPr>
          <w:sz w:val="24"/>
          <w:szCs w:val="24"/>
        </w:rPr>
        <w:fldChar w:fldCharType="begin"/>
      </w:r>
      <w:r>
        <w:rPr>
          <w:sz w:val="24"/>
          <w:szCs w:val="24"/>
        </w:rPr>
        <w:instrText xml:space="preserve"> ADDIN ZOTERO_ITEM CSL_CITATION {"citationID":"gvuSg4pD","properties":{"formattedCitation":"(Dufr\\uc0\\u234{}ne et al., 2004)","plainCitation":"(Dufrêne et al., 2004)","noteIndex":0},"citationItems":[{"id":687,"uris":["http://zotero.org/users/6308231/items/HEZHGMH5"],"itemData":{"id":687,"type":"report","language":"fr","page":"138","publisher":"Programme de Gestion et Impacts du Changement Climatique","source":"Zotero","title":"Rapport final du projet Carbofor, Programme GICC 2001 \"Gestion des impacts du changement climatique\"","author":[{"family":"Dufrêne","given":"E"},{"family":"Ogée","given":"J"},{"family":"François","given":"C"},{"family":"André","given":"L St"},{"family":"Pignard","given":"G"},{"family":"Loustau","given":"D"},{"family":"Déqué","given":"M"},{"family":"Ciais","given":"P"},{"family":"Davi","given":"H"},{"family":"Badeau","given":"V"}],"accessed":{"date-parts":[["2021",7,14]]},"issued":{"date-parts":[["2004"]]}}}],"schema":"https://github.com/citation-style-language/schema/raw/master/csl-citation.json"} </w:instrText>
      </w:r>
      <w:r>
        <w:rPr>
          <w:sz w:val="24"/>
          <w:szCs w:val="24"/>
        </w:rPr>
        <w:fldChar w:fldCharType="separate"/>
      </w:r>
      <w:r w:rsidRPr="00C43FF1">
        <w:rPr>
          <w:rFonts w:cs="Times New Roman"/>
          <w:sz w:val="24"/>
          <w:szCs w:val="24"/>
        </w:rPr>
        <w:t>(Dufrêne et al., 2004)</w:t>
      </w:r>
      <w:r>
        <w:rPr>
          <w:sz w:val="24"/>
          <w:szCs w:val="24"/>
        </w:rPr>
        <w:fldChar w:fldCharType="end"/>
      </w:r>
      <w:r>
        <w:rPr>
          <w:sz w:val="24"/>
          <w:szCs w:val="24"/>
        </w:rPr>
        <w:t xml:space="preserve">. Tout un champ de savoir s’est développé depuis, sous la bannière de l’écologie des changements climatiques, au croisement entre écologie des perturbations et climatologie, dans lequel les connaissances se multiplient, relatives aux modifications d’aires de distribution, aux modifications de phénologies, aux capacités adaptatives des populations et des espèces, ainsi qu’aux modifications des écosystèmes. Les publications de ce type continuent à se multiplier : à titre d’exemple, la Fondation pour la Recherche sur la Biodiversité (FRB) a lancé en 2010 un programme « Modélisation et scénarios de la biodiversité ». </w:t>
      </w:r>
    </w:p>
    <w:p w14:paraId="468D9C5D" w14:textId="77777777" w:rsidR="000A3C18" w:rsidRDefault="000A3C18" w:rsidP="000A3C18">
      <w:pPr>
        <w:spacing w:line="276" w:lineRule="auto"/>
        <w:ind w:firstLine="708"/>
        <w:rPr>
          <w:sz w:val="24"/>
          <w:szCs w:val="24"/>
        </w:rPr>
      </w:pPr>
    </w:p>
    <w:p w14:paraId="41B47FD1" w14:textId="77777777" w:rsidR="000A3C18" w:rsidRPr="00E36C63" w:rsidRDefault="000A3C18" w:rsidP="000A3C18">
      <w:pPr>
        <w:pStyle w:val="Titre3"/>
        <w:rPr>
          <w:rFonts w:cstheme="minorBidi"/>
          <w:sz w:val="22"/>
          <w:szCs w:val="22"/>
        </w:rPr>
      </w:pPr>
      <w:r>
        <w:t>Prévisions et incertitudes</w:t>
      </w:r>
    </w:p>
    <w:p w14:paraId="44983B35" w14:textId="77777777" w:rsidR="000A3C18" w:rsidRPr="006E0CFA" w:rsidRDefault="000A3C18" w:rsidP="000A3C18">
      <w:pPr>
        <w:spacing w:line="276" w:lineRule="auto"/>
        <w:ind w:firstLine="708"/>
        <w:rPr>
          <w:rFonts w:ascii="Arial" w:hAnsi="Arial" w:cs="Arial"/>
          <w:sz w:val="30"/>
          <w:szCs w:val="30"/>
        </w:rPr>
      </w:pPr>
      <w:r>
        <w:rPr>
          <w:sz w:val="24"/>
          <w:szCs w:val="24"/>
        </w:rPr>
        <w:t xml:space="preserve">Ces démarches de prévision n’aboutissent évidemment pas à de véritables prédictions, c’est-à-dire à l’assertion d’événements déterminés à advenir dans le futur, mais plutôt à la </w:t>
      </w:r>
      <w:commentRangeStart w:id="12"/>
      <w:commentRangeStart w:id="13"/>
      <w:r>
        <w:rPr>
          <w:sz w:val="24"/>
          <w:szCs w:val="24"/>
        </w:rPr>
        <w:t>prévision</w:t>
      </w:r>
      <w:commentRangeEnd w:id="12"/>
      <w:r w:rsidR="00464BFB">
        <w:rPr>
          <w:rStyle w:val="Marquedecommentaire"/>
        </w:rPr>
        <w:commentReference w:id="12"/>
      </w:r>
      <w:commentRangeEnd w:id="13"/>
      <w:r w:rsidR="00464BFB">
        <w:rPr>
          <w:rStyle w:val="Marquedecommentaire"/>
        </w:rPr>
        <w:commentReference w:id="13"/>
      </w:r>
      <w:r>
        <w:rPr>
          <w:sz w:val="24"/>
          <w:szCs w:val="24"/>
        </w:rPr>
        <w:t xml:space="preserve"> de présences et d’abondances potentielles, affectées de probabilités différenciées. Ainsi la littérature qualifiée, peut-être improprement, d’écologie prédictive, présente-t-elle souvent des prévisions plurielles, présentées conjointement comme différents scénarios possibles. Par exemple, plusieurs scénarios de prévision climatique sont souvent choisis conjointement (typiquement, deux scénarios </w:t>
      </w:r>
      <w:commentRangeStart w:id="14"/>
      <w:r>
        <w:rPr>
          <w:sz w:val="24"/>
          <w:szCs w:val="24"/>
        </w:rPr>
        <w:t>RCP</w:t>
      </w:r>
      <w:commentRangeEnd w:id="14"/>
      <w:r w:rsidR="00464BFB">
        <w:rPr>
          <w:rStyle w:val="Marquedecommentaire"/>
        </w:rPr>
        <w:commentReference w:id="14"/>
      </w:r>
      <w:r>
        <w:rPr>
          <w:sz w:val="24"/>
          <w:szCs w:val="24"/>
        </w:rPr>
        <w:t xml:space="preserve"> élaborés par le GIEC), et le modèle écologique choisi est forcé tour à tour avec chacun d’eux, les deux résultats étant présentés. </w:t>
      </w:r>
      <w:commentRangeStart w:id="15"/>
      <w:commentRangeStart w:id="16"/>
      <w:commentRangeStart w:id="17"/>
      <w:r w:rsidRPr="00846420">
        <w:t>À</w:t>
      </w:r>
      <w:r>
        <w:rPr>
          <w:sz w:val="24"/>
          <w:szCs w:val="24"/>
        </w:rPr>
        <w:t xml:space="preserve"> cette première pluralisation des prévisions s’ajoute celle induite par l’usage de modèles distincts, selon les processus biologiques, les interactions biotiques, et les effets de rétroaction qu’ils intègrent ou non. </w:t>
      </w:r>
      <w:commentRangeEnd w:id="15"/>
      <w:r w:rsidR="00FB72DF">
        <w:rPr>
          <w:rStyle w:val="Marquedecommentaire"/>
        </w:rPr>
        <w:commentReference w:id="15"/>
      </w:r>
      <w:commentRangeEnd w:id="16"/>
      <w:r w:rsidR="00FB72DF">
        <w:rPr>
          <w:rStyle w:val="Marquedecommentaire"/>
        </w:rPr>
        <w:commentReference w:id="16"/>
      </w:r>
      <w:commentRangeEnd w:id="17"/>
      <w:r w:rsidR="00FB72DF">
        <w:rPr>
          <w:rStyle w:val="Marquedecommentaire"/>
        </w:rPr>
        <w:commentReference w:id="17"/>
      </w:r>
      <w:r w:rsidRPr="00AA0EED">
        <w:t>À</w:t>
      </w:r>
      <w:r>
        <w:rPr>
          <w:sz w:val="24"/>
          <w:szCs w:val="24"/>
        </w:rPr>
        <w:t xml:space="preserve"> titre d’exemple, la zone favorable stable prévue pour le hêtre en 2055 diffère très largement selon que l’on fait usage du modèle d’habitat </w:t>
      </w:r>
      <w:proofErr w:type="spellStart"/>
      <w:r>
        <w:rPr>
          <w:sz w:val="24"/>
          <w:szCs w:val="24"/>
        </w:rPr>
        <w:t>Biomod</w:t>
      </w:r>
      <w:proofErr w:type="spellEnd"/>
      <w:r>
        <w:rPr>
          <w:sz w:val="24"/>
          <w:szCs w:val="24"/>
        </w:rPr>
        <w:t xml:space="preserve">, N-NBM, STASH, PHENOFIT, CASTANEA ou LPJ </w:t>
      </w:r>
      <w:r>
        <w:rPr>
          <w:sz w:val="24"/>
          <w:szCs w:val="24"/>
        </w:rPr>
        <w:fldChar w:fldCharType="begin"/>
      </w:r>
      <w:r>
        <w:rPr>
          <w:sz w:val="24"/>
          <w:szCs w:val="24"/>
        </w:rPr>
        <w:instrText xml:space="preserve"> ADDIN ZOTERO_ITEM CSL_CITATION {"citationID":"rPvt76U0","properties":{"formattedCitation":"(Fady, Lef\\uc0\\u232{}vre, Collin et Boutaud, 2014)","plainCitation":"(Fady, Lefèvre, Collin et Boutaud, 2014)","dontUpdate":true,"noteIndex":0},"citationItems":[{"id":773,"uris":["http://zotero.org/users/6308231/items/UGI6CUB7"],"itemData":{"id":773,"type":"article-journal","container-title":"Espaces Naturels","issue":"46","page":"26-27","title":"Comment préparer sa gestion aux changements environnementaux ?","author":[{"family":"Fady","given":"Bruno"},{"family":"Lefèvre","given":"François"},{"family":"Collin","given":"Eric"},{"family":"Boutaud","given":"Michel"}],"issued":{"date-parts":[["2014"]]}}}],"schema":"https://github.com/citation-style-language/schema/raw/master/csl-citation.json"} </w:instrText>
      </w:r>
      <w:r>
        <w:rPr>
          <w:sz w:val="24"/>
          <w:szCs w:val="24"/>
        </w:rPr>
        <w:fldChar w:fldCharType="separate"/>
      </w:r>
      <w:r w:rsidRPr="00C63974">
        <w:rPr>
          <w:rFonts w:cs="Times New Roman"/>
          <w:sz w:val="24"/>
          <w:szCs w:val="24"/>
        </w:rPr>
        <w:t>(Fady</w:t>
      </w:r>
      <w:r>
        <w:rPr>
          <w:rFonts w:cs="Times New Roman"/>
          <w:sz w:val="24"/>
          <w:szCs w:val="24"/>
        </w:rPr>
        <w:t xml:space="preserve"> </w:t>
      </w:r>
      <w:r>
        <w:rPr>
          <w:rFonts w:cs="Times New Roman"/>
          <w:i/>
          <w:sz w:val="24"/>
          <w:szCs w:val="24"/>
        </w:rPr>
        <w:t>et al</w:t>
      </w:r>
      <w:r>
        <w:rPr>
          <w:rFonts w:cs="Times New Roman"/>
          <w:sz w:val="24"/>
          <w:szCs w:val="24"/>
        </w:rPr>
        <w:t>, 2014)</w:t>
      </w:r>
      <w:r>
        <w:rPr>
          <w:sz w:val="24"/>
          <w:szCs w:val="24"/>
        </w:rPr>
        <w:fldChar w:fldCharType="end"/>
      </w:r>
      <w:r>
        <w:t xml:space="preserve">. </w:t>
      </w:r>
      <w:r>
        <w:rPr>
          <w:sz w:val="24"/>
          <w:szCs w:val="24"/>
        </w:rPr>
        <w:t xml:space="preserve"> En particulier, entre les deux types de modèles ( modèles de distribution ou « niche-</w:t>
      </w:r>
      <w:proofErr w:type="spellStart"/>
      <w:r>
        <w:rPr>
          <w:sz w:val="24"/>
          <w:szCs w:val="24"/>
        </w:rPr>
        <w:t>based</w:t>
      </w:r>
      <w:proofErr w:type="spellEnd"/>
      <w:r>
        <w:rPr>
          <w:sz w:val="24"/>
          <w:szCs w:val="24"/>
        </w:rPr>
        <w:t> », et modèles fondés sur les processus ou « process-</w:t>
      </w:r>
      <w:proofErr w:type="spellStart"/>
      <w:r>
        <w:rPr>
          <w:sz w:val="24"/>
          <w:szCs w:val="24"/>
        </w:rPr>
        <w:t>based</w:t>
      </w:r>
      <w:proofErr w:type="spellEnd"/>
      <w:r>
        <w:rPr>
          <w:sz w:val="24"/>
          <w:szCs w:val="24"/>
        </w:rPr>
        <w:t>) dont nous avons restitué la distinction, plus haut</w:t>
      </w:r>
      <w:r w:rsidRPr="00D26452">
        <w:rPr>
          <w:sz w:val="24"/>
          <w:szCs w:val="24"/>
        </w:rPr>
        <w:t>, les résultats peuvent être spectaculairement différents : Trevor Keenan et ses co-auteurs et co-autrices  ont ainsi comparé les prévisions relatives aux forêts espagnoles telles qu’estimées, pour la même période, par des modèles fondés sur les distributions d’espèces, et des modèles fondés sur les processus. Leurs résultats soulignent une grande variabilité entre les deux types de modèles : tandis que l’augmentation du taux atmosphérique de CO2 induit une augmentation de la productivité forestière, dans les modèles fondés sur les processus (et ce, malgré l’intensification de la sécheresse), les modèles fondés sur les distributions aboutissent quant à eux à une diminution de l’habitat potentiel</w:t>
      </w:r>
      <w:r>
        <w:rPr>
          <w:sz w:val="24"/>
          <w:szCs w:val="24"/>
        </w:rPr>
        <w:t xml:space="preserve"> </w:t>
      </w:r>
      <w:r>
        <w:rPr>
          <w:sz w:val="24"/>
          <w:szCs w:val="24"/>
        </w:rPr>
        <w:fldChar w:fldCharType="begin"/>
      </w:r>
      <w:r>
        <w:rPr>
          <w:sz w:val="24"/>
          <w:szCs w:val="24"/>
        </w:rPr>
        <w:instrText xml:space="preserve"> ADDIN ZOTERO_ITEM CSL_CITATION {"citationID":"NRU8Kqx7","properties":{"formattedCitation":"(Keenan, Maria Serra, Lloret, Ninyerola, et al., 2011)","plainCitation":"(Keenan, Maria Serra, Lloret, Ninyerola, et al., 2011)","noteIndex":0},"citationItems":[{"id":1360,"uris":["http://zotero.org/users/6308231/items/KNU3RHNV"],"itemData":{"id":1360,"type":"article-journal","abstract":"Assessing the potential future of current forest stands is a key to design conservation strategies and understanding potential future impacts to ecosystem service supplies. This is particularly true in the Mediterranean basin, where important future climatic changes are expected. Here, we assess and compare two commonly used modeling approaches (niche- and process-based models) to project the future of current stands of three forest species with contrasting distributions, using regionalized climate for continental Spain. Results highlight variability in model ability to estimate current distributions, and the inherent large uncertainty involved in making projections into the future. CO2 fertilization through projected increased atmospheric CO2 concentrations is shown to increase forest productivity in the mechanistic process-based model (despite increased drought stress) by up to three times that of the non-CO2 fertilization scenario by the period 2050–2080, which is in stark contrast to projections of reduced habitat suitability from the niche-based models by the same period. This highlights the importance of introducing aspects of plant biogeochemistry into current niche-based models for a realistic projection of future species distributions. We conclude that the future of current Mediterranean forest stands is highly uncertain and suggest that a new synergy between niche- and process-based models is urgently needed in order to improve our predictive ability.","container-title":"Global Change Biology","DOI":"10.1111/j.1365-2486.2010.02254.x","ISSN":"13541013","issue":"1","language":"en","page":"565-579","source":"DOI.org (Crossref)","title":"Predicting the future of forests in the Mediterranean under climate change, with niche- and process-based models: CO2 matters!: PREDICTING THE FUTURE OF FORESTS UNDER CLIMATE CHANGE","title-short":"Predicting the future of forests in the Mediterranean under climate change, with niche- and process-based models","volume":"17","author":[{"family":"Keenan","given":"Trevor"},{"family":"Maria Serra","given":"Josep"},{"family":"Lloret","given":"Francisco"},{"family":"Ninyerola","given":"Miquel"},{"family":"Sabate","given":"Santiago"}],"issued":{"date-parts":[["2011",1]]}}}],"schema":"https://github.com/citation-style-language/schema/raw/master/csl-citation.json"} </w:instrText>
      </w:r>
      <w:r>
        <w:rPr>
          <w:sz w:val="24"/>
          <w:szCs w:val="24"/>
        </w:rPr>
        <w:fldChar w:fldCharType="separate"/>
      </w:r>
      <w:r w:rsidRPr="00D26452">
        <w:rPr>
          <w:rFonts w:cs="Times New Roman"/>
          <w:sz w:val="24"/>
        </w:rPr>
        <w:t>(Keenan, Maria Serra, Lloret, Ninyerola, et al., 2011)</w:t>
      </w:r>
      <w:r>
        <w:rPr>
          <w:sz w:val="24"/>
          <w:szCs w:val="24"/>
        </w:rPr>
        <w:fldChar w:fldCharType="end"/>
      </w:r>
      <w:r w:rsidRPr="00D26452">
        <w:rPr>
          <w:sz w:val="24"/>
          <w:szCs w:val="24"/>
        </w:rPr>
        <w:t>.</w:t>
      </w:r>
      <w:r>
        <w:t xml:space="preserve"> </w:t>
      </w:r>
    </w:p>
    <w:p w14:paraId="1F2448A2" w14:textId="77777777" w:rsidR="000A3C18" w:rsidRDefault="000A3C18" w:rsidP="000A3C18">
      <w:pPr>
        <w:spacing w:line="276" w:lineRule="auto"/>
        <w:ind w:firstLine="708"/>
        <w:jc w:val="both"/>
        <w:rPr>
          <w:rFonts w:cs="Times New Roman"/>
          <w:sz w:val="24"/>
          <w:szCs w:val="24"/>
        </w:rPr>
      </w:pPr>
      <w:r>
        <w:rPr>
          <w:rFonts w:cs="Times New Roman"/>
          <w:sz w:val="24"/>
          <w:szCs w:val="24"/>
        </w:rPr>
        <w:t xml:space="preserve">Outre le basculement dans le champ de la probabilité, et non de la prédiction, induit par le geste même de la modélisation, il faut également remarquer que l’on combine, dans les démarches ici évoquées, plusieurs niveaux d’incertitudes : celui induit par les modélisations </w:t>
      </w:r>
      <w:r>
        <w:rPr>
          <w:rFonts w:cs="Times New Roman"/>
          <w:sz w:val="24"/>
          <w:szCs w:val="24"/>
        </w:rPr>
        <w:lastRenderedPageBreak/>
        <w:t>climatiques, à l’échelle globale, un second niveau induit par le passage à une échelle régionale des prévisions climatologiques (ce que l’on appelle le « </w:t>
      </w:r>
      <w:proofErr w:type="spellStart"/>
      <w:r>
        <w:rPr>
          <w:rFonts w:cs="Times New Roman"/>
          <w:sz w:val="24"/>
          <w:szCs w:val="24"/>
        </w:rPr>
        <w:t>downscaling</w:t>
      </w:r>
      <w:proofErr w:type="spellEnd"/>
      <w:r>
        <w:rPr>
          <w:rFonts w:cs="Times New Roman"/>
          <w:sz w:val="24"/>
          <w:szCs w:val="24"/>
        </w:rPr>
        <w:t xml:space="preserve"> », </w:t>
      </w:r>
      <w:commentRangeStart w:id="18"/>
      <w:r>
        <w:rPr>
          <w:rFonts w:cs="Times New Roman"/>
          <w:sz w:val="24"/>
          <w:szCs w:val="24"/>
        </w:rPr>
        <w:t>qui fait perdre en précision</w:t>
      </w:r>
      <w:commentRangeEnd w:id="18"/>
      <w:r w:rsidR="00FB72DF">
        <w:rPr>
          <w:rStyle w:val="Marquedecommentaire"/>
        </w:rPr>
        <w:commentReference w:id="18"/>
      </w:r>
      <w:r>
        <w:rPr>
          <w:rFonts w:cs="Times New Roman"/>
          <w:sz w:val="24"/>
          <w:szCs w:val="24"/>
        </w:rPr>
        <w:t>), et un troisième niveau lié aux modèles écologiques que l’on force avec ces prévisions climatiques.</w:t>
      </w:r>
    </w:p>
    <w:p w14:paraId="4E03234D" w14:textId="77777777" w:rsidR="000A3C18" w:rsidRDefault="000A3C18" w:rsidP="000A3C18">
      <w:pPr>
        <w:spacing w:line="276" w:lineRule="auto"/>
        <w:ind w:firstLine="708"/>
        <w:jc w:val="both"/>
        <w:rPr>
          <w:rFonts w:cs="Times New Roman"/>
          <w:sz w:val="24"/>
          <w:szCs w:val="24"/>
        </w:rPr>
      </w:pPr>
    </w:p>
    <w:p w14:paraId="696E2081" w14:textId="77777777" w:rsidR="000A3C18" w:rsidRDefault="000A3C18" w:rsidP="000A3C18">
      <w:pPr>
        <w:pStyle w:val="Titre3"/>
      </w:pPr>
      <w:r>
        <w:t>Les critiques des prévisions</w:t>
      </w:r>
    </w:p>
    <w:p w14:paraId="40E1E568" w14:textId="77777777" w:rsidR="000A3C18" w:rsidRDefault="000A3C18" w:rsidP="000A3C18">
      <w:pPr>
        <w:spacing w:line="276" w:lineRule="auto"/>
        <w:ind w:firstLine="708"/>
        <w:rPr>
          <w:rFonts w:cs="Times New Roman"/>
          <w:sz w:val="24"/>
          <w:szCs w:val="24"/>
        </w:rPr>
      </w:pPr>
      <w:r>
        <w:rPr>
          <w:rFonts w:cs="Times New Roman"/>
          <w:sz w:val="24"/>
          <w:szCs w:val="24"/>
        </w:rPr>
        <w:t>C’est donc un parti pris résolument optimiste quant aux capacités de prévisions qui soutient donc la MA et les FGA</w:t>
      </w:r>
      <w:r>
        <w:rPr>
          <w:rStyle w:val="Appelnotedebasdep"/>
          <w:rFonts w:cs="Times New Roman"/>
          <w:sz w:val="24"/>
          <w:szCs w:val="24"/>
        </w:rPr>
        <w:footnoteReference w:id="2"/>
      </w:r>
      <w:r>
        <w:rPr>
          <w:rFonts w:cs="Times New Roman"/>
          <w:sz w:val="24"/>
          <w:szCs w:val="24"/>
        </w:rPr>
        <w:t xml:space="preserve">. Or, plusieurs travaux ont proposé des analyses critiques vis-à-vis de ces écologies prévisionnistes, dont il faut ici rendre compte brièvement. Dans une veine qu’on pourrait qualifier d’épistémologie sociologique, Audrey </w:t>
      </w:r>
      <w:proofErr w:type="spellStart"/>
      <w:r>
        <w:rPr>
          <w:rFonts w:cs="Times New Roman"/>
          <w:sz w:val="24"/>
          <w:szCs w:val="24"/>
        </w:rPr>
        <w:t>Coreau</w:t>
      </w:r>
      <w:proofErr w:type="spellEnd"/>
      <w:r>
        <w:rPr>
          <w:rFonts w:cs="Times New Roman"/>
          <w:sz w:val="24"/>
          <w:szCs w:val="24"/>
        </w:rPr>
        <w:t xml:space="preserve"> et ses co-auteurs </w:t>
      </w:r>
      <w:r>
        <w:rPr>
          <w:rFonts w:cs="Times New Roman"/>
          <w:sz w:val="24"/>
          <w:szCs w:val="24"/>
        </w:rPr>
        <w:fldChar w:fldCharType="begin"/>
      </w:r>
      <w:r>
        <w:rPr>
          <w:rFonts w:cs="Times New Roman"/>
          <w:sz w:val="24"/>
          <w:szCs w:val="24"/>
        </w:rPr>
        <w:instrText xml:space="preserve"> ADDIN ZOTERO_ITEM CSL_CITATION {"citationID":"QsqVjPnI","properties":{"formattedCitation":"(Coreau, Treyer, Cheptou, Thompson, et al., 2010)","plainCitation":"(Coreau, Treyer, Cheptou, Thompson, et al., 2010)","dontUpdate":true,"noteIndex":0},"citationItems":[{"id":781,"uris":["http://zotero.org/users/6308231/items/PBD4SKB2"],"itemData":{"id":781,"type":"article-journal","container-title":"Oikos","DOI":"10.1111/j.1600-0706.2010.18195.x","ISSN":"00301299","issue":"8","journalAbbreviation":"Oikos","language":"en","page":"1364-1376","source":"DOI.org (Crossref)","title":"Exploring the difficulties of studying futures in ecology: what do ecological scientists think?","title-short":"Exploring the difficulties of studying futures in ecology","volume":"119","author":[{"family":"Coreau","given":"Audrey"},{"family":"Treyer","given":"Sébastien"},{"family":"Cheptou","given":"Pierre-Olivier"},{"family":"Thompson","given":"John D."},{"family":"Mermet","given":"Laurent"}],"issued":{"date-parts":[["2010",5,13]]}}}],"schema":"https://github.com/citation-style-language/schema/raw/master/csl-citation.json"} </w:instrText>
      </w:r>
      <w:r>
        <w:rPr>
          <w:rFonts w:cs="Times New Roman"/>
          <w:sz w:val="24"/>
          <w:szCs w:val="24"/>
        </w:rPr>
        <w:fldChar w:fldCharType="separate"/>
      </w:r>
      <w:r w:rsidRPr="00C43FF1">
        <w:rPr>
          <w:rFonts w:cs="Times New Roman"/>
          <w:sz w:val="24"/>
        </w:rPr>
        <w:t>(2010)</w:t>
      </w:r>
      <w:r>
        <w:rPr>
          <w:rFonts w:cs="Times New Roman"/>
          <w:sz w:val="24"/>
          <w:szCs w:val="24"/>
        </w:rPr>
        <w:fldChar w:fldCharType="end"/>
      </w:r>
      <w:r>
        <w:rPr>
          <w:rFonts w:cs="Times New Roman"/>
          <w:sz w:val="24"/>
          <w:szCs w:val="24"/>
        </w:rPr>
        <w:t xml:space="preserve"> se sont intéressés à l’usage des techniques de prévisions, dans le champ de l’écologie, du point de vue de la relation que les chercheurs et chercheuses entretiennent avec les résultats de leurs démarches, étudiée à partir d’entretiens et de questionnaires. Elle et ses co-auteurs soulignent plusieurs obstacles épistémologiques à l’étude des futurs écologiques : une adhésion importante au réductionnisme, la sous-estimation de l’importance de la spécificité des études futurologiques, mais aussi l’ambigüité de la persistance à tenter de faire des prédictions – entendues non pas dans le sens épistémologique, où la prédiction est une des étapes d’une méthode scientifique visant à valider ou falsifier une théorie, mais dans le sens commun d’une description d’un futur qui adviendra, laquelle, du point de vue d’Audrey </w:t>
      </w:r>
      <w:proofErr w:type="spellStart"/>
      <w:r>
        <w:rPr>
          <w:rFonts w:cs="Times New Roman"/>
          <w:sz w:val="24"/>
          <w:szCs w:val="24"/>
        </w:rPr>
        <w:t>Coreau</w:t>
      </w:r>
      <w:proofErr w:type="spellEnd"/>
      <w:r>
        <w:rPr>
          <w:rFonts w:cs="Times New Roman"/>
          <w:sz w:val="24"/>
          <w:szCs w:val="24"/>
        </w:rPr>
        <w:t xml:space="preserve">, est strictement impossible en écologie, comme en physique. Cette distinction, importante, entre deux sens du termes « prédiction », est également rappelée par Virginie Maris et ses co-auteurs et co-autrices </w:t>
      </w:r>
      <w:r>
        <w:rPr>
          <w:rFonts w:cs="Times New Roman"/>
          <w:sz w:val="24"/>
          <w:szCs w:val="24"/>
        </w:rPr>
        <w:fldChar w:fldCharType="begin"/>
      </w:r>
      <w:r>
        <w:rPr>
          <w:rFonts w:cs="Times New Roman"/>
          <w:sz w:val="24"/>
          <w:szCs w:val="24"/>
        </w:rPr>
        <w:instrText xml:space="preserve"> ADDIN ZOTERO_ITEM CSL_CITATION {"citationID":"dP8GI0Jc","properties":{"formattedCitation":"(Maris et al., 2018)","plainCitation":"(Maris et al., 2018)","dontUpdate":true,"noteIndex":0},"citationItems":[{"id":190,"uris":["http://zotero.org/users/6308231/items/9JJXRFUX"],"itemData":{"id":190,"type":"article-journal","container-title":"Oikos","DOI":"10.1111/oik.04655","ISSN":"00301299","issue":"2","journalAbbreviation":"Oikos","language":"en","page":"171-183","source":"DOI.org (Crossref)","title":"Prediction in ecology: promises, obstacles and clarifications","title-short":"Prediction in ecology","volume":"127","author":[{"family":"Maris","given":"Virginie"},{"family":"Huneman","given":"Philippe"},{"family":"Coreau","given":"Audrey"},{"family":"Kéfi","given":"Sonia"},{"family":"Pradel","given":"Roger"},{"family":"Devictor","given":"Vincent"}],"issued":{"date-parts":[["2018",2]]}}}],"schema":"https://github.com/citation-style-language/schema/raw/master/csl-citation.json"} </w:instrText>
      </w:r>
      <w:r>
        <w:rPr>
          <w:rFonts w:cs="Times New Roman"/>
          <w:sz w:val="24"/>
          <w:szCs w:val="24"/>
        </w:rPr>
        <w:fldChar w:fldCharType="separate"/>
      </w:r>
      <w:r w:rsidRPr="00964028">
        <w:rPr>
          <w:rFonts w:cs="Times New Roman"/>
          <w:sz w:val="24"/>
        </w:rPr>
        <w:t>(2018)</w:t>
      </w:r>
      <w:r>
        <w:rPr>
          <w:rFonts w:cs="Times New Roman"/>
          <w:sz w:val="24"/>
          <w:szCs w:val="24"/>
        </w:rPr>
        <w:fldChar w:fldCharType="end"/>
      </w:r>
      <w:r>
        <w:rPr>
          <w:rFonts w:cs="Times New Roman"/>
          <w:sz w:val="24"/>
          <w:szCs w:val="24"/>
        </w:rPr>
        <w:t xml:space="preserve">, qui la conceptualisent comme une distinction entre prédiction </w:t>
      </w:r>
      <w:proofErr w:type="spellStart"/>
      <w:r>
        <w:rPr>
          <w:rFonts w:cs="Times New Roman"/>
          <w:sz w:val="24"/>
          <w:szCs w:val="24"/>
        </w:rPr>
        <w:t>corroboratrice</w:t>
      </w:r>
      <w:proofErr w:type="spellEnd"/>
      <w:r>
        <w:rPr>
          <w:rFonts w:cs="Times New Roman"/>
          <w:sz w:val="24"/>
          <w:szCs w:val="24"/>
        </w:rPr>
        <w:t xml:space="preserve"> (lorsqu’il s’agit d’une étape dans une méthode scientifique, qui a par exemple pour finalité de tester un modèle) et prédiction anticipatrice (lorsqu’il s’agit bel et bien de prévoir quelque chose) : </w:t>
      </w:r>
      <w:commentRangeStart w:id="19"/>
      <w:commentRangeStart w:id="20"/>
      <w:r>
        <w:rPr>
          <w:rFonts w:cs="Times New Roman"/>
          <w:sz w:val="24"/>
          <w:szCs w:val="24"/>
        </w:rPr>
        <w:t>c’est à cette dernière que correspondent les scénarios du GIEC</w:t>
      </w:r>
      <w:commentRangeEnd w:id="19"/>
      <w:r w:rsidR="003F168B">
        <w:rPr>
          <w:rStyle w:val="Marquedecommentaire"/>
        </w:rPr>
        <w:commentReference w:id="19"/>
      </w:r>
      <w:commentRangeEnd w:id="20"/>
      <w:r w:rsidR="003F168B">
        <w:rPr>
          <w:rStyle w:val="Marquedecommentaire"/>
        </w:rPr>
        <w:commentReference w:id="20"/>
      </w:r>
      <w:r>
        <w:rPr>
          <w:rFonts w:cs="Times New Roman"/>
          <w:sz w:val="24"/>
          <w:szCs w:val="24"/>
        </w:rPr>
        <w:t xml:space="preserve"> et les modélisations d’aires de répartition d’espèces évoqués plus haut. Virginie Maris et ses co-auteurs sont également attentifs aux obstacles</w:t>
      </w:r>
      <w:r>
        <w:rPr>
          <w:rStyle w:val="Appelnotedebasdep"/>
          <w:rFonts w:cs="Times New Roman"/>
          <w:sz w:val="24"/>
          <w:szCs w:val="24"/>
        </w:rPr>
        <w:footnoteReference w:id="3"/>
      </w:r>
      <w:r>
        <w:rPr>
          <w:rFonts w:cs="Times New Roman"/>
          <w:sz w:val="24"/>
          <w:szCs w:val="24"/>
        </w:rPr>
        <w:t xml:space="preserve"> à la possibilité de prédictions « réelles », en écologie, soulignant en particulier la contingence irréductible des processus évolutifs, et la complexité des systèmes écologiques qui, en conjoignant plusieurs échelles de causalité, peut induire des phénomènes d’émergence ou de </w:t>
      </w:r>
      <w:proofErr w:type="spellStart"/>
      <w:r>
        <w:rPr>
          <w:rFonts w:cs="Times New Roman"/>
          <w:sz w:val="24"/>
          <w:szCs w:val="24"/>
        </w:rPr>
        <w:t>stochasticité</w:t>
      </w:r>
      <w:proofErr w:type="spellEnd"/>
      <w:r>
        <w:rPr>
          <w:rFonts w:cs="Times New Roman"/>
          <w:sz w:val="24"/>
          <w:szCs w:val="24"/>
        </w:rPr>
        <w:t xml:space="preserve">. Néanmoins, ils et elles portent sur les prédictions anticipatrices un regard pragmatique, estimant que ces prédictions ont pour fonction de </w:t>
      </w:r>
      <w:commentRangeStart w:id="21"/>
      <w:r>
        <w:rPr>
          <w:rFonts w:cs="Times New Roman"/>
          <w:sz w:val="24"/>
          <w:szCs w:val="24"/>
        </w:rPr>
        <w:t>guider la prise de décisions, et donc d’influencer le futur, plutôt que de le prévoir effectivement : il s’agit d’un outil pragmatique, plutôt que strictement épistémique</w:t>
      </w:r>
      <w:commentRangeEnd w:id="21"/>
      <w:r w:rsidR="00F75921">
        <w:rPr>
          <w:rStyle w:val="Marquedecommentaire"/>
        </w:rPr>
        <w:commentReference w:id="21"/>
      </w:r>
      <w:r>
        <w:rPr>
          <w:rFonts w:cs="Times New Roman"/>
          <w:sz w:val="24"/>
          <w:szCs w:val="24"/>
        </w:rPr>
        <w:t xml:space="preserve">. </w:t>
      </w:r>
    </w:p>
    <w:p w14:paraId="352A99E1" w14:textId="77777777" w:rsidR="000A3C18" w:rsidRDefault="000A3C18" w:rsidP="000A3C18">
      <w:pPr>
        <w:spacing w:line="276" w:lineRule="auto"/>
        <w:ind w:firstLine="708"/>
        <w:rPr>
          <w:rFonts w:cs="Times New Roman"/>
          <w:sz w:val="24"/>
          <w:szCs w:val="24"/>
        </w:rPr>
      </w:pPr>
      <w:r>
        <w:rPr>
          <w:rFonts w:cs="Times New Roman"/>
          <w:sz w:val="24"/>
          <w:szCs w:val="24"/>
        </w:rPr>
        <w:lastRenderedPageBreak/>
        <w:t xml:space="preserve">Enfin, dans une perspective toute différente et très complémentaire, plutôt apparentée à une sociologie historique des savoirs, Céline </w:t>
      </w:r>
      <w:proofErr w:type="spellStart"/>
      <w:r>
        <w:rPr>
          <w:rFonts w:cs="Times New Roman"/>
          <w:sz w:val="24"/>
          <w:szCs w:val="24"/>
        </w:rPr>
        <w:t>Granjou</w:t>
      </w:r>
      <w:proofErr w:type="spellEnd"/>
      <w:r>
        <w:rPr>
          <w:rFonts w:cs="Times New Roman"/>
          <w:sz w:val="24"/>
          <w:szCs w:val="24"/>
        </w:rPr>
        <w:t xml:space="preserve"> et ses co-auteurs et co-autrices</w:t>
      </w:r>
      <w:r w:rsidRPr="000A7D1D">
        <w:rPr>
          <w:rFonts w:cs="Times New Roman"/>
          <w:sz w:val="24"/>
          <w:szCs w:val="24"/>
        </w:rPr>
        <w:t xml:space="preserve"> </w:t>
      </w:r>
      <w:r>
        <w:rPr>
          <w:rFonts w:cs="Times New Roman"/>
          <w:sz w:val="24"/>
          <w:szCs w:val="24"/>
        </w:rPr>
        <w:t>ont mis</w:t>
      </w:r>
      <w:r w:rsidRPr="000A7D1D">
        <w:rPr>
          <w:rFonts w:cs="Times New Roman"/>
          <w:sz w:val="24"/>
          <w:szCs w:val="24"/>
        </w:rPr>
        <w:t xml:space="preserve"> en évidence </w:t>
      </w:r>
      <w:r>
        <w:rPr>
          <w:rFonts w:cs="Times New Roman"/>
          <w:sz w:val="24"/>
          <w:szCs w:val="24"/>
        </w:rPr>
        <w:t>que l’origine historique des</w:t>
      </w:r>
      <w:r w:rsidRPr="000A7D1D">
        <w:rPr>
          <w:rFonts w:cs="Times New Roman"/>
          <w:sz w:val="24"/>
          <w:szCs w:val="24"/>
        </w:rPr>
        <w:t xml:space="preserve"> </w:t>
      </w:r>
      <w:r>
        <w:rPr>
          <w:rFonts w:cs="Times New Roman"/>
          <w:sz w:val="24"/>
          <w:szCs w:val="24"/>
        </w:rPr>
        <w:t>méthodes d’anticipation environnementales</w:t>
      </w:r>
      <w:r w:rsidRPr="000A7D1D">
        <w:rPr>
          <w:rFonts w:cs="Times New Roman"/>
          <w:sz w:val="24"/>
          <w:szCs w:val="24"/>
        </w:rPr>
        <w:t xml:space="preserve"> </w:t>
      </w:r>
      <w:r>
        <w:rPr>
          <w:rFonts w:cs="Times New Roman"/>
          <w:sz w:val="24"/>
          <w:szCs w:val="24"/>
        </w:rPr>
        <w:t>est intrinsèquement liée au monde</w:t>
      </w:r>
      <w:r w:rsidRPr="000A7D1D">
        <w:rPr>
          <w:rFonts w:cs="Times New Roman"/>
          <w:sz w:val="24"/>
          <w:szCs w:val="24"/>
        </w:rPr>
        <w:t xml:space="preserve"> industriel</w:t>
      </w:r>
      <w:r>
        <w:rPr>
          <w:rFonts w:cs="Times New Roman"/>
          <w:sz w:val="24"/>
          <w:szCs w:val="24"/>
        </w:rPr>
        <w:t xml:space="preserve">, et que ces techniques d’anticipation se sont plusieurs fois nouées historiquement à des activités anti-environnementalistes </w:t>
      </w:r>
      <w:r>
        <w:rPr>
          <w:rFonts w:cs="Times New Roman"/>
          <w:sz w:val="24"/>
          <w:szCs w:val="24"/>
        </w:rPr>
        <w:fldChar w:fldCharType="begin"/>
      </w:r>
      <w:r>
        <w:rPr>
          <w:rFonts w:cs="Times New Roman"/>
          <w:sz w:val="24"/>
          <w:szCs w:val="24"/>
        </w:rPr>
        <w:instrText xml:space="preserve"> ADDIN ZOTERO_ITEM CSL_CITATION {"citationID":"0pPTiZx0","properties":{"formattedCitation":"(Granjou, Walker et Salazar, 2017)","plainCitation":"(Granjou, Walker et Salazar, 2017)","noteIndex":0},"citationItems":[{"id":1070,"uris":["http://zotero.org/users/6308231/items/HBQ7VTSQ"],"itemData":{"id":1070,"type":"article-journal","container-title":"Futures","note":"publisher: Elsevier","page":"5–11","source":"Google Scholar","title":"The politics of anticipation: On knowing and governing environmental futures","title-short":"The politics of anticipation","volume":"92","author":[{"family":"Granjou","given":"Céline"},{"family":"Walker","given":"Jeremy"},{"family":"Salazar","given":"Juan Francisco"}],"issued":{"date-parts":[["2017"]]}}}],"schema":"https://github.com/citation-style-language/schema/raw/master/csl-citation.json"} </w:instrText>
      </w:r>
      <w:r>
        <w:rPr>
          <w:rFonts w:cs="Times New Roman"/>
          <w:sz w:val="24"/>
          <w:szCs w:val="24"/>
        </w:rPr>
        <w:fldChar w:fldCharType="separate"/>
      </w:r>
      <w:r w:rsidRPr="00CA1E5B">
        <w:rPr>
          <w:rFonts w:cs="Times New Roman"/>
          <w:sz w:val="24"/>
        </w:rPr>
        <w:t>(Granjou, Walker et Salazar, 2017)</w:t>
      </w:r>
      <w:r>
        <w:rPr>
          <w:rFonts w:cs="Times New Roman"/>
          <w:sz w:val="24"/>
          <w:szCs w:val="24"/>
        </w:rPr>
        <w:fldChar w:fldCharType="end"/>
      </w:r>
      <w:r>
        <w:rPr>
          <w:rFonts w:cs="Times New Roman"/>
          <w:sz w:val="24"/>
          <w:szCs w:val="24"/>
        </w:rPr>
        <w:t>.</w:t>
      </w:r>
    </w:p>
    <w:p w14:paraId="3E5E1113" w14:textId="3E4925E2" w:rsidR="000A3C18" w:rsidRPr="00995448" w:rsidRDefault="000A3C18" w:rsidP="000A3C18">
      <w:pPr>
        <w:spacing w:line="276" w:lineRule="auto"/>
        <w:ind w:firstLine="708"/>
        <w:rPr>
          <w:rFonts w:cs="Adobe Garamond Pro"/>
          <w:color w:val="000000"/>
          <w:sz w:val="21"/>
          <w:szCs w:val="21"/>
        </w:rPr>
      </w:pPr>
      <w:r>
        <w:rPr>
          <w:rFonts w:cs="Times New Roman"/>
          <w:sz w:val="24"/>
          <w:szCs w:val="24"/>
        </w:rPr>
        <w:t xml:space="preserve"> Ces travaux nous invitent donc à une certaine vigilance face aux ambitions épistémologiques des modèles de prédictions, mais aussi à leurs effets, lorsqu’ils donnent à imaginer un futur déterminé – et c’est un risque lié à </w:t>
      </w:r>
      <w:r w:rsidR="002668C1">
        <w:rPr>
          <w:rFonts w:cs="Times New Roman"/>
          <w:sz w:val="24"/>
          <w:szCs w:val="24"/>
        </w:rPr>
        <w:t>cette imagination</w:t>
      </w:r>
      <w:r>
        <w:rPr>
          <w:rFonts w:cs="Times New Roman"/>
          <w:sz w:val="24"/>
          <w:szCs w:val="24"/>
        </w:rPr>
        <w:t xml:space="preserve"> d’un futur déterminé que nous évoquerons dans la section suivante.</w:t>
      </w:r>
    </w:p>
    <w:p w14:paraId="39C1D28E" w14:textId="77777777" w:rsidR="000A3C18" w:rsidRPr="000A7D1D" w:rsidRDefault="000A3C18" w:rsidP="000A3C18">
      <w:pPr>
        <w:spacing w:line="276" w:lineRule="auto"/>
        <w:ind w:firstLine="708"/>
        <w:jc w:val="both"/>
        <w:rPr>
          <w:rFonts w:cs="Times New Roman"/>
          <w:sz w:val="24"/>
          <w:szCs w:val="24"/>
        </w:rPr>
      </w:pPr>
    </w:p>
    <w:p w14:paraId="5BB76475" w14:textId="77777777" w:rsidR="000A3C18" w:rsidRDefault="000A3C18" w:rsidP="000A3C18">
      <w:pPr>
        <w:pStyle w:val="Titre3"/>
      </w:pPr>
      <w:r>
        <w:t>Le risque de la prédiction performative</w:t>
      </w:r>
    </w:p>
    <w:p w14:paraId="2595B24C" w14:textId="77777777" w:rsidR="000A3C18" w:rsidRDefault="000A3C18" w:rsidP="000A3C18">
      <w:pPr>
        <w:spacing w:line="276" w:lineRule="auto"/>
        <w:rPr>
          <w:sz w:val="24"/>
          <w:szCs w:val="24"/>
        </w:rPr>
      </w:pPr>
      <w:r>
        <w:tab/>
      </w:r>
      <w:r>
        <w:rPr>
          <w:sz w:val="24"/>
          <w:szCs w:val="24"/>
        </w:rPr>
        <w:t xml:space="preserve">En plus des limites épistémologiques qui concernent les possibilités de leur élaboration, les prévisions sur lesquelles s’adossent les projets de MA et de FGA sont porteuses d’un risque </w:t>
      </w:r>
      <w:r w:rsidRPr="00042D71">
        <w:rPr>
          <w:i/>
          <w:sz w:val="24"/>
          <w:szCs w:val="24"/>
        </w:rPr>
        <w:t>a posteriori</w:t>
      </w:r>
      <w:r>
        <w:rPr>
          <w:sz w:val="24"/>
          <w:szCs w:val="24"/>
        </w:rPr>
        <w:t xml:space="preserve">. Ce </w:t>
      </w:r>
      <w:r w:rsidRPr="008319E0">
        <w:rPr>
          <w:sz w:val="24"/>
          <w:szCs w:val="24"/>
        </w:rPr>
        <w:t xml:space="preserve">à quoi </w:t>
      </w:r>
      <w:r>
        <w:rPr>
          <w:sz w:val="24"/>
          <w:szCs w:val="24"/>
        </w:rPr>
        <w:t>risquent d’inciter, en effet,</w:t>
      </w:r>
      <w:r w:rsidRPr="008319E0">
        <w:rPr>
          <w:sz w:val="24"/>
          <w:szCs w:val="24"/>
        </w:rPr>
        <w:t xml:space="preserve"> les simulations d’aires de répartition futures</w:t>
      </w:r>
      <w:r>
        <w:rPr>
          <w:sz w:val="24"/>
          <w:szCs w:val="24"/>
        </w:rPr>
        <w:t xml:space="preserve"> pour les espèces végétales</w:t>
      </w:r>
      <w:r w:rsidRPr="008319E0">
        <w:rPr>
          <w:sz w:val="24"/>
          <w:szCs w:val="24"/>
        </w:rPr>
        <w:t>, c’est à planter par avance les espèces dont on prévoit qu’elles connaîtront des conditions de vie favorables</w:t>
      </w:r>
      <w:r>
        <w:rPr>
          <w:sz w:val="24"/>
          <w:szCs w:val="24"/>
        </w:rPr>
        <w:t xml:space="preserve"> dans les sites où l’on prévoit une forte mortalité des espèces actuellement en présence - et ce faisant, à réaliser la prophétie</w:t>
      </w:r>
      <w:r>
        <w:rPr>
          <w:rStyle w:val="Appelnotedebasdep"/>
          <w:sz w:val="24"/>
          <w:szCs w:val="24"/>
        </w:rPr>
        <w:footnoteReference w:id="4"/>
      </w:r>
      <w:r w:rsidRPr="008319E0">
        <w:rPr>
          <w:sz w:val="24"/>
          <w:szCs w:val="24"/>
        </w:rPr>
        <w:t>.</w:t>
      </w:r>
      <w:r>
        <w:rPr>
          <w:sz w:val="24"/>
          <w:szCs w:val="24"/>
        </w:rPr>
        <w:t xml:space="preserve"> Ce risque est d’ailleurs bien perçu par certains praticiens, sensibles au fait que les changements climatiques et </w:t>
      </w:r>
      <w:proofErr w:type="gramStart"/>
      <w:r>
        <w:rPr>
          <w:sz w:val="24"/>
          <w:szCs w:val="24"/>
        </w:rPr>
        <w:t>l’injonction  d’agir</w:t>
      </w:r>
      <w:proofErr w:type="gramEnd"/>
      <w:r>
        <w:rPr>
          <w:sz w:val="24"/>
          <w:szCs w:val="24"/>
        </w:rPr>
        <w:t xml:space="preserve"> qui accompagnent leur montée en puissance constituent parfois</w:t>
      </w:r>
      <w:r w:rsidRPr="0008400C">
        <w:rPr>
          <w:rFonts w:cs="Times New Roman"/>
          <w:sz w:val="24"/>
          <w:szCs w:val="24"/>
        </w:rPr>
        <w:t xml:space="preserve"> </w:t>
      </w:r>
      <w:r w:rsidRPr="0008400C">
        <w:rPr>
          <w:rFonts w:cs="Times New Roman"/>
          <w:color w:val="000000"/>
          <w:sz w:val="24"/>
          <w:szCs w:val="24"/>
        </w:rPr>
        <w:t>« un argument d’autorité pour dire qu’il faut être un peu interventio</w:t>
      </w:r>
      <w:r>
        <w:rPr>
          <w:rFonts w:cs="Times New Roman"/>
          <w:color w:val="000000"/>
          <w:sz w:val="24"/>
          <w:szCs w:val="24"/>
        </w:rPr>
        <w:t>n</w:t>
      </w:r>
      <w:r w:rsidRPr="0008400C">
        <w:rPr>
          <w:rFonts w:cs="Times New Roman"/>
          <w:color w:val="000000"/>
          <w:sz w:val="24"/>
          <w:szCs w:val="24"/>
        </w:rPr>
        <w:t>niste</w:t>
      </w:r>
      <w:r>
        <w:rPr>
          <w:rFonts w:cs="Times New Roman"/>
          <w:color w:val="000000"/>
          <w:sz w:val="24"/>
          <w:szCs w:val="24"/>
        </w:rPr>
        <w:t xml:space="preserve"> </w:t>
      </w:r>
      <w:r w:rsidRPr="0008400C">
        <w:rPr>
          <w:rFonts w:cs="Times New Roman"/>
          <w:color w:val="000000"/>
          <w:sz w:val="24"/>
          <w:szCs w:val="24"/>
        </w:rPr>
        <w:t xml:space="preserve">: </w:t>
      </w:r>
      <w:r>
        <w:rPr>
          <w:rFonts w:cs="Times New Roman"/>
          <w:color w:val="000000"/>
          <w:sz w:val="24"/>
          <w:szCs w:val="24"/>
        </w:rPr>
        <w:t xml:space="preserve">“ </w:t>
      </w:r>
      <w:r w:rsidRPr="0008400C">
        <w:rPr>
          <w:rFonts w:cs="Times New Roman"/>
          <w:color w:val="000000"/>
          <w:sz w:val="24"/>
          <w:szCs w:val="24"/>
        </w:rPr>
        <w:t xml:space="preserve">il va faire + 4 °, il faut faire quelque chose </w:t>
      </w:r>
      <w:r>
        <w:rPr>
          <w:sz w:val="24"/>
          <w:szCs w:val="24"/>
        </w:rPr>
        <w:t xml:space="preserve">– </w:t>
      </w:r>
      <w:r w:rsidRPr="0008400C">
        <w:rPr>
          <w:rFonts w:cs="Times New Roman"/>
          <w:color w:val="000000"/>
          <w:sz w:val="24"/>
          <w:szCs w:val="24"/>
        </w:rPr>
        <w:t xml:space="preserve">oui alors il faut planter du chêne vert, partout en </w:t>
      </w:r>
      <w:r>
        <w:rPr>
          <w:rFonts w:cs="Times New Roman"/>
          <w:color w:val="000000"/>
          <w:sz w:val="24"/>
          <w:szCs w:val="24"/>
        </w:rPr>
        <w:t>France”</w:t>
      </w:r>
      <w:r w:rsidRPr="0008400C">
        <w:rPr>
          <w:rFonts w:cs="Times New Roman"/>
          <w:color w:val="000000"/>
          <w:sz w:val="24"/>
          <w:szCs w:val="24"/>
        </w:rPr>
        <w:t> » (chercheur en écologie végétale</w:t>
      </w:r>
      <w:r>
        <w:rPr>
          <w:rFonts w:cs="Times New Roman"/>
          <w:color w:val="000000"/>
          <w:sz w:val="24"/>
          <w:szCs w:val="24"/>
        </w:rPr>
        <w:t>, 2021</w:t>
      </w:r>
      <w:r w:rsidRPr="0008400C">
        <w:rPr>
          <w:rFonts w:cs="Times New Roman"/>
          <w:color w:val="000000"/>
          <w:sz w:val="24"/>
          <w:szCs w:val="24"/>
        </w:rPr>
        <w:t>)</w:t>
      </w:r>
      <w:r>
        <w:rPr>
          <w:rFonts w:cs="Times New Roman"/>
          <w:color w:val="000000"/>
          <w:sz w:val="24"/>
          <w:szCs w:val="24"/>
        </w:rPr>
        <w:t xml:space="preserve">. </w:t>
      </w:r>
      <w:r>
        <w:rPr>
          <w:rFonts w:cs="Times New Roman"/>
          <w:sz w:val="24"/>
          <w:szCs w:val="24"/>
        </w:rPr>
        <w:t xml:space="preserve">Cet effet pervers est également ressenti par certains forestiers : </w:t>
      </w:r>
      <w:r w:rsidRPr="003C73EE">
        <w:rPr>
          <w:rFonts w:cs="Times New Roman"/>
          <w:sz w:val="24"/>
          <w:szCs w:val="24"/>
        </w:rPr>
        <w:t>« </w:t>
      </w:r>
      <w:r w:rsidRPr="003C73EE">
        <w:rPr>
          <w:sz w:val="24"/>
          <w:szCs w:val="24"/>
        </w:rPr>
        <w:t xml:space="preserve">Le discours « anti hêtre » lié aux effets du changement climatique ne risque-t-il pas de démotiver à trouver des moyens de mieux valoriser cette filière pourtant stratégique pour la </w:t>
      </w:r>
      <w:r>
        <w:rPr>
          <w:sz w:val="24"/>
          <w:szCs w:val="24"/>
        </w:rPr>
        <w:t>France ? » (</w:t>
      </w:r>
      <w:proofErr w:type="gramStart"/>
      <w:r>
        <w:rPr>
          <w:sz w:val="24"/>
          <w:szCs w:val="24"/>
        </w:rPr>
        <w:t>forestier</w:t>
      </w:r>
      <w:proofErr w:type="gramEnd"/>
      <w:r>
        <w:rPr>
          <w:sz w:val="24"/>
          <w:szCs w:val="24"/>
        </w:rPr>
        <w:t xml:space="preserve">, 2021). </w:t>
      </w:r>
    </w:p>
    <w:p w14:paraId="7AE5E69F" w14:textId="77777777" w:rsidR="000A3C18" w:rsidRDefault="000A3C18" w:rsidP="000A3C18">
      <w:pPr>
        <w:spacing w:line="276" w:lineRule="auto"/>
        <w:rPr>
          <w:rFonts w:cs="Times New Roman"/>
          <w:sz w:val="24"/>
          <w:szCs w:val="24"/>
        </w:rPr>
      </w:pPr>
      <w:r>
        <w:rPr>
          <w:sz w:val="24"/>
          <w:szCs w:val="24"/>
        </w:rPr>
        <w:t xml:space="preserve"> Les manières de modéliser ont alors toute leur importance, car selon qu’ils sont plus ou moins optimistes, ou pessimistes, les modèles n’incitent pas aux mêmes choix. Par exemple les modèles niches-centrés que nous avons évoqué plus haut (ceux qui procèdent par corrélation statistique) tendent à prédire des taux plus élevés d’extinction que les modèles processus-centrés, </w:t>
      </w:r>
      <w:commentRangeStart w:id="22"/>
      <w:r>
        <w:rPr>
          <w:sz w:val="24"/>
          <w:szCs w:val="24"/>
        </w:rPr>
        <w:t>qui prennent en compte les adaptations locales et la plasticité phénotypique</w:t>
      </w:r>
      <w:commentRangeEnd w:id="22"/>
      <w:r w:rsidR="002668C1">
        <w:rPr>
          <w:rStyle w:val="Marquedecommentaire"/>
        </w:rPr>
        <w:commentReference w:id="22"/>
      </w:r>
      <w:r>
        <w:rPr>
          <w:sz w:val="24"/>
          <w:szCs w:val="24"/>
        </w:rPr>
        <w:t xml:space="preserve">, comme l’ont montré Xavier Morin et Wilfried </w:t>
      </w:r>
      <w:proofErr w:type="spellStart"/>
      <w:r>
        <w:rPr>
          <w:sz w:val="24"/>
          <w:szCs w:val="24"/>
        </w:rPr>
        <w:t>Thuiller</w:t>
      </w:r>
      <w:proofErr w:type="spellEnd"/>
      <w:r>
        <w:rPr>
          <w:sz w:val="24"/>
          <w:szCs w:val="24"/>
        </w:rPr>
        <w:t xml:space="preserve"> par une comparaison d’un ensemble de modèles des différents types </w:t>
      </w:r>
      <w:r>
        <w:rPr>
          <w:sz w:val="24"/>
          <w:szCs w:val="24"/>
        </w:rPr>
        <w:fldChar w:fldCharType="begin"/>
      </w:r>
      <w:r>
        <w:rPr>
          <w:sz w:val="24"/>
          <w:szCs w:val="24"/>
        </w:rPr>
        <w:instrText xml:space="preserve"> ADDIN ZOTERO_ITEM CSL_CITATION {"citationID":"aKMV2y0s","properties":{"formattedCitation":"(Morin et Thuiller, 2009)","plainCitation":"(Morin et Thuiller, 2009)","dontUpdate":true,"noteIndex":0},"citationItems":[{"id":669,"uris":["http://zotero.org/users/6308231/items/ZSV5KNI5"],"itemData":{"id":669,"type":"article-journal","abstract":"Obtaining reliable predictions of species range shifts under climate change is a crucial challenge for ecologists and stakeholders. At the continental scale, niche-based models have been widely used in the last 10 years to predict the potential impacts of climate change on species distributions all over the world, although these models do not include any mechanistic relationships. In contrast, species-specific, process-based predictions remain scarce at the continental scale. This is regrettable because to secure relevant and accurate predictions it is always desirable to compare predictions derived from different kinds of models applied independently to the same set of species and using the same raw data. Here we compare predictions of range shifts under climate change scenarios for 2100 derived from niche-based models with those of a process-based model for 15 North American boreal and temperate tree species. A general pattern emerged from our comparisons: niche-based models tend to predict a stronger level of extinction and a greater proportion of colonization than the process-based model. This result likely arises because niche-based models do not take phenotypic plasticity and local adaptation into account. Nevertheless, as the two kinds of models rely on different assumptions, their complementarity is revealed by common findings. Both modeling approaches highlight a major potential limitation on species tracking their climatic niche because of migration constraints and identify similar zones where species extirpation is likely. Such convergent predictions from models built on very different principles provide a useful way to offset uncertainties at the continental scale. This study shows that the use in concert of both approaches with their own caveats and advantages is crucial to obtain more robust results and that comparisons among models are needed in the near future to gain accuracy regarding predictions of range shifts under climate change.","container-title":"Ecology","DOI":"10.1890/08-0134.1","ISSN":"1939-9170","issue":"5","language":"en","license":"© 2009 by the Ecological Society of America","note":"_eprint: https://esajournals.onlinelibrary.wiley.com/doi/pdf/10.1890/08-0134.1","page":"1301-1313","source":"Wiley Online Library","title":"Comparing niche- and process-based models to reduce prediction uncertainty in species range shifts under climate change","volume":"90","author":[{"family":"Morin","given":"Xavier"},{"family":"Thuiller","given":"Wilfried"}],"issued":{"date-parts":[["2009"]]}}}],"schema":"https://github.com/citation-style-language/schema/raw/master/csl-citation.json"} </w:instrText>
      </w:r>
      <w:r>
        <w:rPr>
          <w:sz w:val="24"/>
          <w:szCs w:val="24"/>
        </w:rPr>
        <w:fldChar w:fldCharType="separate"/>
      </w:r>
      <w:r w:rsidRPr="00C43FF1">
        <w:rPr>
          <w:rFonts w:cs="Times New Roman"/>
          <w:sz w:val="24"/>
        </w:rPr>
        <w:t>(2009)</w:t>
      </w:r>
      <w:r>
        <w:rPr>
          <w:sz w:val="24"/>
          <w:szCs w:val="24"/>
        </w:rPr>
        <w:fldChar w:fldCharType="end"/>
      </w:r>
      <w:r>
        <w:rPr>
          <w:sz w:val="24"/>
          <w:szCs w:val="24"/>
        </w:rPr>
        <w:t xml:space="preserve">. Cette tendance à l’optimisme ou au pessimisme concerne non seulement les modèles centrés sur des espèces précises, mais aussi les </w:t>
      </w:r>
      <w:r>
        <w:rPr>
          <w:rFonts w:cs="Times New Roman"/>
          <w:sz w:val="24"/>
          <w:szCs w:val="24"/>
        </w:rPr>
        <w:t xml:space="preserve">modèles dits de végétation globale dynamique. Par exemple, les prévisions issues d’un modèle bioclimatique calibré sur la flore des forêts provençales, mis au point par Michel </w:t>
      </w:r>
      <w:proofErr w:type="spellStart"/>
      <w:r>
        <w:rPr>
          <w:rFonts w:cs="Times New Roman"/>
          <w:sz w:val="24"/>
          <w:szCs w:val="24"/>
        </w:rPr>
        <w:t>Vennetier</w:t>
      </w:r>
      <w:proofErr w:type="spellEnd"/>
      <w:r>
        <w:rPr>
          <w:rFonts w:cs="Times New Roman"/>
          <w:sz w:val="24"/>
          <w:szCs w:val="24"/>
        </w:rPr>
        <w:t xml:space="preserve"> et Christian Ripert dès 1995, ont pu être confrontées aux changements </w:t>
      </w:r>
      <w:r>
        <w:rPr>
          <w:rFonts w:cs="Times New Roman"/>
          <w:sz w:val="24"/>
          <w:szCs w:val="24"/>
        </w:rPr>
        <w:lastRenderedPageBreak/>
        <w:t xml:space="preserve">effectivement constatés, en 2008, sur des placettes initialement observées en 1998. Cette confrontation des prévisions aux observations leur permet de remarquer que </w:t>
      </w:r>
      <w:r w:rsidRPr="000A7D1D">
        <w:rPr>
          <w:rFonts w:cs="Times New Roman"/>
          <w:sz w:val="24"/>
          <w:szCs w:val="24"/>
        </w:rPr>
        <w:t>« </w:t>
      </w:r>
      <w:r>
        <w:rPr>
          <w:rFonts w:cs="Times New Roman"/>
          <w:sz w:val="24"/>
          <w:szCs w:val="24"/>
        </w:rPr>
        <w:t>le</w:t>
      </w:r>
      <w:r w:rsidRPr="000A7D1D">
        <w:rPr>
          <w:rFonts w:cs="Times New Roman"/>
          <w:sz w:val="24"/>
          <w:szCs w:val="24"/>
        </w:rPr>
        <w:t xml:space="preserve"> taux de variation qualitatif de la flore lié au climat (10-15%) est inférieur à celui qui est prédit par le modèle (25%) sur la base du climat des 10 dernières années (2008-</w:t>
      </w:r>
      <w:r>
        <w:rPr>
          <w:rFonts w:cs="Times New Roman"/>
          <w:sz w:val="24"/>
          <w:szCs w:val="24"/>
        </w:rPr>
        <w:t>201</w:t>
      </w:r>
      <w:r w:rsidRPr="000A7D1D">
        <w:rPr>
          <w:rFonts w:cs="Times New Roman"/>
          <w:sz w:val="24"/>
          <w:szCs w:val="24"/>
        </w:rPr>
        <w:t>8). Cela indique que la flore possède, heureusement, une certaine inertie face aux changements d'environnement. »</w:t>
      </w:r>
      <w:r>
        <w:rPr>
          <w:rFonts w:cs="Times New Roman"/>
          <w:sz w:val="24"/>
          <w:szCs w:val="24"/>
        </w:rPr>
        <w:t xml:space="preserve"> Un tel modèle peut donc être dit pessimiste, en ce qui concerne la résistance des végétaux en place. A l’inverse, il existe des modèles optimistes : on peut penser en particulier que les modèles qui n’incluent pas l’effet de l’augmentation des aléas et </w:t>
      </w:r>
      <w:proofErr w:type="spellStart"/>
      <w:r>
        <w:rPr>
          <w:rFonts w:cs="Times New Roman"/>
          <w:sz w:val="24"/>
          <w:szCs w:val="24"/>
        </w:rPr>
        <w:t>extrèmes</w:t>
      </w:r>
      <w:proofErr w:type="spellEnd"/>
      <w:r>
        <w:rPr>
          <w:rFonts w:cs="Times New Roman"/>
          <w:sz w:val="24"/>
          <w:szCs w:val="24"/>
        </w:rPr>
        <w:t xml:space="preserve"> climatiques (par exemple, l’augmentation de la variance </w:t>
      </w:r>
      <w:proofErr w:type="spellStart"/>
      <w:r>
        <w:rPr>
          <w:rFonts w:cs="Times New Roman"/>
          <w:sz w:val="24"/>
          <w:szCs w:val="24"/>
        </w:rPr>
        <w:t>inter-annuelle</w:t>
      </w:r>
      <w:proofErr w:type="spellEnd"/>
      <w:r>
        <w:rPr>
          <w:rFonts w:cs="Times New Roman"/>
          <w:sz w:val="24"/>
          <w:szCs w:val="24"/>
        </w:rPr>
        <w:t xml:space="preserve"> de température ou de précipitations) portent une hypothèse de climat relativement stable – donc plus optimiste quant la résistance de la végétation en place. C’est tout l’intérêt des démarches qui confrontent les prévisions d’un modèle aux observations réelles, que de déjouer ces biais optimistes ou pessimistes – mais ceci n’est bien sûr possible que pour des prévisions de court terme, ou lorsque les modèles ont été élaborés de manière précoce, comme celui de </w:t>
      </w:r>
      <w:proofErr w:type="spellStart"/>
      <w:r>
        <w:rPr>
          <w:rFonts w:cs="Times New Roman"/>
          <w:sz w:val="24"/>
          <w:szCs w:val="24"/>
        </w:rPr>
        <w:t>Vennetier</w:t>
      </w:r>
      <w:proofErr w:type="spellEnd"/>
      <w:r>
        <w:rPr>
          <w:rFonts w:cs="Times New Roman"/>
          <w:sz w:val="24"/>
          <w:szCs w:val="24"/>
        </w:rPr>
        <w:t xml:space="preserve"> et de Ripert. </w:t>
      </w:r>
    </w:p>
    <w:p w14:paraId="60CD59DF" w14:textId="77777777" w:rsidR="000A3C18" w:rsidRPr="00945447" w:rsidRDefault="000A3C18" w:rsidP="000A3C18">
      <w:pPr>
        <w:spacing w:line="276" w:lineRule="auto"/>
        <w:ind w:firstLine="708"/>
        <w:rPr>
          <w:sz w:val="24"/>
          <w:szCs w:val="24"/>
        </w:rPr>
      </w:pPr>
      <w:r>
        <w:rPr>
          <w:sz w:val="24"/>
          <w:szCs w:val="24"/>
        </w:rPr>
        <w:t xml:space="preserve"> Au-delà des questions épistémologiques, o</w:t>
      </w:r>
      <w:r w:rsidRPr="008319E0">
        <w:rPr>
          <w:sz w:val="24"/>
          <w:szCs w:val="24"/>
        </w:rPr>
        <w:t xml:space="preserve">n conçoit que ces deux </w:t>
      </w:r>
      <w:r>
        <w:rPr>
          <w:sz w:val="24"/>
          <w:szCs w:val="24"/>
        </w:rPr>
        <w:t>orientations</w:t>
      </w:r>
      <w:r w:rsidRPr="008319E0">
        <w:rPr>
          <w:sz w:val="24"/>
          <w:szCs w:val="24"/>
        </w:rPr>
        <w:t xml:space="preserve"> tendent à des attitudes distinctes</w:t>
      </w:r>
      <w:r>
        <w:rPr>
          <w:sz w:val="24"/>
          <w:szCs w:val="24"/>
        </w:rPr>
        <w:t xml:space="preserve"> : anticiper des répartitions futures fortement distinctes, ou des variations qualitatives élevées dans les compositions des écosystèmes invite à accompagner les déplacements et substitutions d’espèces en les accélérant, </w:t>
      </w:r>
      <w:commentRangeStart w:id="23"/>
      <w:commentRangeStart w:id="24"/>
      <w:commentRangeStart w:id="25"/>
      <w:r>
        <w:rPr>
          <w:sz w:val="24"/>
          <w:szCs w:val="24"/>
        </w:rPr>
        <w:t>tandis que mettre en évidence</w:t>
      </w:r>
      <w:r w:rsidRPr="008319E0">
        <w:rPr>
          <w:sz w:val="24"/>
          <w:szCs w:val="24"/>
        </w:rPr>
        <w:t xml:space="preserve"> la </w:t>
      </w:r>
      <w:r>
        <w:rPr>
          <w:sz w:val="24"/>
          <w:szCs w:val="24"/>
        </w:rPr>
        <w:t>plasticité physiologique</w:t>
      </w:r>
      <w:r w:rsidRPr="008319E0">
        <w:rPr>
          <w:sz w:val="24"/>
          <w:szCs w:val="24"/>
        </w:rPr>
        <w:t xml:space="preserve"> des végétaux </w:t>
      </w:r>
      <w:r>
        <w:rPr>
          <w:sz w:val="24"/>
          <w:szCs w:val="24"/>
        </w:rPr>
        <w:t>actuellement en place dispose plutôt à miser sur leur résistance</w:t>
      </w:r>
      <w:commentRangeEnd w:id="23"/>
      <w:r w:rsidR="00346258">
        <w:rPr>
          <w:rStyle w:val="Marquedecommentaire"/>
        </w:rPr>
        <w:commentReference w:id="23"/>
      </w:r>
      <w:commentRangeEnd w:id="24"/>
      <w:r w:rsidR="00346258">
        <w:rPr>
          <w:rStyle w:val="Marquedecommentaire"/>
        </w:rPr>
        <w:commentReference w:id="24"/>
      </w:r>
      <w:commentRangeEnd w:id="25"/>
      <w:r w:rsidR="00FD1627">
        <w:rPr>
          <w:rStyle w:val="Marquedecommentaire"/>
        </w:rPr>
        <w:commentReference w:id="25"/>
      </w:r>
      <w:r w:rsidRPr="008319E0">
        <w:rPr>
          <w:sz w:val="24"/>
          <w:szCs w:val="24"/>
        </w:rPr>
        <w:t>.</w:t>
      </w:r>
      <w:r>
        <w:rPr>
          <w:sz w:val="24"/>
          <w:szCs w:val="24"/>
        </w:rPr>
        <w:t xml:space="preserve"> Les modèles les plus pessimistes enjoignent donc à des attitudes plus proche de ce que l’on appelle l’adaptation </w:t>
      </w:r>
      <w:proofErr w:type="gramStart"/>
      <w:r>
        <w:rPr>
          <w:sz w:val="24"/>
          <w:szCs w:val="24"/>
        </w:rPr>
        <w:t>( telle</w:t>
      </w:r>
      <w:proofErr w:type="gramEnd"/>
      <w:r>
        <w:rPr>
          <w:sz w:val="24"/>
          <w:szCs w:val="24"/>
        </w:rPr>
        <w:t xml:space="preserve"> que distinguée de l’atténuation, dans le vocabulaire des stratégies d’actions face aux changements climatiques), qui prennent acte des changements prévus et conçoivent des actions pour en limiter les </w:t>
      </w:r>
      <w:proofErr w:type="spellStart"/>
      <w:r>
        <w:rPr>
          <w:sz w:val="24"/>
          <w:szCs w:val="24"/>
        </w:rPr>
        <w:t>dégats</w:t>
      </w:r>
      <w:proofErr w:type="spellEnd"/>
      <w:r>
        <w:rPr>
          <w:sz w:val="24"/>
          <w:szCs w:val="24"/>
        </w:rPr>
        <w:t xml:space="preserve">, plutôt que pour amoindrir les changements en question. </w:t>
      </w:r>
    </w:p>
    <w:p w14:paraId="40FDA072" w14:textId="61B83B7A" w:rsidR="000A3C18" w:rsidRDefault="000A3C18" w:rsidP="000A3C18">
      <w:pPr>
        <w:spacing w:line="276" w:lineRule="auto"/>
        <w:rPr>
          <w:rFonts w:cs="Times New Roman"/>
          <w:sz w:val="24"/>
          <w:szCs w:val="24"/>
        </w:rPr>
      </w:pPr>
      <w:r>
        <w:tab/>
      </w:r>
      <w:r w:rsidRPr="00B80D55">
        <w:rPr>
          <w:sz w:val="24"/>
          <w:szCs w:val="24"/>
        </w:rPr>
        <w:t xml:space="preserve">Ce biais en faveur </w:t>
      </w:r>
      <w:r w:rsidR="00FD1627" w:rsidRPr="00B80D55">
        <w:rPr>
          <w:sz w:val="24"/>
          <w:szCs w:val="24"/>
        </w:rPr>
        <w:t>d’une attitude</w:t>
      </w:r>
      <w:r w:rsidRPr="00B80D55">
        <w:rPr>
          <w:sz w:val="24"/>
          <w:szCs w:val="24"/>
        </w:rPr>
        <w:t xml:space="preserve"> « </w:t>
      </w:r>
      <w:proofErr w:type="spellStart"/>
      <w:r w:rsidRPr="00B80D55">
        <w:rPr>
          <w:sz w:val="24"/>
          <w:szCs w:val="24"/>
        </w:rPr>
        <w:t>adaptationniste</w:t>
      </w:r>
      <w:proofErr w:type="spellEnd"/>
      <w:r w:rsidRPr="00B80D55">
        <w:rPr>
          <w:sz w:val="24"/>
          <w:szCs w:val="24"/>
        </w:rPr>
        <w:t xml:space="preserve"> » induit par les prévisions les plus pessimistes est intéressant à confronter à une idée importante de Jonas, théorisée comme la </w:t>
      </w:r>
      <w:r>
        <w:rPr>
          <w:sz w:val="24"/>
          <w:szCs w:val="24"/>
        </w:rPr>
        <w:t>« priorité</w:t>
      </w:r>
      <w:r w:rsidRPr="00B80D55">
        <w:rPr>
          <w:sz w:val="24"/>
          <w:szCs w:val="24"/>
        </w:rPr>
        <w:t xml:space="preserve"> </w:t>
      </w:r>
      <w:r>
        <w:rPr>
          <w:sz w:val="24"/>
          <w:szCs w:val="24"/>
        </w:rPr>
        <w:t>d</w:t>
      </w:r>
      <w:r w:rsidRPr="00B80D55">
        <w:rPr>
          <w:sz w:val="24"/>
          <w:szCs w:val="24"/>
        </w:rPr>
        <w:t>es mauvais diagnostics sur les bons</w:t>
      </w:r>
      <w:r>
        <w:rPr>
          <w:sz w:val="24"/>
          <w:szCs w:val="24"/>
        </w:rPr>
        <w:t> »</w:t>
      </w:r>
      <w:r w:rsidRPr="00B80D55">
        <w:rPr>
          <w:sz w:val="24"/>
          <w:szCs w:val="24"/>
        </w:rPr>
        <w:t xml:space="preserve">. </w:t>
      </w:r>
      <w:r>
        <w:rPr>
          <w:sz w:val="24"/>
          <w:szCs w:val="24"/>
        </w:rPr>
        <w:t xml:space="preserve">Toujours dans le fil de sa réflexion attachée à l’anticipation des risques des techniques modernes, Jonas affirmait en effet, à partir d’un raisonnement appuyé sur la loi des grands nombres, la nécessité de </w:t>
      </w:r>
      <w:r w:rsidRPr="000A3C18">
        <w:rPr>
          <w:i/>
          <w:sz w:val="24"/>
          <w:szCs w:val="24"/>
        </w:rPr>
        <w:t xml:space="preserve">considérer de manière </w:t>
      </w:r>
      <w:bookmarkStart w:id="26" w:name="_GoBack"/>
      <w:bookmarkEnd w:id="26"/>
      <w:r w:rsidRPr="000A3C18">
        <w:rPr>
          <w:i/>
          <w:sz w:val="24"/>
          <w:szCs w:val="24"/>
        </w:rPr>
        <w:t>prioritaire les prévisions les plus pessimistes</w:t>
      </w:r>
      <w:r>
        <w:rPr>
          <w:sz w:val="24"/>
          <w:szCs w:val="24"/>
        </w:rPr>
        <w:t xml:space="preserve">. Mais cette réflexion (reprise par Jean-Pierre Dupuy à travers l’idée d’un catastrophisme éclairé), qui s’adressait au premier chef au risque nucléaire, semble perdre de sa pertinence lorsqu’on la confronte à la question qui nous intéresse, car </w:t>
      </w:r>
      <w:r>
        <w:rPr>
          <w:rFonts w:cs="Times New Roman"/>
          <w:sz w:val="24"/>
          <w:szCs w:val="24"/>
        </w:rPr>
        <w:t xml:space="preserve">contrairement à ce qui se joue dans le cas de la menace nucléaire, les modèles pessimistes n’incitent pas ici à une plus forte </w:t>
      </w:r>
      <w:proofErr w:type="spellStart"/>
      <w:r>
        <w:rPr>
          <w:rFonts w:cs="Times New Roman"/>
          <w:sz w:val="24"/>
          <w:szCs w:val="24"/>
        </w:rPr>
        <w:t>auto-limitation</w:t>
      </w:r>
      <w:proofErr w:type="spellEnd"/>
      <w:r>
        <w:rPr>
          <w:rFonts w:cs="Times New Roman"/>
          <w:sz w:val="24"/>
          <w:szCs w:val="24"/>
        </w:rPr>
        <w:t xml:space="preserve"> d’une puissance technique, mais au contraire, à l’usage accru de techniques, de flux de gènes et de migrations assistés, ainsi que de substitutions d’espèces.  </w:t>
      </w:r>
    </w:p>
    <w:p w14:paraId="5D01067C" w14:textId="77777777" w:rsidR="006C3AD3" w:rsidRDefault="00FB4853"/>
    <w:sectPr w:rsidR="006C3AD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ctor Vandermeersch" w:date="2022-10-18T11:56:00Z" w:initials="VV">
    <w:p w14:paraId="0923BC44" w14:textId="73C0FB60" w:rsidR="004506EB" w:rsidRDefault="004506EB">
      <w:pPr>
        <w:pStyle w:val="Commentaire"/>
      </w:pPr>
      <w:r>
        <w:rPr>
          <w:rStyle w:val="Marquedecommentaire"/>
        </w:rPr>
        <w:annotationRef/>
      </w:r>
      <w:r>
        <w:t>Je l’avais eu en cours, il était vraiment top !</w:t>
      </w:r>
    </w:p>
  </w:comment>
  <w:comment w:id="1" w:author="Victor Vandermeersch" w:date="2022-10-18T11:58:00Z" w:initials="VV">
    <w:p w14:paraId="0ABCF425" w14:textId="0E297D2B" w:rsidR="004506EB" w:rsidRDefault="004506EB">
      <w:pPr>
        <w:pStyle w:val="Commentaire"/>
      </w:pPr>
      <w:r>
        <w:rPr>
          <w:rStyle w:val="Marquedecommentaire"/>
        </w:rPr>
        <w:annotationRef/>
      </w:r>
      <w:r>
        <w:t>Il existe de plus en plus de DGVM qui sont capables de simuler une espèce en particulier (comme LPJ-GUESS) et qui ne simulent plus seulement des grands « types de végétation ». Mais bon c’est un détail…</w:t>
      </w:r>
    </w:p>
  </w:comment>
  <w:comment w:id="2" w:author="Victor Vandermeersch" w:date="2022-10-18T12:07:00Z" w:initials="VV">
    <w:p w14:paraId="5C03B784" w14:textId="77777777" w:rsidR="004D7CBD" w:rsidRDefault="004D7CBD">
      <w:pPr>
        <w:pStyle w:val="Commentaire"/>
      </w:pPr>
      <w:r>
        <w:rPr>
          <w:rStyle w:val="Marquedecommentaire"/>
        </w:rPr>
        <w:annotationRef/>
      </w:r>
      <w:r>
        <w:t>Du coup, vu ma réponse à ton commentaire en-dessous (« </w:t>
      </w:r>
      <w:r w:rsidRPr="004506EB">
        <w:t>process-</w:t>
      </w:r>
      <w:proofErr w:type="spellStart"/>
      <w:r w:rsidRPr="004506EB">
        <w:t>based</w:t>
      </w:r>
      <w:proofErr w:type="spellEnd"/>
      <w:r w:rsidRPr="004506EB">
        <w:t xml:space="preserve"> </w:t>
      </w:r>
      <w:proofErr w:type="spellStart"/>
      <w:r w:rsidRPr="004506EB">
        <w:t>species</w:t>
      </w:r>
      <w:proofErr w:type="spellEnd"/>
      <w:r w:rsidRPr="004506EB">
        <w:t xml:space="preserve"> distribution model</w:t>
      </w:r>
      <w:r>
        <w:t> » pour PHENOFIT), tu pourrais plutôt écrire :</w:t>
      </w:r>
    </w:p>
    <w:p w14:paraId="205F0ED8" w14:textId="098D9478" w:rsidR="004D7CBD" w:rsidRDefault="004D7CBD">
      <w:pPr>
        <w:pStyle w:val="Commentaire"/>
      </w:pPr>
      <w:r>
        <w:t>« </w:t>
      </w:r>
      <w:proofErr w:type="gramStart"/>
      <w:r>
        <w:rPr>
          <w:rFonts w:cs="Times New Roman"/>
          <w:sz w:val="24"/>
          <w:szCs w:val="24"/>
        </w:rPr>
        <w:t>modèles</w:t>
      </w:r>
      <w:proofErr w:type="gramEnd"/>
      <w:r>
        <w:rPr>
          <w:rFonts w:cs="Times New Roman"/>
          <w:sz w:val="24"/>
          <w:szCs w:val="24"/>
        </w:rPr>
        <w:t xml:space="preserve"> de niche </w:t>
      </w:r>
      <w:r w:rsidRPr="004D7CBD">
        <w:rPr>
          <w:rFonts w:cs="Times New Roman"/>
          <w:b/>
          <w:sz w:val="24"/>
          <w:szCs w:val="24"/>
        </w:rPr>
        <w:t>corrélatifs</w:t>
      </w:r>
      <w:r>
        <w:rPr>
          <w:rFonts w:cs="Times New Roman"/>
          <w:sz w:val="24"/>
          <w:szCs w:val="24"/>
        </w:rPr>
        <w:t xml:space="preserve"> </w:t>
      </w:r>
      <w:r>
        <w:rPr>
          <w:rFonts w:cs="Times New Roman"/>
          <w:sz w:val="24"/>
          <w:szCs w:val="24"/>
        </w:rPr>
        <w:t>(</w:t>
      </w:r>
      <w:r>
        <w:rPr>
          <w:rFonts w:cs="Times New Roman"/>
          <w:sz w:val="24"/>
          <w:szCs w:val="24"/>
        </w:rPr>
        <w:t>couramment</w:t>
      </w:r>
      <w:r>
        <w:rPr>
          <w:rFonts w:cs="Times New Roman"/>
          <w:sz w:val="24"/>
          <w:szCs w:val="24"/>
        </w:rPr>
        <w:t xml:space="preserve"> appelés </w:t>
      </w:r>
      <w:proofErr w:type="spellStart"/>
      <w:r w:rsidRPr="007103BA">
        <w:rPr>
          <w:rFonts w:cs="Times New Roman"/>
          <w:i/>
          <w:sz w:val="24"/>
          <w:szCs w:val="24"/>
        </w:rPr>
        <w:t>species</w:t>
      </w:r>
      <w:proofErr w:type="spellEnd"/>
      <w:r w:rsidRPr="007103BA">
        <w:rPr>
          <w:rFonts w:cs="Times New Roman"/>
          <w:i/>
          <w:sz w:val="24"/>
          <w:szCs w:val="24"/>
        </w:rPr>
        <w:t xml:space="preserve"> distribution </w:t>
      </w:r>
      <w:proofErr w:type="spellStart"/>
      <w:r w:rsidRPr="007103BA">
        <w:rPr>
          <w:rFonts w:cs="Times New Roman"/>
          <w:i/>
          <w:sz w:val="24"/>
          <w:szCs w:val="24"/>
        </w:rPr>
        <w:t>models</w:t>
      </w:r>
      <w:proofErr w:type="spellEnd"/>
      <w:r>
        <w:rPr>
          <w:rFonts w:cs="Times New Roman"/>
          <w:sz w:val="24"/>
          <w:szCs w:val="24"/>
        </w:rPr>
        <w:t xml:space="preserve">, </w:t>
      </w:r>
      <w:proofErr w:type="spellStart"/>
      <w:r>
        <w:rPr>
          <w:rFonts w:cs="Times New Roman"/>
          <w:sz w:val="24"/>
          <w:szCs w:val="24"/>
        </w:rPr>
        <w:t>SDMs</w:t>
      </w:r>
      <w:proofErr w:type="spellEnd"/>
      <w:r>
        <w:rPr>
          <w:rFonts w:cs="Times New Roman"/>
          <w:sz w:val="24"/>
          <w:szCs w:val="24"/>
        </w:rPr>
        <w:t xml:space="preserve">) » ; ou même, pour être très précis, </w:t>
      </w:r>
      <w:r>
        <w:t>« </w:t>
      </w:r>
      <w:r>
        <w:rPr>
          <w:rFonts w:cs="Times New Roman"/>
          <w:sz w:val="24"/>
          <w:szCs w:val="24"/>
        </w:rPr>
        <w:t xml:space="preserve">modèles de niche </w:t>
      </w:r>
      <w:r w:rsidRPr="004D7CBD">
        <w:rPr>
          <w:rFonts w:cs="Times New Roman"/>
          <w:b/>
          <w:sz w:val="24"/>
          <w:szCs w:val="24"/>
        </w:rPr>
        <w:t>corrélatifs</w:t>
      </w:r>
      <w:r>
        <w:rPr>
          <w:rFonts w:cs="Times New Roman"/>
          <w:sz w:val="24"/>
          <w:szCs w:val="24"/>
        </w:rPr>
        <w:t xml:space="preserve"> (</w:t>
      </w:r>
      <w:r>
        <w:rPr>
          <w:rFonts w:cs="Times New Roman"/>
          <w:sz w:val="24"/>
          <w:szCs w:val="24"/>
        </w:rPr>
        <w:t>aussi</w:t>
      </w:r>
      <w:r>
        <w:rPr>
          <w:rFonts w:cs="Times New Roman"/>
          <w:sz w:val="24"/>
          <w:szCs w:val="24"/>
        </w:rPr>
        <w:t xml:space="preserve"> appelés </w:t>
      </w:r>
      <w:proofErr w:type="spellStart"/>
      <w:r w:rsidRPr="004D7CBD">
        <w:rPr>
          <w:rFonts w:cs="Times New Roman"/>
          <w:b/>
          <w:sz w:val="24"/>
          <w:szCs w:val="24"/>
        </w:rPr>
        <w:t>correlative</w:t>
      </w:r>
      <w:proofErr w:type="spellEnd"/>
      <w:r>
        <w:rPr>
          <w:rFonts w:cs="Times New Roman"/>
          <w:sz w:val="24"/>
          <w:szCs w:val="24"/>
        </w:rPr>
        <w:t xml:space="preserve"> </w:t>
      </w:r>
      <w:proofErr w:type="spellStart"/>
      <w:r w:rsidRPr="007103BA">
        <w:rPr>
          <w:rFonts w:cs="Times New Roman"/>
          <w:i/>
          <w:sz w:val="24"/>
          <w:szCs w:val="24"/>
        </w:rPr>
        <w:t>species</w:t>
      </w:r>
      <w:proofErr w:type="spellEnd"/>
      <w:r w:rsidRPr="007103BA">
        <w:rPr>
          <w:rFonts w:cs="Times New Roman"/>
          <w:i/>
          <w:sz w:val="24"/>
          <w:szCs w:val="24"/>
        </w:rPr>
        <w:t xml:space="preserve"> distribution </w:t>
      </w:r>
      <w:proofErr w:type="spellStart"/>
      <w:r w:rsidRPr="007103BA">
        <w:rPr>
          <w:rFonts w:cs="Times New Roman"/>
          <w:i/>
          <w:sz w:val="24"/>
          <w:szCs w:val="24"/>
        </w:rPr>
        <w:t>models</w:t>
      </w:r>
      <w:proofErr w:type="spellEnd"/>
      <w:r>
        <w:rPr>
          <w:rFonts w:cs="Times New Roman"/>
          <w:sz w:val="24"/>
          <w:szCs w:val="24"/>
        </w:rPr>
        <w:t xml:space="preserve">, </w:t>
      </w:r>
      <w:proofErr w:type="spellStart"/>
      <w:r w:rsidRPr="004D7CBD">
        <w:rPr>
          <w:rFonts w:cs="Times New Roman"/>
          <w:b/>
          <w:sz w:val="24"/>
          <w:szCs w:val="24"/>
        </w:rPr>
        <w:t>c</w:t>
      </w:r>
      <w:r>
        <w:rPr>
          <w:rFonts w:cs="Times New Roman"/>
          <w:sz w:val="24"/>
          <w:szCs w:val="24"/>
        </w:rPr>
        <w:t>SDMs</w:t>
      </w:r>
      <w:proofErr w:type="spellEnd"/>
      <w:r>
        <w:rPr>
          <w:rFonts w:cs="Times New Roman"/>
          <w:sz w:val="24"/>
          <w:szCs w:val="24"/>
        </w:rPr>
        <w:t>) » </w:t>
      </w:r>
    </w:p>
  </w:comment>
  <w:comment w:id="3" w:author="Victor Vandermeersch" w:date="2022-10-18T12:10:00Z" w:initials="VV">
    <w:p w14:paraId="178567D5" w14:textId="42E9D40D" w:rsidR="004D7CBD" w:rsidRDefault="004D7CBD">
      <w:pPr>
        <w:pStyle w:val="Commentaire"/>
      </w:pPr>
      <w:r>
        <w:rPr>
          <w:rStyle w:val="Marquedecommentaire"/>
        </w:rPr>
        <w:annotationRef/>
      </w:r>
      <w:r>
        <w:t>Mais je pense que le terme « </w:t>
      </w:r>
      <w:proofErr w:type="spellStart"/>
      <w:r>
        <w:t>cSDMS</w:t>
      </w:r>
      <w:proofErr w:type="spellEnd"/>
      <w:r>
        <w:t> » est apparu à cause des modélisateurs plus orientés « process » justement, le terme « SDM » est encore majoritairement utilisé (et donc « couramment appelé » fonctionne très bien !)</w:t>
      </w:r>
    </w:p>
  </w:comment>
  <w:comment w:id="4" w:author="Victor Vandermeersch" w:date="2022-10-18T12:12:00Z" w:initials="VV">
    <w:p w14:paraId="1F78DD4D" w14:textId="2C9FA626" w:rsidR="004D7CBD" w:rsidRDefault="004D7CBD">
      <w:pPr>
        <w:pStyle w:val="Commentaire"/>
      </w:pPr>
      <w:r>
        <w:rPr>
          <w:rStyle w:val="Marquedecommentaire"/>
        </w:rPr>
        <w:annotationRef/>
      </w:r>
      <w:r>
        <w:t>(</w:t>
      </w:r>
      <w:proofErr w:type="gramStart"/>
      <w:r>
        <w:t>je</w:t>
      </w:r>
      <w:proofErr w:type="gramEnd"/>
      <w:r>
        <w:t xml:space="preserve"> chipote sur des détails)</w:t>
      </w:r>
    </w:p>
  </w:comment>
  <w:comment w:id="5" w:author="Marine FAUCHE" w:date="2022-10-14T11:09:00Z" w:initials="MF">
    <w:p w14:paraId="56D4F301" w14:textId="77777777" w:rsidR="000A3C18" w:rsidRDefault="000A3C18">
      <w:pPr>
        <w:pStyle w:val="Commentaire"/>
      </w:pPr>
      <w:r>
        <w:rPr>
          <w:rStyle w:val="Marquedecommentaire"/>
        </w:rPr>
        <w:annotationRef/>
      </w:r>
      <w:r>
        <w:t>Mais peut-être que je fais erreur et que les modèles process-</w:t>
      </w:r>
      <w:proofErr w:type="spellStart"/>
      <w:r>
        <w:t>based</w:t>
      </w:r>
      <w:proofErr w:type="spellEnd"/>
      <w:r>
        <w:t xml:space="preserve"> modélisent aussi la distribution ? </w:t>
      </w:r>
    </w:p>
  </w:comment>
  <w:comment w:id="6" w:author="Victor Vandermeersch" w:date="2022-10-18T12:00:00Z" w:initials="VV">
    <w:p w14:paraId="11843BAC" w14:textId="77777777" w:rsidR="004506EB" w:rsidRDefault="004506EB">
      <w:pPr>
        <w:pStyle w:val="Commentaire"/>
      </w:pPr>
      <w:r>
        <w:rPr>
          <w:rStyle w:val="Marquedecommentaire"/>
        </w:rPr>
        <w:annotationRef/>
      </w:r>
      <w:r>
        <w:t>Tout dépend des modèles ! Par exemple, Isabelle classe PHENOFIT (dans sa version 4) comme un « </w:t>
      </w:r>
      <w:r w:rsidRPr="004506EB">
        <w:t>process-</w:t>
      </w:r>
      <w:proofErr w:type="spellStart"/>
      <w:r w:rsidRPr="004506EB">
        <w:t>based</w:t>
      </w:r>
      <w:proofErr w:type="spellEnd"/>
      <w:r w:rsidRPr="004506EB">
        <w:t xml:space="preserve"> </w:t>
      </w:r>
      <w:proofErr w:type="spellStart"/>
      <w:r w:rsidRPr="004506EB">
        <w:t>species</w:t>
      </w:r>
      <w:proofErr w:type="spellEnd"/>
      <w:r w:rsidRPr="004506EB">
        <w:t xml:space="preserve"> distribution model</w:t>
      </w:r>
      <w:r>
        <w:t xml:space="preserve"> », donc dont le but </w:t>
      </w:r>
      <w:r w:rsidRPr="004506EB">
        <w:rPr>
          <w:i/>
        </w:rPr>
        <w:t>in fine</w:t>
      </w:r>
      <w:r>
        <w:t xml:space="preserve"> est tout de même de modéliser la niche. </w:t>
      </w:r>
    </w:p>
    <w:p w14:paraId="68B39D01" w14:textId="20E40997" w:rsidR="004506EB" w:rsidRDefault="004506EB">
      <w:pPr>
        <w:pStyle w:val="Commentaire"/>
      </w:pPr>
      <w:r>
        <w:t xml:space="preserve">A l’inverse, CASTANEA (modèle process forestier développé à l’INRA d’Avignon, notamment par Hendrik Davi) n’est pas du tout centré sur la distribution, mais plutôt sur les </w:t>
      </w:r>
      <w:r w:rsidRPr="004506EB">
        <w:t>processus écophysiologiques</w:t>
      </w:r>
      <w:r>
        <w:t>, les flux et la dynamique… Mais ça peut tout de même permettre de modéliser la distribution de l’espèce…</w:t>
      </w:r>
    </w:p>
  </w:comment>
  <w:comment w:id="7" w:author="Victor Vandermeersch" w:date="2022-10-18T12:14:00Z" w:initials="VV">
    <w:p w14:paraId="709F754E" w14:textId="3F25FDAB" w:rsidR="004D7CBD" w:rsidRDefault="004D7CBD">
      <w:pPr>
        <w:pStyle w:val="Commentaire"/>
      </w:pPr>
      <w:r>
        <w:rPr>
          <w:rStyle w:val="Marquedecommentaire"/>
        </w:rPr>
        <w:annotationRef/>
      </w:r>
      <w:r>
        <w:t>(</w:t>
      </w:r>
      <w:r w:rsidR="00685BC3">
        <w:t>Généraliste, p</w:t>
      </w:r>
      <w:r>
        <w:t>as limité à l’écologie forestière)</w:t>
      </w:r>
    </w:p>
  </w:comment>
  <w:comment w:id="8" w:author="Victor Vandermeersch" w:date="2022-10-18T12:14:00Z" w:initials="VV">
    <w:p w14:paraId="2C30CDC2" w14:textId="66E9230C" w:rsidR="004D7CBD" w:rsidRDefault="004D7CBD">
      <w:pPr>
        <w:pStyle w:val="Commentaire"/>
      </w:pPr>
      <w:r>
        <w:rPr>
          <w:rStyle w:val="Marquedecommentaire"/>
        </w:rPr>
        <w:annotationRef/>
      </w:r>
      <w:r>
        <w:t xml:space="preserve">Et si je veux continuer à chipoter, </w:t>
      </w:r>
      <w:proofErr w:type="spellStart"/>
      <w:r>
        <w:t>Biomod</w:t>
      </w:r>
      <w:proofErr w:type="spellEnd"/>
      <w:r>
        <w:t xml:space="preserve"> est plus « plateforme » de modélisation qu’un modèle, qui rassemble plusieurs modèles statistiques (et utilise l’ensemble/le consensus des projections de ces différents modèles)</w:t>
      </w:r>
    </w:p>
  </w:comment>
  <w:comment w:id="9" w:author="Victor Vandermeersch" w:date="2022-10-18T13:11:00Z" w:initials="VV">
    <w:p w14:paraId="18F27F4B" w14:textId="3C0C8F21" w:rsidR="00AF4400" w:rsidRDefault="00AF4400">
      <w:pPr>
        <w:pStyle w:val="Commentaire"/>
      </w:pPr>
      <w:r>
        <w:rPr>
          <w:rStyle w:val="Marquedecommentaire"/>
        </w:rPr>
        <w:annotationRef/>
      </w:r>
      <w:r w:rsidR="00C579E7">
        <w:t xml:space="preserve">Ou alors il faudrait dire « l’approche </w:t>
      </w:r>
      <w:proofErr w:type="spellStart"/>
      <w:r w:rsidR="00C579E7">
        <w:t>Biomod</w:t>
      </w:r>
      <w:proofErr w:type="spellEnd"/>
      <w:r w:rsidR="00C579E7">
        <w:t> » ?</w:t>
      </w:r>
    </w:p>
  </w:comment>
  <w:comment w:id="11" w:author="Victor Vandermeersch" w:date="2022-10-18T13:13:00Z" w:initials="VV">
    <w:p w14:paraId="48DBAB0C" w14:textId="1E101A46" w:rsidR="00C579E7" w:rsidRDefault="00C579E7">
      <w:pPr>
        <w:pStyle w:val="Commentaire"/>
      </w:pPr>
      <w:r>
        <w:rPr>
          <w:rStyle w:val="Marquedecommentaire"/>
        </w:rPr>
        <w:annotationRef/>
      </w:r>
      <w:r>
        <w:t xml:space="preserve">Tiens, d’un point de vue </w:t>
      </w:r>
      <w:proofErr w:type="spellStart"/>
      <w:r>
        <w:t>épistémo</w:t>
      </w:r>
      <w:proofErr w:type="spellEnd"/>
      <w:r>
        <w:t>, est-ce qu’on « essaye de modéliser » ou est-ce qu’on « modélise » tout court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0" w:author="Victor Vandermeersch" w:date="2022-10-18T13:17:00Z" w:initials="VV">
    <w:p w14:paraId="6C5376F8" w14:textId="7AAC104B" w:rsidR="00C579E7" w:rsidRDefault="00C579E7">
      <w:pPr>
        <w:pStyle w:val="Commentaire"/>
      </w:pPr>
      <w:r>
        <w:rPr>
          <w:rStyle w:val="Marquedecommentaire"/>
        </w:rPr>
        <w:annotationRef/>
      </w:r>
      <w:r>
        <w:t>Peut-être reformuler :</w:t>
      </w:r>
    </w:p>
    <w:p w14:paraId="6ACCBF27" w14:textId="598A30B3" w:rsidR="00C579E7" w:rsidRDefault="00C579E7">
      <w:pPr>
        <w:pStyle w:val="Commentaire"/>
      </w:pPr>
      <w:r>
        <w:t>« </w:t>
      </w:r>
      <w:proofErr w:type="gramStart"/>
      <w:r>
        <w:t>le</w:t>
      </w:r>
      <w:proofErr w:type="gramEnd"/>
      <w:r>
        <w:t xml:space="preserve"> modèle PHENOFIT, qui modélise les différents stades phénologiques des arbres au cours de leur développement afin </w:t>
      </w:r>
      <w:r w:rsidR="00685BC3">
        <w:t xml:space="preserve">de </w:t>
      </w:r>
      <w:r>
        <w:t>simuler leur survie et leur succès reproducteur</w:t>
      </w:r>
      <w:r w:rsidR="00685BC3">
        <w:t xml:space="preserve"> en fonction des contraintes climatiques</w:t>
      </w:r>
      <w:r>
        <w:t>.</w:t>
      </w:r>
      <w:r w:rsidR="00685BC3">
        <w:t> »</w:t>
      </w:r>
    </w:p>
  </w:comment>
  <w:comment w:id="12" w:author="Victor Vandermeersch" w:date="2022-10-18T13:27:00Z" w:initials="VV">
    <w:p w14:paraId="1B8F909C" w14:textId="7D1F25FD" w:rsidR="00464BFB" w:rsidRDefault="00464BFB">
      <w:pPr>
        <w:pStyle w:val="Commentaire"/>
      </w:pPr>
      <w:r>
        <w:rPr>
          <w:rStyle w:val="Marquedecommentaire"/>
        </w:rPr>
        <w:annotationRef/>
      </w:r>
      <w:r>
        <w:t>Projection ?</w:t>
      </w:r>
    </w:p>
  </w:comment>
  <w:comment w:id="13" w:author="Victor Vandermeersch" w:date="2022-10-18T13:27:00Z" w:initials="VV">
    <w:p w14:paraId="2F014F5A" w14:textId="427DADBF" w:rsidR="00464BFB" w:rsidRDefault="00464BFB">
      <w:pPr>
        <w:pStyle w:val="Commentaire"/>
      </w:pPr>
      <w:r>
        <w:rPr>
          <w:rStyle w:val="Marquedecommentaire"/>
        </w:rPr>
        <w:annotationRef/>
      </w:r>
      <w:r>
        <w:t>(Distinction intéressante prédiction/projection)</w:t>
      </w:r>
    </w:p>
  </w:comment>
  <w:comment w:id="14" w:author="Victor Vandermeersch" w:date="2022-10-18T13:28:00Z" w:initials="VV">
    <w:p w14:paraId="4FD7989E" w14:textId="77777777" w:rsidR="00464BFB" w:rsidRDefault="00464BFB">
      <w:pPr>
        <w:pStyle w:val="Commentaire"/>
      </w:pPr>
      <w:r>
        <w:rPr>
          <w:rStyle w:val="Marquedecommentaire"/>
        </w:rPr>
        <w:annotationRef/>
      </w:r>
      <w:r>
        <w:t xml:space="preserve">Un détail : les scénarios RCP ont été remplacés par les SSP </w:t>
      </w:r>
      <w:r w:rsidRPr="00464BFB">
        <w:t>(</w:t>
      </w:r>
      <w:proofErr w:type="spellStart"/>
      <w:r>
        <w:t>s</w:t>
      </w:r>
      <w:r w:rsidRPr="00464BFB">
        <w:t>hared</w:t>
      </w:r>
      <w:proofErr w:type="spellEnd"/>
      <w:r w:rsidRPr="00464BFB">
        <w:t xml:space="preserve"> </w:t>
      </w:r>
      <w:proofErr w:type="spellStart"/>
      <w:r>
        <w:t>s</w:t>
      </w:r>
      <w:r w:rsidRPr="00464BFB">
        <w:t>ocio-economic</w:t>
      </w:r>
      <w:proofErr w:type="spellEnd"/>
      <w:r w:rsidRPr="00464BFB">
        <w:t xml:space="preserve"> </w:t>
      </w:r>
      <w:proofErr w:type="spellStart"/>
      <w:r>
        <w:t>p</w:t>
      </w:r>
      <w:r w:rsidRPr="00464BFB">
        <w:t>athways</w:t>
      </w:r>
      <w:proofErr w:type="spellEnd"/>
      <w:r>
        <w:t>) dans le dernier rapport du GIEC, qui sont plus centrés sur les trajectoires socio-économiques…</w:t>
      </w:r>
    </w:p>
    <w:p w14:paraId="6A7F5A04" w14:textId="24133639" w:rsidR="00464BFB" w:rsidRDefault="00464BFB">
      <w:pPr>
        <w:pStyle w:val="Commentaire"/>
      </w:pPr>
      <w:r>
        <w:t xml:space="preserve">Mais finalement </w:t>
      </w:r>
      <w:r w:rsidR="00FB72DF">
        <w:t>en termes</w:t>
      </w:r>
      <w:r>
        <w:t xml:space="preserve"> d’émissions de gaz à effet de serre, ça revient au même (</w:t>
      </w:r>
      <w:r w:rsidR="00FB72DF">
        <w:t>et le terme RCP est plus « connu » pour le moment)</w:t>
      </w:r>
    </w:p>
  </w:comment>
  <w:comment w:id="15" w:author="Victor Vandermeersch" w:date="2022-10-18T13:32:00Z" w:initials="VV">
    <w:p w14:paraId="10140014" w14:textId="3C9F0B4B" w:rsidR="00FB72DF" w:rsidRPr="00FB72DF" w:rsidRDefault="00FB72DF">
      <w:pPr>
        <w:pStyle w:val="Commentaire"/>
        <w:rPr>
          <w:lang w:val="en-GB"/>
        </w:rPr>
      </w:pPr>
      <w:r>
        <w:rPr>
          <w:rStyle w:val="Marquedecommentaire"/>
        </w:rPr>
        <w:annotationRef/>
      </w:r>
      <w:r>
        <w:rPr>
          <w:lang w:val="en-GB"/>
        </w:rPr>
        <w:t>“</w:t>
      </w:r>
      <w:r w:rsidRPr="00FB72DF">
        <w:rPr>
          <w:lang w:val="en-GB"/>
        </w:rPr>
        <w:t>uncertainty provided by the combination of different analyses, spatial resolutions, scales, modelling techniques and evaluation methods was greater than the variability of using different climate change scenarios</w:t>
      </w:r>
      <w:r>
        <w:rPr>
          <w:lang w:val="en-GB"/>
        </w:rPr>
        <w:t xml:space="preserve"> (</w:t>
      </w:r>
      <w:proofErr w:type="spellStart"/>
      <w:r>
        <w:rPr>
          <w:lang w:val="en-GB"/>
        </w:rPr>
        <w:t>Thuiller</w:t>
      </w:r>
      <w:proofErr w:type="spellEnd"/>
      <w:r>
        <w:rPr>
          <w:lang w:val="en-GB"/>
        </w:rPr>
        <w:t xml:space="preserve"> 2004)” (</w:t>
      </w:r>
      <w:proofErr w:type="spellStart"/>
      <w:r>
        <w:rPr>
          <w:lang w:val="en-GB"/>
        </w:rPr>
        <w:t>texte</w:t>
      </w:r>
      <w:proofErr w:type="spellEnd"/>
      <w:r>
        <w:rPr>
          <w:lang w:val="en-GB"/>
        </w:rPr>
        <w:t xml:space="preserve"> </w:t>
      </w:r>
      <w:proofErr w:type="spellStart"/>
      <w:r>
        <w:rPr>
          <w:lang w:val="en-GB"/>
        </w:rPr>
        <w:t>tiré</w:t>
      </w:r>
      <w:proofErr w:type="spellEnd"/>
      <w:r>
        <w:rPr>
          <w:lang w:val="en-GB"/>
        </w:rPr>
        <w:t xml:space="preserve"> de </w:t>
      </w:r>
      <w:proofErr w:type="spellStart"/>
      <w:r>
        <w:rPr>
          <w:lang w:val="en-GB"/>
        </w:rPr>
        <w:t>Guisan</w:t>
      </w:r>
      <w:proofErr w:type="spellEnd"/>
      <w:r>
        <w:rPr>
          <w:lang w:val="en-GB"/>
        </w:rPr>
        <w:t xml:space="preserve"> &amp; </w:t>
      </w:r>
      <w:proofErr w:type="spellStart"/>
      <w:r>
        <w:rPr>
          <w:lang w:val="en-GB"/>
        </w:rPr>
        <w:t>Thuiller</w:t>
      </w:r>
      <w:proofErr w:type="spellEnd"/>
      <w:r>
        <w:rPr>
          <w:lang w:val="en-GB"/>
        </w:rPr>
        <w:t>, 2005)</w:t>
      </w:r>
    </w:p>
  </w:comment>
  <w:comment w:id="16" w:author="Victor Vandermeersch" w:date="2022-10-18T13:33:00Z" w:initials="VV">
    <w:p w14:paraId="32D4AEB7" w14:textId="7D356CC0" w:rsidR="00FB72DF" w:rsidRDefault="00FB72DF">
      <w:pPr>
        <w:pStyle w:val="Commentaire"/>
      </w:pPr>
      <w:r>
        <w:rPr>
          <w:rStyle w:val="Marquedecommentaire"/>
        </w:rPr>
        <w:annotationRef/>
      </w:r>
      <w:r>
        <w:t xml:space="preserve">Non seulement la pluralité des approches de modélisation (même au sein d’un type de modèles, comme les </w:t>
      </w:r>
      <w:proofErr w:type="spellStart"/>
      <w:r>
        <w:t>cSDMs</w:t>
      </w:r>
      <w:proofErr w:type="spellEnd"/>
      <w:r>
        <w:t>) rajoute une source de variabilité, mais en plus elle peut être plus important que l’utilisation de différents scénarios !</w:t>
      </w:r>
    </w:p>
  </w:comment>
  <w:comment w:id="17" w:author="Victor Vandermeersch" w:date="2022-10-18T13:36:00Z" w:initials="VV">
    <w:p w14:paraId="69DEB9DF" w14:textId="77777777" w:rsidR="00FB72DF" w:rsidRDefault="00FB72DF">
      <w:pPr>
        <w:pStyle w:val="Commentaire"/>
      </w:pPr>
      <w:r>
        <w:rPr>
          <w:rStyle w:val="Marquedecommentaire"/>
        </w:rPr>
        <w:annotationRef/>
      </w:r>
      <w:r>
        <w:t>La publication en question :</w:t>
      </w:r>
    </w:p>
    <w:p w14:paraId="3C810E5E" w14:textId="73FA9324" w:rsidR="00FB72DF" w:rsidRDefault="00FB72DF">
      <w:pPr>
        <w:pStyle w:val="Commentaire"/>
      </w:pPr>
      <w:r w:rsidRPr="00FB72DF">
        <w:t>https://onlinelibrary.wiley.com/doi/10.1111/j.1365-2486.2004.00859.x</w:t>
      </w:r>
    </w:p>
  </w:comment>
  <w:comment w:id="18" w:author="Victor Vandermeersch" w:date="2022-10-18T13:37:00Z" w:initials="VV">
    <w:p w14:paraId="46D94574" w14:textId="0299B9F4" w:rsidR="00FB72DF" w:rsidRDefault="00FB72DF">
      <w:pPr>
        <w:pStyle w:val="Commentaire"/>
      </w:pPr>
      <w:r>
        <w:rPr>
          <w:rStyle w:val="Marquedecommentaire"/>
        </w:rPr>
        <w:annotationRef/>
      </w:r>
      <w:r>
        <w:t>Ou en tout cas qui rajoute un niveau d’incertitudes</w:t>
      </w:r>
    </w:p>
  </w:comment>
  <w:comment w:id="19" w:author="Victor Vandermeersch" w:date="2022-10-18T13:39:00Z" w:initials="VV">
    <w:p w14:paraId="76DDF8E6" w14:textId="11F8EC2E" w:rsidR="003F168B" w:rsidRDefault="003F168B">
      <w:pPr>
        <w:pStyle w:val="Commentaire"/>
      </w:pPr>
      <w:r>
        <w:rPr>
          <w:rStyle w:val="Marquedecommentaire"/>
        </w:rPr>
        <w:annotationRef/>
      </w:r>
      <w:r>
        <w:t>Justement, pour rebondir sur la distinction prédiction/projection, il faut peut-être nuancer sur le fait que les modèles climatiques (et les modèles écologiques ?) cherchent forcément à faire des « prédictions anticipatrices » : on n’utilise pas (à ma connaissance) le terme de « prédiction climatique », mais plutôt de « projection », et il y a à mon avis une distinction intéressante à creuser !</w:t>
      </w:r>
    </w:p>
  </w:comment>
  <w:comment w:id="20" w:author="Victor Vandermeersch" w:date="2022-10-18T13:43:00Z" w:initials="VV">
    <w:p w14:paraId="1467978F" w14:textId="29CC0286" w:rsidR="003F168B" w:rsidRDefault="003F168B">
      <w:pPr>
        <w:pStyle w:val="Commentaire"/>
      </w:pPr>
      <w:r>
        <w:rPr>
          <w:rStyle w:val="Marquedecommentaire"/>
        </w:rPr>
        <w:annotationRef/>
      </w:r>
      <w:r>
        <w:t xml:space="preserve">Il faut que je cherche le papier qui évoquait les deux termes pour les </w:t>
      </w:r>
      <w:proofErr w:type="spellStart"/>
      <w:r>
        <w:t>SDMs</w:t>
      </w:r>
      <w:proofErr w:type="spellEnd"/>
    </w:p>
  </w:comment>
  <w:comment w:id="21" w:author="Victor Vandermeersch" w:date="2022-10-18T13:44:00Z" w:initials="VV">
    <w:p w14:paraId="140CC359" w14:textId="511B333A" w:rsidR="00F75921" w:rsidRDefault="00F75921">
      <w:pPr>
        <w:pStyle w:val="Commentaire"/>
      </w:pPr>
      <w:r>
        <w:rPr>
          <w:rStyle w:val="Marquedecommentaire"/>
        </w:rPr>
        <w:annotationRef/>
      </w:r>
      <w:r>
        <w:t>Le fameux « </w:t>
      </w:r>
      <w:r w:rsidRPr="00F75921">
        <w:t>Tous les modèles sont faux, certains sont utiles</w:t>
      </w:r>
      <w:r>
        <w:t>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2" w:author="Victor Vandermeersch" w:date="2022-10-18T13:45:00Z" w:initials="VV">
    <w:p w14:paraId="173F33CF" w14:textId="5711D6A1" w:rsidR="002668C1" w:rsidRDefault="002668C1">
      <w:pPr>
        <w:pStyle w:val="Commentaire"/>
      </w:pPr>
      <w:r>
        <w:rPr>
          <w:rStyle w:val="Marquedecommentaire"/>
        </w:rPr>
        <w:annotationRef/>
      </w:r>
      <w:r>
        <w:t>Qui tentent en tout cas de le faire ! Car même sans prendre en compte la plasticité, les modèles process restent plus optimistes !</w:t>
      </w:r>
    </w:p>
  </w:comment>
  <w:comment w:id="23" w:author="Victor Vandermeersch" w:date="2022-10-18T13:51:00Z" w:initials="VV">
    <w:p w14:paraId="6F090241" w14:textId="77777777" w:rsidR="00346258" w:rsidRDefault="00346258">
      <w:pPr>
        <w:pStyle w:val="Commentaire"/>
      </w:pPr>
      <w:r>
        <w:rPr>
          <w:rStyle w:val="Marquedecommentaire"/>
        </w:rPr>
        <w:annotationRef/>
      </w:r>
      <w:r>
        <w:t>Voir le projet FAGADAPT (financé par la région Occitanie, approche génétique + modélisation PHENOFIT) qui part un peu de ces questionnements</w:t>
      </w:r>
      <w:r w:rsidR="00FD1627">
        <w:t> :</w:t>
      </w:r>
    </w:p>
    <w:p w14:paraId="36E4555E" w14:textId="49A34015" w:rsidR="00FD1627" w:rsidRDefault="00FD1627">
      <w:pPr>
        <w:pStyle w:val="Commentaire"/>
      </w:pPr>
      <w:hyperlink r:id="rId1" w:history="1">
        <w:r w:rsidRPr="00AA0B1E">
          <w:rPr>
            <w:rStyle w:val="Lienhypertexte"/>
          </w:rPr>
          <w:t>https://biodivoc.edu.umontpellier.fr/recherche/projets-pilotes/fagadapt/</w:t>
        </w:r>
      </w:hyperlink>
    </w:p>
    <w:p w14:paraId="118F9D8B" w14:textId="77D99B57" w:rsidR="00FD1627" w:rsidRDefault="00FD1627">
      <w:pPr>
        <w:pStyle w:val="Commentaire"/>
      </w:pPr>
      <w:r>
        <w:t>Une bonne illustration du lien modélisation (PHENOFIT) et gestion forestière locale</w:t>
      </w:r>
    </w:p>
  </w:comment>
  <w:comment w:id="24" w:author="Victor Vandermeersch" w:date="2022-10-18T13:52:00Z" w:initials="VV">
    <w:p w14:paraId="02DDE1BF" w14:textId="13A3FB78" w:rsidR="00346258" w:rsidRDefault="00346258">
      <w:pPr>
        <w:pStyle w:val="Commentaire"/>
      </w:pPr>
      <w:r>
        <w:rPr>
          <w:rStyle w:val="Marquedecommentaire"/>
        </w:rPr>
        <w:annotationRef/>
      </w:r>
      <w:r>
        <w:t xml:space="preserve">Contexte : réserve de la </w:t>
      </w:r>
      <w:proofErr w:type="spellStart"/>
      <w:r>
        <w:t>Massane</w:t>
      </w:r>
      <w:proofErr w:type="spellEnd"/>
      <w:r>
        <w:t>, peuplement de hêtres avec des stades âgés (peu de gestion forestière)</w:t>
      </w:r>
    </w:p>
    <w:p w14:paraId="1B0622B4" w14:textId="77777777" w:rsidR="00346258" w:rsidRDefault="00346258">
      <w:pPr>
        <w:pStyle w:val="Commentaire"/>
      </w:pPr>
      <w:r>
        <w:t>Faut-il mieux :</w:t>
      </w:r>
    </w:p>
    <w:p w14:paraId="239D412C" w14:textId="77777777" w:rsidR="00346258" w:rsidRDefault="00346258" w:rsidP="00346258">
      <w:pPr>
        <w:pStyle w:val="Commentaire"/>
        <w:numPr>
          <w:ilvl w:val="0"/>
          <w:numId w:val="1"/>
        </w:numPr>
      </w:pPr>
      <w:r>
        <w:t xml:space="preserve"> Miser sur la capacité spontanée de réaction de l’écosystème :</w:t>
      </w:r>
    </w:p>
    <w:p w14:paraId="7AEE84F6" w14:textId="7C79D7C4" w:rsidR="00346258" w:rsidRDefault="00346258" w:rsidP="00346258">
      <w:pPr>
        <w:pStyle w:val="Commentaire"/>
        <w:numPr>
          <w:ilvl w:val="1"/>
          <w:numId w:val="1"/>
        </w:numPr>
      </w:pPr>
      <w:r>
        <w:t xml:space="preserve"> Sélection naturelle des </w:t>
      </w:r>
      <w:r w:rsidR="00FD1627">
        <w:t>phénotypes les mieux adaptés</w:t>
      </w:r>
    </w:p>
    <w:p w14:paraId="1B457F36" w14:textId="77777777" w:rsidR="00FD1627" w:rsidRDefault="00FD1627" w:rsidP="00346258">
      <w:pPr>
        <w:pStyle w:val="Commentaire"/>
        <w:numPr>
          <w:ilvl w:val="1"/>
          <w:numId w:val="1"/>
        </w:numPr>
      </w:pPr>
      <w:r>
        <w:t xml:space="preserve"> Régénération naturelle pour favoriser la variabilité</w:t>
      </w:r>
    </w:p>
    <w:p w14:paraId="5CB7F925" w14:textId="77777777" w:rsidR="00FD1627" w:rsidRDefault="00FD1627" w:rsidP="00FD1627">
      <w:pPr>
        <w:pStyle w:val="Commentaire"/>
        <w:numPr>
          <w:ilvl w:val="0"/>
          <w:numId w:val="1"/>
        </w:numPr>
      </w:pPr>
      <w:r>
        <w:t xml:space="preserve"> Intervenir + fortement car le peuplement dépérit fortement (mortalité de quasiment 25% entre 2004 et 2021 je crois)</w:t>
      </w:r>
    </w:p>
    <w:p w14:paraId="0419F792" w14:textId="45E9893A" w:rsidR="00FD1627" w:rsidRDefault="00FD1627" w:rsidP="00FD1627">
      <w:pPr>
        <w:pStyle w:val="Commentaire"/>
        <w:numPr>
          <w:ilvl w:val="0"/>
          <w:numId w:val="1"/>
        </w:numPr>
      </w:pPr>
      <w:r>
        <w:t xml:space="preserve"> Intervenir modérément ? Anticiper les changements en favorisant les phénotypes/génotypes </w:t>
      </w:r>
      <w:r w:rsidRPr="00FD1627">
        <w:rPr>
          <w:u w:val="single"/>
        </w:rPr>
        <w:t>locaux</w:t>
      </w:r>
      <w:r>
        <w:t xml:space="preserve"> qui devraient mieux résister ou être plus résilient à ces changements ?</w:t>
      </w:r>
    </w:p>
  </w:comment>
  <w:comment w:id="25" w:author="Victor Vandermeersch" w:date="2022-10-18T13:58:00Z" w:initials="VV">
    <w:p w14:paraId="2B424B31" w14:textId="136EEEA6" w:rsidR="00FD1627" w:rsidRDefault="00FD1627">
      <w:pPr>
        <w:pStyle w:val="Commentaire"/>
      </w:pPr>
      <w:r>
        <w:rPr>
          <w:rStyle w:val="Marquedecommentaire"/>
        </w:rPr>
        <w:annotationRef/>
      </w:r>
      <w:proofErr w:type="spellStart"/>
      <w:r>
        <w:t>Pleeeein</w:t>
      </w:r>
      <w:proofErr w:type="spellEnd"/>
      <w:r>
        <w:t xml:space="preserve"> de questions, heureusement que tu fais une thèse là-dessus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3BC44" w15:done="0"/>
  <w15:commentEx w15:paraId="0ABCF425" w15:done="0"/>
  <w15:commentEx w15:paraId="205F0ED8" w15:done="0"/>
  <w15:commentEx w15:paraId="178567D5" w15:paraIdParent="205F0ED8" w15:done="0"/>
  <w15:commentEx w15:paraId="1F78DD4D" w15:paraIdParent="205F0ED8" w15:done="0"/>
  <w15:commentEx w15:paraId="56D4F301" w15:done="0"/>
  <w15:commentEx w15:paraId="68B39D01" w15:paraIdParent="56D4F301" w15:done="0"/>
  <w15:commentEx w15:paraId="709F754E" w15:done="0"/>
  <w15:commentEx w15:paraId="2C30CDC2" w15:paraIdParent="709F754E" w15:done="0"/>
  <w15:commentEx w15:paraId="18F27F4B" w15:paraIdParent="709F754E" w15:done="0"/>
  <w15:commentEx w15:paraId="48DBAB0C" w15:done="0"/>
  <w15:commentEx w15:paraId="6ACCBF27" w15:done="0"/>
  <w15:commentEx w15:paraId="1B8F909C" w15:done="0"/>
  <w15:commentEx w15:paraId="2F014F5A" w15:paraIdParent="1B8F909C" w15:done="0"/>
  <w15:commentEx w15:paraId="6A7F5A04" w15:done="0"/>
  <w15:commentEx w15:paraId="10140014" w15:done="0"/>
  <w15:commentEx w15:paraId="32D4AEB7" w15:paraIdParent="10140014" w15:done="0"/>
  <w15:commentEx w15:paraId="3C810E5E" w15:paraIdParent="10140014" w15:done="0"/>
  <w15:commentEx w15:paraId="46D94574" w15:done="0"/>
  <w15:commentEx w15:paraId="76DDF8E6" w15:done="0"/>
  <w15:commentEx w15:paraId="1467978F" w15:paraIdParent="76DDF8E6" w15:done="0"/>
  <w15:commentEx w15:paraId="140CC359" w15:done="0"/>
  <w15:commentEx w15:paraId="173F33CF" w15:done="0"/>
  <w15:commentEx w15:paraId="118F9D8B" w15:done="0"/>
  <w15:commentEx w15:paraId="0419F792" w15:paraIdParent="118F9D8B" w15:done="0"/>
  <w15:commentEx w15:paraId="2B424B31" w15:paraIdParent="118F9D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3BC44" w16cid:durableId="26F912F3"/>
  <w16cid:commentId w16cid:paraId="0ABCF425" w16cid:durableId="26F9137C"/>
  <w16cid:commentId w16cid:paraId="205F0ED8" w16cid:durableId="26F9159E"/>
  <w16cid:commentId w16cid:paraId="178567D5" w16cid:durableId="26F91635"/>
  <w16cid:commentId w16cid:paraId="1F78DD4D" w16cid:durableId="26F9169B"/>
  <w16cid:commentId w16cid:paraId="56D4F301" w16cid:durableId="26F3C200"/>
  <w16cid:commentId w16cid:paraId="68B39D01" w16cid:durableId="26F913F7"/>
  <w16cid:commentId w16cid:paraId="709F754E" w16cid:durableId="26F9170B"/>
  <w16cid:commentId w16cid:paraId="2C30CDC2" w16cid:durableId="26F9173D"/>
  <w16cid:commentId w16cid:paraId="18F27F4B" w16cid:durableId="26F9248E"/>
  <w16cid:commentId w16cid:paraId="48DBAB0C" w16cid:durableId="26F924F3"/>
  <w16cid:commentId w16cid:paraId="6ACCBF27" w16cid:durableId="26F925E8"/>
  <w16cid:commentId w16cid:paraId="1B8F909C" w16cid:durableId="26F9283D"/>
  <w16cid:commentId w16cid:paraId="2F014F5A" w16cid:durableId="26F92844"/>
  <w16cid:commentId w16cid:paraId="6A7F5A04" w16cid:durableId="26F92864"/>
  <w16cid:commentId w16cid:paraId="10140014" w16cid:durableId="26F9298A"/>
  <w16cid:commentId w16cid:paraId="32D4AEB7" w16cid:durableId="26F929B6"/>
  <w16cid:commentId w16cid:paraId="3C810E5E" w16cid:durableId="26F92A53"/>
  <w16cid:commentId w16cid:paraId="46D94574" w16cid:durableId="26F92AAB"/>
  <w16cid:commentId w16cid:paraId="76DDF8E6" w16cid:durableId="26F92AFA"/>
  <w16cid:commentId w16cid:paraId="1467978F" w16cid:durableId="26F92BEB"/>
  <w16cid:commentId w16cid:paraId="140CC359" w16cid:durableId="26F92C3C"/>
  <w16cid:commentId w16cid:paraId="173F33CF" w16cid:durableId="26F92C86"/>
  <w16cid:commentId w16cid:paraId="118F9D8B" w16cid:durableId="26F92DC4"/>
  <w16cid:commentId w16cid:paraId="0419F792" w16cid:durableId="26F92E03"/>
  <w16cid:commentId w16cid:paraId="2B424B31" w16cid:durableId="26F92F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B30F1" w14:textId="77777777" w:rsidR="00FB4853" w:rsidRDefault="00FB4853" w:rsidP="000A3C18">
      <w:pPr>
        <w:spacing w:after="0" w:line="240" w:lineRule="auto"/>
      </w:pPr>
      <w:r>
        <w:separator/>
      </w:r>
    </w:p>
  </w:endnote>
  <w:endnote w:type="continuationSeparator" w:id="0">
    <w:p w14:paraId="41556DA6" w14:textId="77777777" w:rsidR="00FB4853" w:rsidRDefault="00FB4853" w:rsidP="000A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8B3C3" w14:textId="77777777" w:rsidR="00FB4853" w:rsidRDefault="00FB4853" w:rsidP="000A3C18">
      <w:pPr>
        <w:spacing w:after="0" w:line="240" w:lineRule="auto"/>
      </w:pPr>
      <w:r>
        <w:separator/>
      </w:r>
    </w:p>
  </w:footnote>
  <w:footnote w:type="continuationSeparator" w:id="0">
    <w:p w14:paraId="37D84DEA" w14:textId="77777777" w:rsidR="00FB4853" w:rsidRDefault="00FB4853" w:rsidP="000A3C18">
      <w:pPr>
        <w:spacing w:after="0" w:line="240" w:lineRule="auto"/>
      </w:pPr>
      <w:r>
        <w:continuationSeparator/>
      </w:r>
    </w:p>
  </w:footnote>
  <w:footnote w:id="1">
    <w:p w14:paraId="3908BBC4" w14:textId="77777777" w:rsidR="000A3C18" w:rsidRDefault="000A3C18" w:rsidP="000A3C18">
      <w:pPr>
        <w:pStyle w:val="Notedebasdepage"/>
      </w:pPr>
      <w:r>
        <w:rPr>
          <w:rStyle w:val="Appelnotedebasdep"/>
        </w:rPr>
        <w:footnoteRef/>
      </w:r>
      <w:r>
        <w:t xml:space="preserve"> </w:t>
      </w:r>
      <w:proofErr w:type="gramStart"/>
      <w:r>
        <w:t>de</w:t>
      </w:r>
      <w:proofErr w:type="gramEnd"/>
      <w:r>
        <w:t xml:space="preserve"> manière plus générale, les démarches prédictives en écologie peuvent également recourir à des </w:t>
      </w:r>
      <w:r w:rsidRPr="00E36C63">
        <w:t>scénarios</w:t>
      </w:r>
      <w:r>
        <w:t>, mais je me concentrerai ici sur les prévisions fondées sur des modélisations</w:t>
      </w:r>
    </w:p>
  </w:footnote>
  <w:footnote w:id="2">
    <w:p w14:paraId="1F181829" w14:textId="77777777" w:rsidR="000A3C18" w:rsidRDefault="000A3C18" w:rsidP="000A3C18">
      <w:pPr>
        <w:pStyle w:val="Notedebasdepage"/>
      </w:pPr>
      <w:r>
        <w:rPr>
          <w:rStyle w:val="Appelnotedebasdep"/>
        </w:rPr>
        <w:footnoteRef/>
      </w:r>
      <w:r>
        <w:t xml:space="preserve"> </w:t>
      </w:r>
      <w:r w:rsidRPr="00F32878">
        <w:t xml:space="preserve">Ce parti pris optimiste </w:t>
      </w:r>
      <w:proofErr w:type="spellStart"/>
      <w:r w:rsidRPr="00F32878">
        <w:t>quand</w:t>
      </w:r>
      <w:proofErr w:type="spellEnd"/>
      <w:r w:rsidRPr="00F32878">
        <w:t xml:space="preserve"> aux capacités de savoir est redoublé, dans le cas des flux de gènes assistés, en ceci que l’on prétend connaître non seulement les conditions climatiques futures, mais aussi les gènes actuels qui seraient les mieux adaptés pour ces conditions pour une </w:t>
      </w:r>
      <w:r>
        <w:t>population</w:t>
      </w:r>
      <w:r w:rsidRPr="00F32878">
        <w:t xml:space="preserve"> donnée : les flux de gènes assistés consistent en effet à introduire des individus choisis porteurs de gènes précis, et non pas simplement à accroitre la diversité génétique comme dans le cas des dits « renforcements génétiques ». </w:t>
      </w:r>
    </w:p>
  </w:footnote>
  <w:footnote w:id="3">
    <w:p w14:paraId="7A639B15" w14:textId="77777777" w:rsidR="000A3C18" w:rsidRDefault="000A3C18" w:rsidP="000A3C18">
      <w:pPr>
        <w:pStyle w:val="Notedebasdepage"/>
      </w:pPr>
      <w:r>
        <w:rPr>
          <w:rStyle w:val="Appelnotedebasdep"/>
        </w:rPr>
        <w:footnoteRef/>
      </w:r>
      <w:r>
        <w:t xml:space="preserve"> </w:t>
      </w:r>
      <w:proofErr w:type="gramStart"/>
      <w:r>
        <w:t>il</w:t>
      </w:r>
      <w:proofErr w:type="gramEnd"/>
      <w:r>
        <w:t xml:space="preserve"> s’agit cette fois-ci d’obstacles ayant trait aux objets étudiés en écologie et non pas d’obstacles épistémologiques, au sens bachelardien, c’est-à-dire de convictions dont il faut se défaire pour parvenir au savoir, dont se servait </w:t>
      </w:r>
      <w:proofErr w:type="spellStart"/>
      <w:r>
        <w:t>Coreau</w:t>
      </w:r>
      <w:proofErr w:type="spellEnd"/>
      <w:r>
        <w:t xml:space="preserve">.  </w:t>
      </w:r>
    </w:p>
    <w:p w14:paraId="5A416BB0" w14:textId="77777777" w:rsidR="000A3C18" w:rsidRDefault="000A3C18" w:rsidP="000A3C18">
      <w:pPr>
        <w:pStyle w:val="Notedebasdepage"/>
      </w:pPr>
    </w:p>
  </w:footnote>
  <w:footnote w:id="4">
    <w:p w14:paraId="1ACD30E8" w14:textId="77777777" w:rsidR="000A3C18" w:rsidRDefault="000A3C18" w:rsidP="000A3C18">
      <w:pPr>
        <w:spacing w:line="276" w:lineRule="auto"/>
        <w:rPr>
          <w:rFonts w:cs="Times New Roman"/>
          <w:sz w:val="24"/>
          <w:szCs w:val="24"/>
        </w:rPr>
      </w:pPr>
      <w:r>
        <w:rPr>
          <w:rStyle w:val="Appelnotedebasdep"/>
        </w:rPr>
        <w:footnoteRef/>
      </w:r>
      <w:r>
        <w:t xml:space="preserve"> </w:t>
      </w:r>
      <w:r w:rsidRPr="00B80D55">
        <w:rPr>
          <w:rStyle w:val="NotedebasdepageCar"/>
        </w:rPr>
        <w:t xml:space="preserve">C’est un risque auquel </w:t>
      </w:r>
      <w:r>
        <w:rPr>
          <w:rStyle w:val="NotedebasdepageCar"/>
        </w:rPr>
        <w:t xml:space="preserve">Hans </w:t>
      </w:r>
      <w:r w:rsidRPr="00B80D55">
        <w:rPr>
          <w:rStyle w:val="NotedebasdepageCar"/>
        </w:rPr>
        <w:t>Jonas s’est montré très attentif, que celui des prophéties auto-réalisatrices et dont il trouvait le paradigme dans les discours de Lénine et plus largement dans les usages prophétiques des textes de Marx.</w:t>
      </w:r>
      <w:r>
        <w:rPr>
          <w:rFonts w:cs="Times New Roman"/>
          <w:sz w:val="24"/>
          <w:szCs w:val="24"/>
        </w:rPr>
        <w:t xml:space="preserve"> </w:t>
      </w:r>
    </w:p>
    <w:p w14:paraId="4CD9F252" w14:textId="77777777" w:rsidR="000A3C18" w:rsidRDefault="000A3C18" w:rsidP="000A3C18">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E3694"/>
    <w:multiLevelType w:val="hybridMultilevel"/>
    <w:tmpl w:val="976CB262"/>
    <w:lvl w:ilvl="0" w:tplc="5CF8034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 Vandermeersch">
    <w15:presenceInfo w15:providerId="AD" w15:userId="S-1-5-21-57989841-2077806209-839522115-31189"/>
  </w15:person>
  <w15:person w15:author="Marine FAUCHE">
    <w15:presenceInfo w15:providerId="AD" w15:userId="S-1-5-21-57989841-2077806209-839522115-27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18"/>
    <w:rsid w:val="000A3C18"/>
    <w:rsid w:val="002668C1"/>
    <w:rsid w:val="00346258"/>
    <w:rsid w:val="003A3A57"/>
    <w:rsid w:val="003F168B"/>
    <w:rsid w:val="004506EB"/>
    <w:rsid w:val="00464BFB"/>
    <w:rsid w:val="004D7CBD"/>
    <w:rsid w:val="00685BC3"/>
    <w:rsid w:val="00917D97"/>
    <w:rsid w:val="009914FF"/>
    <w:rsid w:val="00A50C47"/>
    <w:rsid w:val="00AF4400"/>
    <w:rsid w:val="00B85DC7"/>
    <w:rsid w:val="00C579E7"/>
    <w:rsid w:val="00F75921"/>
    <w:rsid w:val="00FB4853"/>
    <w:rsid w:val="00FB72DF"/>
    <w:rsid w:val="00FD1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C349"/>
  <w15:chartTrackingRefBased/>
  <w15:docId w15:val="{24E17661-3D22-4E9C-B36F-513C56E4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C18"/>
    <w:rPr>
      <w:rFonts w:ascii="Times New Roman" w:hAnsi="Times New Roman"/>
    </w:rPr>
  </w:style>
  <w:style w:type="paragraph" w:styleId="Titre1">
    <w:name w:val="heading 1"/>
    <w:basedOn w:val="Normal"/>
    <w:next w:val="Normal"/>
    <w:link w:val="Titre1Car"/>
    <w:uiPriority w:val="9"/>
    <w:qFormat/>
    <w:rsid w:val="003A3A57"/>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0A3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A3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50C47"/>
    <w:pPr>
      <w:spacing w:before="360" w:after="360"/>
      <w:ind w:left="864" w:right="864"/>
      <w:jc w:val="center"/>
    </w:pPr>
    <w:rPr>
      <w:rFonts w:ascii="Palatino Linotype" w:hAnsi="Palatino Linotype"/>
      <w:iCs/>
    </w:rPr>
  </w:style>
  <w:style w:type="character" w:customStyle="1" w:styleId="CitationintenseCar">
    <w:name w:val="Citation intense Car"/>
    <w:basedOn w:val="Policepardfaut"/>
    <w:link w:val="Citationintense"/>
    <w:uiPriority w:val="30"/>
    <w:rsid w:val="00A50C47"/>
    <w:rPr>
      <w:rFonts w:ascii="Palatino Linotype" w:hAnsi="Palatino Linotype"/>
      <w:iCs/>
    </w:rPr>
  </w:style>
  <w:style w:type="character" w:customStyle="1" w:styleId="Titre1Car">
    <w:name w:val="Titre 1 Car"/>
    <w:basedOn w:val="Policepardfaut"/>
    <w:link w:val="Titre1"/>
    <w:uiPriority w:val="9"/>
    <w:rsid w:val="003A3A57"/>
    <w:rPr>
      <w:rFonts w:ascii="Times New Roman" w:eastAsiaTheme="majorEastAsia" w:hAnsi="Times New Roman" w:cstheme="majorBidi"/>
      <w:color w:val="385623" w:themeColor="accent6" w:themeShade="80"/>
      <w:sz w:val="32"/>
      <w:szCs w:val="32"/>
    </w:rPr>
  </w:style>
  <w:style w:type="character" w:customStyle="1" w:styleId="Titre2Car">
    <w:name w:val="Titre 2 Car"/>
    <w:basedOn w:val="Policepardfaut"/>
    <w:link w:val="Titre2"/>
    <w:uiPriority w:val="9"/>
    <w:rsid w:val="000A3C1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A3C18"/>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unhideWhenUsed/>
    <w:rsid w:val="000A3C18"/>
    <w:pPr>
      <w:spacing w:after="0" w:line="240" w:lineRule="auto"/>
    </w:pPr>
    <w:rPr>
      <w:sz w:val="20"/>
      <w:szCs w:val="20"/>
    </w:rPr>
  </w:style>
  <w:style w:type="character" w:customStyle="1" w:styleId="NotedebasdepageCar">
    <w:name w:val="Note de bas de page Car"/>
    <w:basedOn w:val="Policepardfaut"/>
    <w:link w:val="Notedebasdepage"/>
    <w:uiPriority w:val="99"/>
    <w:rsid w:val="000A3C18"/>
    <w:rPr>
      <w:rFonts w:ascii="Times New Roman" w:hAnsi="Times New Roman"/>
      <w:sz w:val="20"/>
      <w:szCs w:val="20"/>
    </w:rPr>
  </w:style>
  <w:style w:type="character" w:styleId="Appelnotedebasdep">
    <w:name w:val="footnote reference"/>
    <w:basedOn w:val="Policepardfaut"/>
    <w:uiPriority w:val="99"/>
    <w:semiHidden/>
    <w:unhideWhenUsed/>
    <w:rsid w:val="000A3C18"/>
    <w:rPr>
      <w:vertAlign w:val="superscript"/>
    </w:rPr>
  </w:style>
  <w:style w:type="character" w:styleId="Marquedecommentaire">
    <w:name w:val="annotation reference"/>
    <w:basedOn w:val="Policepardfaut"/>
    <w:uiPriority w:val="99"/>
    <w:semiHidden/>
    <w:unhideWhenUsed/>
    <w:rsid w:val="000A3C18"/>
    <w:rPr>
      <w:sz w:val="16"/>
      <w:szCs w:val="16"/>
    </w:rPr>
  </w:style>
  <w:style w:type="paragraph" w:styleId="Commentaire">
    <w:name w:val="annotation text"/>
    <w:basedOn w:val="Normal"/>
    <w:link w:val="CommentaireCar"/>
    <w:uiPriority w:val="99"/>
    <w:semiHidden/>
    <w:unhideWhenUsed/>
    <w:rsid w:val="000A3C18"/>
    <w:pPr>
      <w:spacing w:line="240" w:lineRule="auto"/>
    </w:pPr>
    <w:rPr>
      <w:sz w:val="20"/>
      <w:szCs w:val="20"/>
    </w:rPr>
  </w:style>
  <w:style w:type="character" w:customStyle="1" w:styleId="CommentaireCar">
    <w:name w:val="Commentaire Car"/>
    <w:basedOn w:val="Policepardfaut"/>
    <w:link w:val="Commentaire"/>
    <w:uiPriority w:val="99"/>
    <w:semiHidden/>
    <w:rsid w:val="000A3C18"/>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0A3C18"/>
    <w:rPr>
      <w:b/>
      <w:bCs/>
    </w:rPr>
  </w:style>
  <w:style w:type="character" w:customStyle="1" w:styleId="ObjetducommentaireCar">
    <w:name w:val="Objet du commentaire Car"/>
    <w:basedOn w:val="CommentaireCar"/>
    <w:link w:val="Objetducommentaire"/>
    <w:uiPriority w:val="99"/>
    <w:semiHidden/>
    <w:rsid w:val="000A3C18"/>
    <w:rPr>
      <w:rFonts w:ascii="Times New Roman" w:hAnsi="Times New Roman"/>
      <w:b/>
      <w:bCs/>
      <w:sz w:val="20"/>
      <w:szCs w:val="20"/>
    </w:rPr>
  </w:style>
  <w:style w:type="paragraph" w:styleId="Textedebulles">
    <w:name w:val="Balloon Text"/>
    <w:basedOn w:val="Normal"/>
    <w:link w:val="TextedebullesCar"/>
    <w:uiPriority w:val="99"/>
    <w:semiHidden/>
    <w:unhideWhenUsed/>
    <w:rsid w:val="000A3C1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3C18"/>
    <w:rPr>
      <w:rFonts w:ascii="Segoe UI" w:hAnsi="Segoe UI" w:cs="Segoe UI"/>
      <w:sz w:val="18"/>
      <w:szCs w:val="18"/>
    </w:rPr>
  </w:style>
  <w:style w:type="character" w:styleId="Lienhypertexte">
    <w:name w:val="Hyperlink"/>
    <w:basedOn w:val="Policepardfaut"/>
    <w:uiPriority w:val="99"/>
    <w:unhideWhenUsed/>
    <w:rsid w:val="00FD1627"/>
    <w:rPr>
      <w:color w:val="0563C1" w:themeColor="hyperlink"/>
      <w:u w:val="single"/>
    </w:rPr>
  </w:style>
  <w:style w:type="character" w:styleId="Mentionnonrsolue">
    <w:name w:val="Unresolved Mention"/>
    <w:basedOn w:val="Policepardfaut"/>
    <w:uiPriority w:val="99"/>
    <w:semiHidden/>
    <w:unhideWhenUsed/>
    <w:rsid w:val="00FD1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iodivoc.edu.umontpellier.fr/recherche/projets-pilotes/fagadap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4062</Words>
  <Characters>22346</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FAUCHE</dc:creator>
  <cp:keywords/>
  <dc:description/>
  <cp:lastModifiedBy>Victor Vandermeersch</cp:lastModifiedBy>
  <cp:revision>6</cp:revision>
  <dcterms:created xsi:type="dcterms:W3CDTF">2022-10-14T09:09:00Z</dcterms:created>
  <dcterms:modified xsi:type="dcterms:W3CDTF">2022-10-18T12:00:00Z</dcterms:modified>
</cp:coreProperties>
</file>