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BELL DATA INTELLIGENCE</w:t>
      </w:r>
    </w:p>
    <w:p>
      <w:pPr>
        <w:spacing w:after="60"/>
        <w:jc w:val="center"/>
      </w:pPr>
      <w:r>
        <w:rPr>
          <w:b/>
          <w:bCs/>
          <w:sz w:val="30"/>
          <w:szCs w:val="30"/>
        </w:rPr>
        <w:t xml:space="preserve">“0 RISK AGREEMENT”</w:t>
      </w:r>
    </w:p>
    <w:p>
      <w:pPr>
        <w:spacing w:after="60"/>
        <w:jc w:val="center"/>
      </w:pPr>
      <w:r>
        <w:rPr>
          <w:i/>
          <w:iCs/>
          <w:sz w:val="24"/>
          <w:szCs w:val="24"/>
        </w:rPr>
        <w:t xml:space="preserve">Performance-Based Lead Provision &amp; Revenue-Share Agreement</w:t>
      </w:r>
    </w:p>
    <w:p>
      <w:pPr>
        <w:spacing w:after="240"/>
        <w:jc w:val="center"/>
      </w:pPr>
      <w:r>
        <w:rPr>
          <w:b/>
          <w:bCs/>
          <w:i/>
          <w:iCs/>
          <w:color w:val="B00000"/>
          <w:sz w:val="20"/>
          <w:szCs w:val="20"/>
        </w:rPr>
        <w:t xml:space="preserve">DRAFT FOR LEGAL REVIEW — NOT YET BINDING. All bracketed [ … ] items and the governing-law, penalty, and dispute-resolution clauses must be confirmed by qualified Qatari counsel before use.</w:t>
      </w:r>
    </w:p>
    <w:p>
      <w:pPr>
        <w:spacing w:after="120"/>
        <w:jc w:val="both"/>
      </w:pPr>
      <w:r>
        <w:t xml:space="preserve">This 0 Risk Agreement (the “Agreement”) is made on [____ / ____ / 20__] (the “Effective Date”) by and between:</w:t>
      </w:r>
    </w:p>
    <w:p>
      <w:pPr>
        <w:spacing w:after="120"/>
        <w:jc w:val="both"/>
      </w:pPr>
      <w:r>
        <w:t xml:space="preserve">(1) [Bell Data Intelligence legal entity name], a company [registered in the State of Qatar / details], holding Commercial Registration No. [____], with its registered office at [address] (“Bell”, “we”, “us”); and</w:t>
      </w:r>
    </w:p>
    <w:p>
      <w:pPr>
        <w:spacing w:after="120"/>
        <w:jc w:val="both"/>
      </w:pPr>
      <w:r>
        <w:t xml:space="preserve">(2) [Company legal name], holding Commercial Registration (CR) No. [____], with its registered office at [address], represented by [name], [title] (the “Company”, “you”).</w:t>
      </w:r>
    </w:p>
    <w:p>
      <w:pPr>
        <w:spacing w:after="120"/>
        <w:jc w:val="both"/>
      </w:pPr>
      <w:r>
        <w:rPr>
          <w:i/>
          <w:iCs/>
        </w:rPr>
        <w:t xml:space="preserve">Bell and the Company are each a “Party” and together the “Parties”.</w:t>
      </w:r>
    </w:p>
    <w:p>
      <w:pPr>
        <w:pStyle w:val="Heading2"/>
      </w:pPr>
      <w:r>
        <w:t xml:space="preserve">Background</w:t>
      </w:r>
    </w:p>
    <w:p>
      <w:pPr>
        <w:spacing w:after="120"/>
        <w:jc w:val="both"/>
      </w:pPr>
      <w:r>
        <w:t xml:space="preserve">A.  Bell operates a business-data intelligence platform that identifies, researches and profiles companies in the State of Qatar.</w:t>
      </w:r>
    </w:p>
    <w:p>
      <w:pPr>
        <w:spacing w:after="120"/>
        <w:jc w:val="both"/>
      </w:pPr>
      <w:r>
        <w:t xml:space="preserve">B.  The Company wishes to obtain qualified prospective customers but elects not to pay a subscription fee. Instead, the Parties agree a performance-based arrangement under which Bell provides curated, deeply-researched lists of prospective customers at no upfront cost, and the Company pays Bell a share of the revenue it earns from those prospects.</w:t>
      </w:r>
    </w:p>
    <w:p>
      <w:pPr>
        <w:spacing w:after="120"/>
        <w:jc w:val="both"/>
      </w:pPr>
      <w:r>
        <w:t xml:space="preserve">C.  This Agreement sets out the terms of that arrangement. It is intended to be strict and fully enforceable: the consideration Bell receives is the Revenue Share, and the Company’s reporting and payment obligations are fundamental to it.</w:t>
      </w:r>
    </w:p>
    <w:p>
      <w:pPr>
        <w:pStyle w:val="Heading1"/>
      </w:pPr>
      <w:r>
        <w:t xml:space="preserve">1.  Definitions</w:t>
      </w:r>
    </w:p>
    <w:p>
      <w:pPr>
        <w:spacing w:after="120"/>
        <w:jc w:val="both"/>
      </w:pPr>
      <w:r>
        <w:rPr>
          <w:b/>
          <w:bCs/>
        </w:rPr>
        <w:t xml:space="preserve">1.1  </w:t>
      </w:r>
      <w:r>
        <w:t xml:space="preserve">“List” means a set of prospective-customer companies provided by Bell to the Company under this Agreement, each accompanied by a research dossier.</w:t>
      </w:r>
    </w:p>
    <w:p>
      <w:pPr>
        <w:spacing w:after="120"/>
        <w:jc w:val="both"/>
      </w:pPr>
      <w:r>
        <w:rPr>
          <w:b/>
          <w:bCs/>
        </w:rPr>
        <w:t xml:space="preserve">1.2  </w:t>
      </w:r>
      <w:r>
        <w:t xml:space="preserve">“Provided Company” means any company that appears on any List delivered to the Company by Bell (including all of its parents, subsidiaries, affiliates, branches and successors).</w:t>
      </w:r>
    </w:p>
    <w:p>
      <w:pPr>
        <w:spacing w:after="120"/>
        <w:jc w:val="both"/>
      </w:pPr>
      <w:r>
        <w:rPr>
          <w:b/>
          <w:bCs/>
        </w:rPr>
        <w:t xml:space="preserve">1.3  </w:t>
      </w:r>
      <w:r>
        <w:t xml:space="preserve">“Closed Deal” means any binding sale, contract, engagement, subscription, order or other revenue-generating arrangement between the Company (or any of its affiliates, agents or related parties) and a Provided Company, whether entered during the Term or within the Tail Period.</w:t>
      </w:r>
    </w:p>
    <w:p>
      <w:pPr>
        <w:spacing w:after="120"/>
        <w:jc w:val="both"/>
      </w:pPr>
      <w:r>
        <w:rPr>
          <w:b/>
          <w:bCs/>
        </w:rPr>
        <w:t xml:space="preserve">1.4  </w:t>
      </w:r>
      <w:r>
        <w:t xml:space="preserve">“Revenue” means all gross amounts invoiced, received or receivable by the Company (and its affiliates) from a Provided Company under a Closed Deal, before tax, but without deduction of the Company’s costs, discounts granted after the fact, or commissions.</w:t>
      </w:r>
    </w:p>
    <w:p>
      <w:pPr>
        <w:spacing w:after="120"/>
        <w:jc w:val="both"/>
      </w:pPr>
      <w:r>
        <w:rPr>
          <w:b/>
          <w:bCs/>
        </w:rPr>
        <w:t xml:space="preserve">1.5  </w:t>
      </w:r>
      <w:r>
        <w:t xml:space="preserve">“Revenue Share” means fifteen percent (15%) of Revenue. [Percentage to be confirmed; adjustable by written addendum.]</w:t>
      </w:r>
    </w:p>
    <w:p>
      <w:pPr>
        <w:spacing w:after="120"/>
        <w:jc w:val="both"/>
      </w:pPr>
      <w:r>
        <w:rPr>
          <w:b/>
          <w:bCs/>
        </w:rPr>
        <w:t xml:space="preserve">1.6  </w:t>
      </w:r>
      <w:r>
        <w:t xml:space="preserve">“Term” and “Tail Period” have the meanings in Clause 9.</w:t>
      </w:r>
    </w:p>
    <w:p>
      <w:pPr>
        <w:spacing w:after="120"/>
        <w:jc w:val="both"/>
      </w:pPr>
      <w:r>
        <w:rPr>
          <w:b/>
          <w:bCs/>
        </w:rPr>
        <w:t xml:space="preserve">1.7  </w:t>
      </w:r>
      <w:r>
        <w:t xml:space="preserve">“Bell Admin” means Bell’s authorised personnel who administer the 0 Risk programme, including the approval of accounts, preparation of Lists, and the finalisation of deal status.</w:t>
      </w:r>
    </w:p>
    <w:p>
      <w:pPr>
        <w:pStyle w:val="Heading1"/>
      </w:pPr>
      <w:r>
        <w:t xml:space="preserve">2.  Eligibility, Onboarding &amp; Approval</w:t>
      </w:r>
    </w:p>
    <w:p>
      <w:pPr>
        <w:spacing w:after="120"/>
        <w:jc w:val="both"/>
      </w:pPr>
      <w:r>
        <w:rPr>
          <w:b/>
          <w:bCs/>
        </w:rPr>
        <w:t xml:space="preserve">2.1  </w:t>
      </w:r>
      <w:r>
        <w:t xml:space="preserve">Before any List is provided, the Company must: (a) complete its company and Ideal-Customer-Profile information in the 0 Risk portal to 100%; (b) submit valid copies of its Commercial Registration (CR), company documentation, and the Qatar ID (QID) of its authorised signatory; and (c) sign and affix its official company stamp to this Agreement and upload the executed copy.</w:t>
      </w:r>
    </w:p>
    <w:p>
      <w:pPr>
        <w:spacing w:after="120"/>
        <w:jc w:val="both"/>
      </w:pPr>
      <w:r>
        <w:rPr>
          <w:b/>
          <w:bCs/>
        </w:rPr>
        <w:t xml:space="preserve">2.2  </w:t>
      </w:r>
      <w:r>
        <w:t xml:space="preserve">Bell Admin will review the submitted information and documents. Bell may approve, defer or decline any application at its sole discretion. No List request may be made until Bell has issued written approval (the “Green Light”) within the portal.</w:t>
      </w:r>
    </w:p>
    <w:p>
      <w:pPr>
        <w:spacing w:after="120"/>
        <w:jc w:val="both"/>
      </w:pPr>
      <w:r>
        <w:rPr>
          <w:b/>
          <w:bCs/>
        </w:rPr>
        <w:t xml:space="preserve">2.3  </w:t>
      </w:r>
      <w:r>
        <w:t xml:space="preserve">The Company warrants that all information and documents it submits are true, complete, current and its own, and undertakes to keep them updated.</w:t>
      </w:r>
    </w:p>
    <w:p>
      <w:pPr>
        <w:pStyle w:val="Heading1"/>
      </w:pPr>
      <w:r>
        <w:t xml:space="preserve">3.  Provision of Lists</w:t>
      </w:r>
    </w:p>
    <w:p>
      <w:pPr>
        <w:spacing w:after="120"/>
        <w:jc w:val="both"/>
      </w:pPr>
      <w:r>
        <w:rPr>
          <w:b/>
          <w:bCs/>
        </w:rPr>
        <w:t xml:space="preserve">3.1  </w:t>
      </w:r>
      <w:r>
        <w:t xml:space="preserve">Following the Green Light, the Company may request a List. The first List will contain up to one hundred (100) Provided Companies. Each List request is submitted through the portal and is fulfilled by Bell Admin once prepared.</w:t>
      </w:r>
    </w:p>
    <w:p>
      <w:pPr>
        <w:spacing w:after="120"/>
        <w:jc w:val="both"/>
      </w:pPr>
      <w:r>
        <w:rPr>
          <w:b/>
          <w:bCs/>
        </w:rPr>
        <w:t xml:space="preserve">3.2  </w:t>
      </w:r>
      <w:r>
        <w:t xml:space="preserve">Lists are provided on a non-exclusive basis. Bell may provide the same or overlapping companies to other participants and retains all rights in its data, research and dossiers.</w:t>
      </w:r>
    </w:p>
    <w:p>
      <w:pPr>
        <w:spacing w:after="120"/>
        <w:jc w:val="both"/>
      </w:pPr>
      <w:r>
        <w:rPr>
          <w:b/>
          <w:bCs/>
        </w:rPr>
        <w:t xml:space="preserve">3.3  </w:t>
      </w:r>
      <w:r>
        <w:t xml:space="preserve">Bell does not guarantee any particular outcome, sale, response rate or revenue. The Lists are provided as business intelligence, not as a warranty of result.</w:t>
      </w:r>
    </w:p>
    <w:p>
      <w:pPr>
        <w:spacing w:after="120"/>
        <w:jc w:val="both"/>
      </w:pPr>
      <w:r>
        <w:rPr>
          <w:b/>
          <w:bCs/>
        </w:rPr>
        <w:t xml:space="preserve">3.4  </w:t>
      </w:r>
      <w:r>
        <w:t xml:space="preserve">Request limits are controlled by Bell. Except as Bell otherwise allows in writing, the Company may not request a further List while a request is outstanding, or until it has reported, and Bell has finalised, at least one (1) Closed Deal arising from a previously provided List. Bell Admin may, at its discretion, increase the Company’s allowance (for example to 500 or more companies per request) based on the Company’s demonstrated Closed Deals.</w:t>
      </w:r>
    </w:p>
    <w:p>
      <w:pPr>
        <w:pStyle w:val="Heading1"/>
      </w:pPr>
      <w:r>
        <w:t xml:space="preserve">4.  Revenue Share — Bell’s Consideration</w:t>
      </w:r>
    </w:p>
    <w:p>
      <w:pPr>
        <w:spacing w:after="120"/>
        <w:jc w:val="both"/>
      </w:pPr>
      <w:r>
        <w:rPr>
          <w:b/>
          <w:bCs/>
        </w:rPr>
        <w:t xml:space="preserve">4.1  </w:t>
      </w:r>
      <w:r>
        <w:t xml:space="preserve">In consideration of the Lists, the Company shall pay Bell the Revenue Share (15% of Revenue) on every Closed Deal with every Provided Company.</w:t>
      </w:r>
    </w:p>
    <w:p>
      <w:pPr>
        <w:spacing w:after="120"/>
        <w:jc w:val="both"/>
      </w:pPr>
      <w:r>
        <w:rPr>
          <w:b/>
          <w:bCs/>
        </w:rPr>
        <w:t xml:space="preserve">4.2  </w:t>
      </w:r>
      <w:r>
        <w:t xml:space="preserve">The obligation applies to all Revenue under the Closed Deal for its full duration, including renewals, extensions, repeat orders and expansions with the same Provided Company, whether they occur during or after the Term.</w:t>
      </w:r>
    </w:p>
    <w:p>
      <w:pPr>
        <w:spacing w:after="120"/>
        <w:jc w:val="both"/>
      </w:pPr>
      <w:r>
        <w:rPr>
          <w:b/>
          <w:bCs/>
        </w:rPr>
        <w:t xml:space="preserve">4.3  </w:t>
      </w:r>
      <w:r>
        <w:t xml:space="preserve">The Revenue Share is payable whether the Closed Deal was concluded by the Company directly or through any affiliate, agent, employee, introducer or related party of the Company.</w:t>
      </w:r>
    </w:p>
    <w:p>
      <w:pPr>
        <w:spacing w:after="120"/>
        <w:jc w:val="both"/>
      </w:pPr>
      <w:r>
        <w:rPr>
          <w:b/>
          <w:bCs/>
        </w:rPr>
        <w:t xml:space="preserve">4.4  </w:t>
      </w:r>
      <w:r>
        <w:t xml:space="preserve">The Company shall pay each Revenue Share amount to Bell within thirty (30) days of the Company invoicing or receiving the relevant Revenue (whichever is earlier), to the account Bell notifies. Late amounts accrue interest at [__]% per month [to be confirmed by counsel — subject to Qatari law].</w:t>
      </w:r>
    </w:p>
    <w:p>
      <w:pPr>
        <w:spacing w:after="80"/>
      </w:pPr>
      <w:r>
        <w:t xml:space="preserve"/>
      </w:r>
    </w:p>
    <w:p>
      <w:pPr>
        <w:spacing w:after="120"/>
        <w:jc w:val="both"/>
      </w:pPr>
      <w:r>
        <w:rPr>
          <w:i/>
          <w:iCs/>
        </w:rPr>
        <w:t xml:space="preserve">Illustration (for clarity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EF5" w:val="clear"/>
            <w:tcMar>
              <w:top w:type="dxa" w:w="80"/>
              <w:left w:type="dxa" w:w="120"/>
              <w:bottom w:type="dxa" w:w="80"/>
              <w:right w:type="dxa" w:w="120"/>
            </w:tcMar>
          </w:tcPr>
          <w:p>
            <w:r>
              <w:rPr>
                <w:b/>
                <w:bCs/>
              </w:rPr>
              <w:t xml:space="preserve">Item</w:t>
            </w:r>
          </w:p>
        </w:tc>
        <w:tc>
          <w:tcPr>
            <w:tcW w:type="dxa" w:w="4680"/>
            <w:tcBorders>
              <w:top w:val="single" w:color="BBBBBB" w:sz="1"/>
              <w:left w:val="single" w:color="BBBBBB" w:sz="1"/>
              <w:bottom w:val="single" w:color="BBBBBB" w:sz="1"/>
              <w:right w:val="single" w:color="BBBBBB" w:sz="1"/>
            </w:tcBorders>
            <w:shd w:fill="E8EEF5" w:val="clear"/>
            <w:tcMar>
              <w:top w:type="dxa" w:w="80"/>
              <w:left w:type="dxa" w:w="120"/>
              <w:bottom w:type="dxa" w:w="80"/>
              <w:right w:type="dxa" w:w="120"/>
            </w:tcMar>
          </w:tcPr>
          <w:p>
            <w:r>
              <w:rPr>
                <w:b/>
                <w:bCs/>
              </w:rPr>
              <w:t xml:space="preserve">Amount (example)</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Revenue from a Provided Company (Closed Deal)</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QAR 100,000</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Revenue Share payable to Bell (15%)</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QAR 15,000</w:t>
            </w:r>
          </w:p>
        </w:tc>
      </w:tr>
    </w:tbl>
    <w:p>
      <w:pPr>
        <w:spacing w:after="80"/>
      </w:pPr>
      <w:r>
        <w:t xml:space="preserve"/>
      </w:r>
    </w:p>
    <w:p>
      <w:pPr>
        <w:pStyle w:val="Heading1"/>
      </w:pPr>
      <w:r>
        <w:t xml:space="preserve">5.  Reporting, Deal Status &amp; Records</w:t>
      </w:r>
    </w:p>
    <w:p>
      <w:pPr>
        <w:spacing w:after="120"/>
        <w:jc w:val="both"/>
      </w:pPr>
      <w:r>
        <w:rPr>
          <w:b/>
          <w:bCs/>
        </w:rPr>
        <w:t xml:space="preserve">5.1  </w:t>
      </w:r>
      <w:r>
        <w:t xml:space="preserve">The Company shall promptly, and in any event monthly, record in the portal the status of its dealings with each Provided Company (e.g., contacted, negotiating, won, lost), together with the value of any Closed Deal.</w:t>
      </w:r>
    </w:p>
    <w:p>
      <w:pPr>
        <w:spacing w:after="120"/>
        <w:jc w:val="both"/>
      </w:pPr>
      <w:r>
        <w:rPr>
          <w:b/>
          <w:bCs/>
        </w:rPr>
        <w:t xml:space="preserve">5.2  </w:t>
      </w:r>
      <w:r>
        <w:t xml:space="preserve">A deal is treated as a finalised Closed Deal only when Bell Admin marks it as such in the portal. The Company’s reporting does not, by itself, determine the Revenue Share; Bell’s finalisation does, acting reasonably and on the basis of the records.</w:t>
      </w:r>
    </w:p>
    <w:p>
      <w:pPr>
        <w:spacing w:after="120"/>
        <w:jc w:val="both"/>
      </w:pPr>
      <w:r>
        <w:rPr>
          <w:b/>
          <w:bCs/>
        </w:rPr>
        <w:t xml:space="preserve">5.3  </w:t>
      </w:r>
      <w:r>
        <w:t xml:space="preserve">The Company shall maintain complete and accurate books and records of all dealings with Provided Companies for at least [three (3)] years and shall provide statements to Bell on request.</w:t>
      </w:r>
    </w:p>
    <w:p>
      <w:pPr>
        <w:pStyle w:val="Heading1"/>
      </w:pPr>
      <w:r>
        <w:t xml:space="preserve">6.  Audit Rights</w:t>
      </w:r>
    </w:p>
    <w:p>
      <w:pPr>
        <w:spacing w:after="120"/>
        <w:jc w:val="both"/>
      </w:pPr>
      <w:r>
        <w:rPr>
          <w:b/>
          <w:bCs/>
        </w:rPr>
        <w:t xml:space="preserve">6.1  </w:t>
      </w:r>
      <w:r>
        <w:t xml:space="preserve">Bell (or its appointed auditor) may, on reasonable notice, inspect and audit the Company’s records relevant to Provided Companies and the Revenue Share. If an audit reveals an underpayment of more than [5]%, the Company shall bear the reasonable cost of the audit and pay the shortfall plus interest immediately.</w:t>
      </w:r>
    </w:p>
    <w:p>
      <w:pPr>
        <w:pStyle w:val="Heading1"/>
      </w:pPr>
      <w:r>
        <w:t xml:space="preserve">7.  Non-Circumvention &amp; Confidentiality</w:t>
      </w:r>
    </w:p>
    <w:p>
      <w:pPr>
        <w:spacing w:after="120"/>
        <w:jc w:val="both"/>
      </w:pPr>
      <w:r>
        <w:rPr>
          <w:b/>
          <w:bCs/>
        </w:rPr>
        <w:t xml:space="preserve">7.1  </w:t>
      </w:r>
      <w:r>
        <w:t xml:space="preserve">The Company shall not attempt to avoid or reduce the Revenue Share, including by routing a Closed Deal through a third party, affiliate or individual, by mischaracterising Revenue, by delaying or splitting contracts, or by transacting with a Provided Company off-book.</w:t>
      </w:r>
    </w:p>
    <w:p>
      <w:pPr>
        <w:spacing w:after="120"/>
        <w:jc w:val="both"/>
      </w:pPr>
      <w:r>
        <w:rPr>
          <w:b/>
          <w:bCs/>
        </w:rPr>
        <w:t xml:space="preserve">7.2  </w:t>
      </w:r>
      <w:r>
        <w:t xml:space="preserve">The Lists, dossiers and all related research are Bell’s confidential information and intellectual property. The Company shall not resell, publish, share or otherwise disclose them to any third party, and shall use them solely to pursue its own sales. This obligation survives termination.</w:t>
      </w:r>
    </w:p>
    <w:p>
      <w:pPr>
        <w:pStyle w:val="Heading1"/>
      </w:pPr>
      <w:r>
        <w:t xml:space="preserve">8.  Representations &amp; Warranties</w:t>
      </w:r>
    </w:p>
    <w:p>
      <w:pPr>
        <w:spacing w:after="120"/>
        <w:jc w:val="both"/>
      </w:pPr>
      <w:r>
        <w:rPr>
          <w:b/>
          <w:bCs/>
        </w:rPr>
        <w:t xml:space="preserve">8.1  </w:t>
      </w:r>
      <w:r>
        <w:t xml:space="preserve">Each Party warrants that it has full authority to enter into this Agreement and that the person signing is duly authorised.</w:t>
      </w:r>
    </w:p>
    <w:p>
      <w:pPr>
        <w:spacing w:after="120"/>
        <w:jc w:val="both"/>
      </w:pPr>
      <w:r>
        <w:rPr>
          <w:b/>
          <w:bCs/>
        </w:rPr>
        <w:t xml:space="preserve">8.2  </w:t>
      </w:r>
      <w:r>
        <w:t xml:space="preserve">The Company warrants that it will deal with Provided Companies lawfully and professionally and will not misrepresent its relationship with Bell.</w:t>
      </w:r>
    </w:p>
    <w:p>
      <w:pPr>
        <w:pStyle w:val="Heading1"/>
      </w:pPr>
      <w:r>
        <w:t xml:space="preserve">9.  Term, Tail Period &amp; Termination</w:t>
      </w:r>
    </w:p>
    <w:p>
      <w:pPr>
        <w:spacing w:after="120"/>
        <w:jc w:val="both"/>
      </w:pPr>
      <w:r>
        <w:rPr>
          <w:b/>
          <w:bCs/>
        </w:rPr>
        <w:t xml:space="preserve">9.1  </w:t>
      </w:r>
      <w:r>
        <w:t xml:space="preserve">This Agreement starts on the Effective Date and continues until terminated (the “Term”).</w:t>
      </w:r>
    </w:p>
    <w:p>
      <w:pPr>
        <w:spacing w:after="120"/>
        <w:jc w:val="both"/>
      </w:pPr>
      <w:r>
        <w:rPr>
          <w:b/>
          <w:bCs/>
        </w:rPr>
        <w:t xml:space="preserve">9.2  </w:t>
      </w:r>
      <w:r>
        <w:t xml:space="preserve">Either Party may terminate on [30] days’ written notice. Bell may suspend or terminate immediately for breach, non-payment, false information, or misuse of the Lists.</w:t>
      </w:r>
    </w:p>
    <w:p>
      <w:pPr>
        <w:spacing w:after="120"/>
        <w:jc w:val="both"/>
      </w:pPr>
      <w:r>
        <w:rPr>
          <w:b/>
          <w:bCs/>
        </w:rPr>
        <w:t xml:space="preserve">9.3  </w:t>
      </w:r>
      <w:r>
        <w:t xml:space="preserve">Termination does not affect the Revenue Share due on any Closed Deal entered during the Term or within [twelve (12)] months after termination with any Provided Company introduced during the Term (the “Tail Period”). Clauses 4, 5, 6, 7, 10, 11 and 12 survive termination.</w:t>
      </w:r>
    </w:p>
    <w:p>
      <w:pPr>
        <w:pStyle w:val="Heading1"/>
      </w:pPr>
      <w:r>
        <w:t xml:space="preserve">10.  Data Protection (Qatar PDPPL)</w:t>
      </w:r>
    </w:p>
    <w:p>
      <w:pPr>
        <w:spacing w:after="120"/>
        <w:jc w:val="both"/>
      </w:pPr>
      <w:r>
        <w:rPr>
          <w:b/>
          <w:bCs/>
        </w:rPr>
        <w:t xml:space="preserve">10.1  </w:t>
      </w:r>
      <w:r>
        <w:t xml:space="preserve">The Lists may contain business and, where lawful, contact information. The Company is solely responsible for using such information in compliance with Law No. (13) of 2016 concerning Personal Data Privacy Protection (PDPPL) and all applicable laws, including any consent, marketing and opt-out requirements.</w:t>
      </w:r>
    </w:p>
    <w:p>
      <w:pPr>
        <w:spacing w:after="120"/>
        <w:jc w:val="both"/>
      </w:pPr>
      <w:r>
        <w:rPr>
          <w:b/>
          <w:bCs/>
        </w:rPr>
        <w:t xml:space="preserve">10.2  </w:t>
      </w:r>
      <w:r>
        <w:t xml:space="preserve">The Company shall indemnify and hold Bell harmless against any claim, fine or loss arising from the Company’s unlawful or improper use of any information provided. [Scope of indemnity and controller/processor characterisation to be confirmed by counsel.]</w:t>
      </w:r>
    </w:p>
    <w:p>
      <w:pPr>
        <w:pStyle w:val="Heading1"/>
      </w:pPr>
      <w:r>
        <w:t xml:space="preserve">11.  Breach, Remedies &amp; Enforcement</w:t>
      </w:r>
    </w:p>
    <w:p>
      <w:pPr>
        <w:spacing w:after="120"/>
        <w:jc w:val="both"/>
      </w:pPr>
      <w:r>
        <w:rPr>
          <w:b/>
          <w:bCs/>
        </w:rPr>
        <w:t xml:space="preserve">11.1  </w:t>
      </w:r>
      <w:r>
        <w:t xml:space="preserve">The Company acknowledges that the Revenue Share is the sole consideration Bell receives and that accurate reporting and payment are fundamental obligations. Any failure to report a Closed Deal, any underpayment, any circumvention under Clause 7, or any misuse of the Lists is a material breach.</w:t>
      </w:r>
    </w:p>
    <w:p>
      <w:pPr>
        <w:spacing w:after="120"/>
        <w:jc w:val="both"/>
      </w:pPr>
      <w:r>
        <w:rPr>
          <w:b/>
          <w:bCs/>
        </w:rPr>
        <w:t xml:space="preserve">11.2  </w:t>
      </w:r>
      <w:r>
        <w:t xml:space="preserve">On a material breach, without prejudice to any other remedy, Bell may: (a) suspend the Company’s account and withhold further Lists; (b) declare all outstanding and accrued Revenue Share immediately due; (c) recover the amounts owed together with interest and the costs of enforcement (including legal and audit costs); and (d) claim liquidated damages of [____] / [a multiple of the concealed Revenue Share] as a genuine pre-estimate of loss. [Enforceability and amount of any penalty/liquidated-damages clause to be confirmed by Qatari counsel.]</w:t>
      </w:r>
    </w:p>
    <w:p>
      <w:pPr>
        <w:spacing w:after="120"/>
        <w:jc w:val="both"/>
      </w:pPr>
      <w:r>
        <w:rPr>
          <w:b/>
          <w:bCs/>
        </w:rPr>
        <w:t xml:space="preserve">11.3  </w:t>
      </w:r>
      <w:r>
        <w:t xml:space="preserve">The Company agrees that this Agreement, once signed and stamped, constitutes a binding obligation and may be produced and relied upon by Bell as evidence in any proceedings. If the Company conceals deals, evades payment or otherwise breaches this Agreement, Bell shall be entitled to pursue all available legal remedies before the competent courts of the State of Qatar.</w:t>
      </w:r>
    </w:p>
    <w:p>
      <w:pPr>
        <w:pStyle w:val="Heading1"/>
      </w:pPr>
      <w:r>
        <w:t xml:space="preserve">12.  Conversion to Paid Subscription</w:t>
      </w:r>
    </w:p>
    <w:p>
      <w:pPr>
        <w:spacing w:after="120"/>
        <w:jc w:val="both"/>
      </w:pPr>
      <w:r>
        <w:rPr>
          <w:b/>
          <w:bCs/>
        </w:rPr>
        <w:t xml:space="preserve">12.1  </w:t>
      </w:r>
      <w:r>
        <w:t xml:space="preserve">The Company may at any time elect to convert to a paid Bell subscription. On conversion, the subscription terms will govern future data access; however, the Revenue Share remains payable on all Closed Deals with companies that were Provided Companies under this Agreement, for the periods set out in Clauses 4 and 9.</w:t>
      </w:r>
    </w:p>
    <w:p>
      <w:pPr>
        <w:pStyle w:val="Heading1"/>
      </w:pPr>
      <w:r>
        <w:t xml:space="preserve">13.  Governing Law, Disputes &amp; General</w:t>
      </w:r>
    </w:p>
    <w:p>
      <w:pPr>
        <w:spacing w:after="120"/>
        <w:jc w:val="both"/>
      </w:pPr>
      <w:r>
        <w:rPr>
          <w:b/>
          <w:bCs/>
        </w:rPr>
        <w:t xml:space="preserve">13.1  </w:t>
      </w:r>
      <w:r>
        <w:t xml:space="preserve">This Agreement is governed by the laws of the State of Qatar. The Parties submit to the exclusive jurisdiction of the competent courts of Qatar [or: the Qatar International Court and Dispute Resolution Centre (QICDRC) — to be confirmed].</w:t>
      </w:r>
    </w:p>
    <w:p>
      <w:pPr>
        <w:spacing w:after="120"/>
        <w:jc w:val="both"/>
      </w:pPr>
      <w:r>
        <w:rPr>
          <w:b/>
          <w:bCs/>
        </w:rPr>
        <w:t xml:space="preserve">13.2  </w:t>
      </w:r>
      <w:r>
        <w:t xml:space="preserve">This Agreement (with its Schedules and the executed/stamped copy) is the entire agreement between the Parties and supersedes prior discussions. Amendments must be in writing and signed by both Parties.</w:t>
      </w:r>
    </w:p>
    <w:p>
      <w:pPr>
        <w:spacing w:after="120"/>
        <w:jc w:val="both"/>
      </w:pPr>
      <w:r>
        <w:rPr>
          <w:b/>
          <w:bCs/>
        </w:rPr>
        <w:t xml:space="preserve">13.3  </w:t>
      </w:r>
      <w:r>
        <w:t xml:space="preserve">If any provision is held invalid, the remainder continues in force. No waiver is implied by delay. The Company may not assign this Agreement without Bell’s written consent; Bell may assign to an affiliate or successor.</w:t>
      </w:r>
    </w:p>
    <w:p>
      <w:pPr>
        <w:spacing w:after="120"/>
        <w:jc w:val="both"/>
      </w:pPr>
      <w:r>
        <w:rPr>
          <w:b/>
          <w:bCs/>
        </w:rPr>
        <w:t xml:space="preserve">13.4  </w:t>
      </w:r>
      <w:r>
        <w:t xml:space="preserve">Notices are given through the 0 Risk portal and/or to the email and registered addresses of the Parties.</w:t>
      </w:r>
    </w:p>
    <w:p>
      <w:pPr>
        <w:pageBreakBefore/>
        <w:spacing w:after="120"/>
      </w:pPr>
      <w:r>
        <w:rPr>
          <w:b/>
          <w:bCs/>
          <w:sz w:val="28"/>
          <w:szCs w:val="28"/>
        </w:rPr>
        <w:t xml:space="preserve">Execution</w:t>
      </w:r>
    </w:p>
    <w:p>
      <w:pPr>
        <w:spacing w:after="120"/>
        <w:jc w:val="both"/>
      </w:pPr>
      <w:r>
        <w:rPr>
          <w:i/>
          <w:iCs/>
        </w:rPr>
        <w:t xml:space="preserve">Signed by the duly authorised representatives of the Parties. The Company must sign AND affix its official company stamp.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120"/>
              <w:left w:type="dxa" w:w="160"/>
              <w:bottom w:type="dxa" w:w="120"/>
              <w:right w:type="dxa" w:w="160"/>
            </w:tcMar>
          </w:tcPr>
          <w:p>
            <w:pPr>
              <w:spacing w:after="200"/>
            </w:pPr>
            <w:r>
              <w:rPr>
                <w:b/>
                <w:bCs/>
              </w:rPr>
              <w:t xml:space="preserve">For and on behalf of BELL DATA INTELLIGENCE</w:t>
            </w:r>
          </w:p>
          <w:p>
            <w:pPr>
              <w:spacing w:after="200"/>
            </w:pPr>
            <w:r>
              <w:t xml:space="preserve">Name: ____________________________</w:t>
            </w:r>
          </w:p>
          <w:p>
            <w:pPr>
              <w:spacing w:after="200"/>
            </w:pPr>
            <w:r>
              <w:t xml:space="preserve">Title: _____________________________</w:t>
            </w:r>
          </w:p>
          <w:p>
            <w:pPr>
              <w:spacing w:after="200"/>
            </w:pPr>
            <w:r>
              <w:t xml:space="preserve">Signature: ________________________</w:t>
            </w:r>
          </w:p>
          <w:p>
            <w:pPr>
              <w:spacing w:after="200"/>
            </w:pPr>
            <w:r>
              <w:t xml:space="preserve">Date: _____________________________</w:t>
            </w:r>
          </w:p>
          <w:p>
            <w:pPr>
              <w:spacing w:after="60"/>
            </w:pPr>
            <w:r>
              <w:t xml:space="preserve">CR No.: ___________________________</w:t>
            </w:r>
          </w:p>
          <w:p>
            <w:pPr>
              <w:spacing w:after="0"/>
            </w:pPr>
            <w:r>
              <w:rPr>
                <w:i/>
                <w:iCs/>
              </w:rPr>
              <w:t xml:space="preserve">Official company stamp:</w:t>
            </w:r>
          </w:p>
          <w:p>
            <w:pPr>
              <w:spacing w:before="240"/>
            </w:pPr>
            <w:r>
              <w:t xml:space="preserve"/>
            </w:r>
          </w:p>
        </w:tc>
        <w:tc>
          <w:tcPr>
            <w:tcW w:type="dxa" w:w="4680"/>
            <w:tcBorders>
              <w:top w:val="single" w:color="BBBBBB" w:sz="1"/>
              <w:left w:val="single" w:color="BBBBBB" w:sz="1"/>
              <w:bottom w:val="single" w:color="BBBBBB" w:sz="1"/>
              <w:right w:val="single" w:color="BBBBBB" w:sz="1"/>
            </w:tcBorders>
            <w:tcMar>
              <w:top w:type="dxa" w:w="120"/>
              <w:left w:type="dxa" w:w="160"/>
              <w:bottom w:type="dxa" w:w="120"/>
              <w:right w:type="dxa" w:w="160"/>
            </w:tcMar>
          </w:tcPr>
          <w:p>
            <w:pPr>
              <w:spacing w:after="200"/>
            </w:pPr>
            <w:r>
              <w:rPr>
                <w:b/>
                <w:bCs/>
              </w:rPr>
              <w:t xml:space="preserve">For and on behalf of THE COMPANY</w:t>
            </w:r>
          </w:p>
          <w:p>
            <w:pPr>
              <w:spacing w:after="200"/>
            </w:pPr>
            <w:r>
              <w:t xml:space="preserve">Name: ____________________________</w:t>
            </w:r>
          </w:p>
          <w:p>
            <w:pPr>
              <w:spacing w:after="200"/>
            </w:pPr>
            <w:r>
              <w:t xml:space="preserve">Title: _____________________________</w:t>
            </w:r>
          </w:p>
          <w:p>
            <w:pPr>
              <w:spacing w:after="200"/>
            </w:pPr>
            <w:r>
              <w:t xml:space="preserve">Signature: ________________________</w:t>
            </w:r>
          </w:p>
          <w:p>
            <w:pPr>
              <w:spacing w:after="200"/>
            </w:pPr>
            <w:r>
              <w:t xml:space="preserve">Date: _____________________________</w:t>
            </w:r>
          </w:p>
          <w:p>
            <w:pPr>
              <w:spacing w:after="60"/>
            </w:pPr>
            <w:r>
              <w:t xml:space="preserve">CR No.: ___________________________</w:t>
            </w:r>
          </w:p>
          <w:p>
            <w:pPr>
              <w:spacing w:after="0"/>
            </w:pPr>
            <w:r>
              <w:rPr>
                <w:i/>
                <w:iCs/>
              </w:rPr>
              <w:t xml:space="preserve">Official company stamp:</w:t>
            </w:r>
          </w:p>
          <w:p>
            <w:pPr>
              <w:spacing w:before="240"/>
            </w:pPr>
            <w:r>
              <w:t xml:space="preserve"/>
            </w:r>
          </w:p>
        </w:tc>
      </w:tr>
    </w:tbl>
    <w:p>
      <w:pPr>
        <w:pageBreakBefore/>
      </w:pPr>
    </w:p>
    <w:p>
      <w:pPr>
        <w:pStyle w:val="Heading1"/>
      </w:pPr>
      <w:r>
        <w:t xml:space="preserve">Schedule A — Required Documents &amp; Onboarding</w:t>
      </w:r>
    </w:p>
    <w:p>
      <w:pPr>
        <w:spacing w:after="120"/>
        <w:jc w:val="both"/>
      </w:pPr>
      <w:r>
        <w:t xml:space="preserve">Before the Green Light, the Company must submit and keep current: (a) Commercial Registration (CR); (b) company documentation [computer card / trade licence / establishment card, as applicable]; (c) Qatar ID (QID) of the authorised signatory; (d) a completed 0 Risk company &amp; ICP profile; and (e) this Agreement, signed and stamped.</w:t>
      </w:r>
    </w:p>
    <w:p>
      <w:pPr>
        <w:pStyle w:val="Heading1"/>
      </w:pPr>
      <w:r>
        <w:t xml:space="preserve">Schedule B — Revenue-Share Summary</w:t>
      </w:r>
    </w:p>
    <w:p>
      <w:pPr>
        <w:spacing w:after="120"/>
        <w:jc w:val="both"/>
      </w:pPr>
      <w:r>
        <w:t xml:space="preserve">Revenue Share: 15% of Revenue from every Closed Deal with every Provided Company, payable within 30 days, for the duration of the Closed Deal and any renewals, including during the Tail Period. [All figures and periods subject to confirmation by counsel.]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Bell Data Intelligence — 0 Risk Agreement (DRAFT, pending legal review)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 Risk Agreement (DRAFT)</dc:title>
  <dc:creator>Bell Data Intelligence</dc:creator>
  <cp:lastModifiedBy>Un-named</cp:lastModifiedBy>
  <cp:revision>1</cp:revision>
  <dcterms:created xsi:type="dcterms:W3CDTF">2026-06-30T14:44:54.794Z</dcterms:created>
  <dcterms:modified xsi:type="dcterms:W3CDTF">2026-06-30T14:44:54.794Z</dcterms:modified>
</cp:coreProperties>
</file>

<file path=docProps/custom.xml><?xml version="1.0" encoding="utf-8"?>
<Properties xmlns="http://schemas.openxmlformats.org/officeDocument/2006/custom-properties" xmlns:vt="http://schemas.openxmlformats.org/officeDocument/2006/docPropsVTypes"/>
</file>