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с использованием подпрограмм, знакомство с методами отладки при помощи GDB и его основными возможностями.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 можно разделить на четыре этапа:</w:t>
      </w:r>
    </w:p>
    <w:p>
      <w:pPr>
        <w:numPr>
          <w:ilvl w:val="0"/>
          <w:numId w:val="1001"/>
        </w:numPr>
      </w:pPr>
      <w:r>
        <w:t xml:space="preserve">Обнаружение ошибки;</w:t>
      </w:r>
    </w:p>
    <w:p>
      <w:pPr>
        <w:numPr>
          <w:ilvl w:val="0"/>
          <w:numId w:val="1001"/>
        </w:numPr>
      </w:pPr>
      <w:r>
        <w:t xml:space="preserve">Поиск её местонахождения;</w:t>
      </w:r>
    </w:p>
    <w:p>
      <w:pPr>
        <w:numPr>
          <w:ilvl w:val="0"/>
          <w:numId w:val="1001"/>
        </w:numPr>
      </w:pPr>
      <w:r>
        <w:t xml:space="preserve">Определение причины ошибки;</w:t>
      </w:r>
    </w:p>
    <w:p>
      <w:pPr>
        <w:numPr>
          <w:ilvl w:val="0"/>
          <w:numId w:val="1001"/>
        </w:numPr>
      </w:pPr>
      <w:r>
        <w:t xml:space="preserve">Исправление ошибки.</w:t>
      </w:r>
    </w:p>
    <w:p>
      <w:pPr>
        <w:pStyle w:val="FirstParagraph"/>
      </w:pPr>
      <w:r>
        <w:t xml:space="preserve">Наиболее часто применяют следующие методы отладки:</w:t>
      </w:r>
    </w:p>
    <w:p>
      <w:pPr>
        <w:numPr>
          <w:ilvl w:val="0"/>
          <w:numId w:val="1002"/>
        </w:numPr>
      </w:pPr>
      <w:r>
        <w:t xml:space="preserve">Создание точек контроля значений на входе и выходе участка программы (например, вывод промежуточных значений на экран — так называемые диагностические сообщения);</w:t>
      </w:r>
    </w:p>
    <w:p>
      <w:pPr>
        <w:numPr>
          <w:ilvl w:val="0"/>
          <w:numId w:val="1002"/>
        </w:numPr>
      </w:pPr>
      <w:r>
        <w:t xml:space="preserve">Использование специальных программ-отладчиков.</w:t>
      </w:r>
    </w:p>
    <w:p>
      <w:pPr>
        <w:pStyle w:val="FirstParagraph"/>
      </w:pPr>
      <w:r>
        <w:t xml:space="preserve">Подпрограмма — это, как правило, функционально законченный участок кода, который можно многократно вызывать из разных мест программы. В отличие от простых переходов из подпрограмм существует возврат на команду, следующую за вызовом.</w:t>
      </w:r>
      <w:r>
        <w:br/>
      </w:r>
      <w:r>
        <w:t xml:space="preserve">Для вызова подпрограммы из основной программы используется инструкция call, которая заносит адрес следующей инструкции в стек и загружает в регистр eip адрес соответствующей подпрограммы, осуществляя таким образом переход. Затем начинается выполнение подпрограммы, которая, в свою очередь, также может содержать подпрограммы.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Создаю каталог для выполнения лабораторной работы №9 и файл lab09-1.asm в нём (рис. 1).</w:t>
      </w:r>
    </w:p>
    <w:p>
      <w:pPr>
        <w:pStyle w:val="CaptionedFigure"/>
      </w:pPr>
      <w:r>
        <w:drawing>
          <wp:inline>
            <wp:extent cx="3733800" cy="443619"/>
            <wp:effectExtent b="0" l="0" r="0" t="0"/>
            <wp:docPr descr="Создание каталога lab09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lab09</w:t>
      </w:r>
    </w:p>
    <w:p>
      <w:pPr>
        <w:pStyle w:val="BodyText"/>
      </w:pPr>
      <w:r>
        <w:t xml:space="preserve">Ввожу текст программы из листинга в файл lab09-1.asm (рис. 2).</w:t>
      </w:r>
    </w:p>
    <w:p>
      <w:pPr>
        <w:pStyle w:val="CaptionedFigure"/>
      </w:pPr>
      <w:r>
        <w:drawing>
          <wp:inline>
            <wp:extent cx="3733800" cy="3548057"/>
            <wp:effectExtent b="0" l="0" r="0" t="0"/>
            <wp:docPr descr="lab9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lab9-1.asm</w:t>
      </w:r>
    </w:p>
    <w:p>
      <w:pPr>
        <w:pStyle w:val="BodyText"/>
      </w:pPr>
      <w:r>
        <w:t xml:space="preserve">Создаю исполняемый файл и проверяю его работу (рис. 3).</w:t>
      </w:r>
    </w:p>
    <w:p>
      <w:pPr>
        <w:pStyle w:val="CaptionedFigure"/>
      </w:pPr>
      <w:r>
        <w:drawing>
          <wp:inline>
            <wp:extent cx="3733800" cy="634803"/>
            <wp:effectExtent b="0" l="0" r="0" t="0"/>
            <wp:docPr descr="Запуск lab9-1.asm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lab9-1.asm</w:t>
      </w:r>
    </w:p>
    <w:p>
      <w:pPr>
        <w:numPr>
          <w:ilvl w:val="0"/>
          <w:numId w:val="1004"/>
        </w:numPr>
        <w:pStyle w:val="Compact"/>
      </w:pPr>
      <w:r>
        <w:t xml:space="preserve">Создаю файл lab9-2.asm с текстом программа печати сообщения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2574718"/>
            <wp:effectExtent b="0" l="0" r="0" t="0"/>
            <wp:docPr descr="lab9-2.asm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lab9-2.asm</w:t>
      </w:r>
    </w:p>
    <w:p>
      <w:pPr>
        <w:pStyle w:val="BodyText"/>
      </w:pPr>
      <w:r>
        <w:t xml:space="preserve">Получаю исполняемый файл. Для работы с GDB в исполняемый файл добавляю отладочную информацию, для этого трансляцию программы провожу с ключом‘-g’ и загружаю исполняемый файл в отладчик gdb (рис. 5).</w:t>
      </w:r>
    </w:p>
    <w:p>
      <w:pPr>
        <w:pStyle w:val="CaptionedFigure"/>
      </w:pPr>
      <w:r>
        <w:drawing>
          <wp:inline>
            <wp:extent cx="3733800" cy="621358"/>
            <wp:effectExtent b="0" l="0" r="0" t="0"/>
            <wp:docPr descr="Загрузка lab9-2.asm в GDB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Загрузка lab9-2.asm в GDB</w:t>
      </w:r>
    </w:p>
    <w:p>
      <w:pPr>
        <w:pStyle w:val="BodyText"/>
      </w:pPr>
      <w:r>
        <w:t xml:space="preserve">Запускаю программу в оболочке GDB (рис. 6).</w:t>
      </w:r>
    </w:p>
    <w:p>
      <w:pPr>
        <w:pStyle w:val="CaptionedFigure"/>
      </w:pPr>
      <w:r>
        <w:drawing>
          <wp:inline>
            <wp:extent cx="3733800" cy="660769"/>
            <wp:effectExtent b="0" l="0" r="0" t="0"/>
            <wp:docPr descr="Запуск в оболочке GDB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в оболочке GDB</w:t>
      </w:r>
    </w:p>
    <w:p>
      <w:pPr>
        <w:pStyle w:val="BodyText"/>
      </w:pPr>
      <w:r>
        <w:t xml:space="preserve">Запускаю программу с брейпоинтом на метке _start (рис. 7).</w:t>
      </w:r>
    </w:p>
    <w:p>
      <w:pPr>
        <w:pStyle w:val="CaptionedFigure"/>
      </w:pPr>
      <w:r>
        <w:drawing>
          <wp:inline>
            <wp:extent cx="3733800" cy="742234"/>
            <wp:effectExtent b="0" l="0" r="0" t="0"/>
            <wp:docPr descr="Брейпоинт на метке _start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Брейпоинт на метке _start</w:t>
      </w:r>
    </w:p>
    <w:p>
      <w:pPr>
        <w:pStyle w:val="BodyText"/>
      </w:pPr>
      <w:r>
        <w:t xml:space="preserve">Смотрю на дисассимилированный код программы с помощью команды disassemble начиная с метки _start (рис. 8).</w:t>
      </w:r>
    </w:p>
    <w:p>
      <w:pPr>
        <w:pStyle w:val="CaptionedFigure"/>
      </w:pPr>
      <w:r>
        <w:drawing>
          <wp:inline>
            <wp:extent cx="3733800" cy="1403003"/>
            <wp:effectExtent b="0" l="0" r="0" t="0"/>
            <wp:docPr descr="Дисассимилированный код программ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Дисассимилированный код программы</w:t>
      </w:r>
    </w:p>
    <w:p>
      <w:pPr>
        <w:pStyle w:val="BodyText"/>
      </w:pPr>
      <w:r>
        <w:t xml:space="preserve">Смотрю на дисассимилированный код программы с синтаксом intel с помощью команды disassemble начиная с метки _start (рис. 9).</w:t>
      </w:r>
    </w:p>
    <w:p>
      <w:pPr>
        <w:pStyle w:val="CaptionedFigure"/>
      </w:pPr>
      <w:r>
        <w:drawing>
          <wp:inline>
            <wp:extent cx="3733800" cy="1403003"/>
            <wp:effectExtent b="0" l="0" r="0" t="0"/>
            <wp:docPr descr="Дисассимилированный код программы с синтаксом intel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Дисассимилированный код программы с синтаксом intel</w:t>
      </w:r>
    </w:p>
    <w:p>
      <w:pPr>
        <w:pStyle w:val="BodyText"/>
      </w:pPr>
      <w:r>
        <w:t xml:space="preserve">Эти два отображения различаются тем, что в Intel’овском сначала пишется регистр, а потом адрес, причем без символа доллара и без символа процента, т.е. его вид упрощенный.</w:t>
      </w:r>
    </w:p>
    <w:p>
      <w:pPr>
        <w:pStyle w:val="BodyText"/>
      </w:pPr>
      <w:r>
        <w:t xml:space="preserve">Включаю режим псевдографики для более удобного анализа программы (рис. 10).</w:t>
      </w:r>
    </w:p>
    <w:p>
      <w:pPr>
        <w:pStyle w:val="CaptionedFigure"/>
      </w:pPr>
      <w:r>
        <w:drawing>
          <wp:inline>
            <wp:extent cx="3733800" cy="1597013"/>
            <wp:effectExtent b="0" l="0" r="0" t="0"/>
            <wp:docPr descr="Режим псевдографики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Режим псевдографики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 Проверяю это с помощью команды info breakpoints (кратко i b) (рис. 11).</w:t>
      </w:r>
    </w:p>
    <w:p>
      <w:pPr>
        <w:pStyle w:val="CaptionedFigure"/>
      </w:pPr>
      <w:r>
        <w:drawing>
          <wp:inline>
            <wp:extent cx="3733800" cy="783538"/>
            <wp:effectExtent b="0" l="0" r="0" t="0"/>
            <wp:docPr descr="Проверка меток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меток</w:t>
      </w:r>
    </w:p>
    <w:p>
      <w:pPr>
        <w:pStyle w:val="BodyText"/>
      </w:pPr>
      <w:r>
        <w:t xml:space="preserve">Устанавливаю ещё одну точку останова по адресу инструкции и проверяю (рис. 12).</w:t>
      </w:r>
    </w:p>
    <w:p>
      <w:pPr>
        <w:pStyle w:val="CaptionedFigure"/>
      </w:pPr>
      <w:r>
        <w:drawing>
          <wp:inline>
            <wp:extent cx="3733800" cy="1188392"/>
            <wp:effectExtent b="0" l="0" r="0" t="0"/>
            <wp:docPr descr="Установка второй метки и проверк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8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второй метки и проверка</w:t>
      </w:r>
    </w:p>
    <w:p>
      <w:pPr>
        <w:pStyle w:val="BodyText"/>
      </w:pPr>
      <w:r>
        <w:t xml:space="preserve">Выполняю 5 инструкций с помощью команды stepi (или si) и слежу за изменением значений регистров. Значения регистров ebx, ecx, edx и eax изменялись (рис. 13).</w:t>
      </w:r>
    </w:p>
    <w:p>
      <w:pPr>
        <w:pStyle w:val="CaptionedFigure"/>
      </w:pPr>
      <w:r>
        <w:drawing>
          <wp:inline>
            <wp:extent cx="3733800" cy="2528614"/>
            <wp:effectExtent b="0" l="0" r="0" t="0"/>
            <wp:docPr descr="5 инструкций с помощью stepi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5 инструкций с помощью stepi</w:t>
      </w:r>
    </w:p>
    <w:p>
      <w:pPr>
        <w:pStyle w:val="BodyText"/>
      </w:pPr>
      <w:r>
        <w:t xml:space="preserve">Смотрю значение переменной msg1 по имени (рис. 14).</w:t>
      </w:r>
    </w:p>
    <w:p>
      <w:pPr>
        <w:pStyle w:val="CaptionedFigure"/>
      </w:pPr>
      <w:r>
        <w:drawing>
          <wp:inline>
            <wp:extent cx="3492500" cy="584200"/>
            <wp:effectExtent b="0" l="0" r="0" t="0"/>
            <wp:docPr descr="Просмотр значения переменной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Просмотр значения переменной</w:t>
      </w:r>
    </w:p>
    <w:p>
      <w:pPr>
        <w:pStyle w:val="BodyText"/>
      </w:pPr>
      <w:r>
        <w:t xml:space="preserve">Изменю первый символ переменной msg1 и msg2 (рис. 15).</w:t>
      </w:r>
    </w:p>
    <w:p>
      <w:pPr>
        <w:pStyle w:val="CaptionedFigure"/>
      </w:pPr>
      <w:r>
        <w:drawing>
          <wp:inline>
            <wp:extent cx="3733800" cy="1146106"/>
            <wp:effectExtent b="0" l="0" r="0" t="0"/>
            <wp:docPr descr="Изменение символов в переменных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символов в переменных</w:t>
      </w:r>
    </w:p>
    <w:p>
      <w:pPr>
        <w:pStyle w:val="BodyText"/>
      </w:pPr>
      <w:r>
        <w:t xml:space="preserve">Выведу в разных форматах значение регистра edx (рис. 16).</w:t>
      </w:r>
    </w:p>
    <w:p>
      <w:pPr>
        <w:pStyle w:val="CaptionedFigure"/>
      </w:pPr>
      <w:r>
        <w:drawing>
          <wp:inline>
            <wp:extent cx="3733800" cy="1287517"/>
            <wp:effectExtent b="0" l="0" r="0" t="0"/>
            <wp:docPr descr="Значение регистра edx в разных форматах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Значение регистра edx в разных форматах</w:t>
      </w:r>
    </w:p>
    <w:p>
      <w:pPr>
        <w:pStyle w:val="BodyText"/>
      </w:pPr>
      <w:r>
        <w:t xml:space="preserve">С помощью команды set измените значение регистра ebx (рис. 17).</w:t>
      </w:r>
    </w:p>
    <w:p>
      <w:pPr>
        <w:pStyle w:val="CaptionedFigure"/>
      </w:pPr>
      <w:r>
        <w:drawing>
          <wp:inline>
            <wp:extent cx="3733800" cy="768433"/>
            <wp:effectExtent b="0" l="0" r="0" t="0"/>
            <wp:docPr descr="Смена значения регистра ebx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Смена значения регистра ebx</w:t>
      </w:r>
    </w:p>
    <w:p>
      <w:pPr>
        <w:pStyle w:val="BodyText"/>
      </w:pPr>
      <w:r>
        <w:t xml:space="preserve">Завершаю выполнение программы.</w:t>
      </w:r>
    </w:p>
    <w:p>
      <w:pPr>
        <w:numPr>
          <w:ilvl w:val="0"/>
          <w:numId w:val="1005"/>
        </w:numPr>
        <w:pStyle w:val="Compact"/>
      </w:pPr>
      <w:r>
        <w:t xml:space="preserve">Копирую файл lab8-2.asm, созданный при выполнении лабораторной работы №8, с программой выводящей на экран аргументы командной строки в файл именем lab9-3.asm, создаю исполняемый файл, и загружаю его в отладчик с ключем –args (рис. 18).</w:t>
      </w:r>
    </w:p>
    <w:p>
      <w:pPr>
        <w:pStyle w:val="CaptionedFigure"/>
      </w:pPr>
      <w:r>
        <w:drawing>
          <wp:inline>
            <wp:extent cx="3733800" cy="444608"/>
            <wp:effectExtent b="0" l="0" r="0" t="0"/>
            <wp:docPr descr="Копирование, создание исполняемого файла, загрузка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Копирование, создание исполняемого файла, загрузка</w:t>
      </w:r>
    </w:p>
    <w:p>
      <w:pPr>
        <w:pStyle w:val="BodyText"/>
      </w:pPr>
      <w:r>
        <w:t xml:space="preserve">Устанавливаю точку останова перед первой инструкцией в программе и запускаю ее (рис. 19).</w:t>
      </w:r>
    </w:p>
    <w:p>
      <w:pPr>
        <w:pStyle w:val="CaptionedFigure"/>
      </w:pPr>
      <w:r>
        <w:drawing>
          <wp:inline>
            <wp:extent cx="3733800" cy="1327573"/>
            <wp:effectExtent b="0" l="0" r="0" t="0"/>
            <wp:docPr descr="Запуск с точкой останова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с точкой останова</w:t>
      </w:r>
    </w:p>
    <w:p>
      <w:pPr>
        <w:pStyle w:val="BodyText"/>
      </w:pPr>
      <w:r>
        <w:t xml:space="preserve">Посмотрю остальные позиции стека – по адесу esp+4 располагается адрес в памяти где находиться имя программы, по адесу esp+8 храниться адрес первого аргумента, по аресу esp+12 – второго и т.д (рис. 20).</w:t>
      </w:r>
    </w:p>
    <w:p>
      <w:pPr>
        <w:pStyle w:val="CaptionedFigure"/>
      </w:pPr>
      <w:r>
        <w:drawing>
          <wp:inline>
            <wp:extent cx="3733800" cy="2192980"/>
            <wp:effectExtent b="0" l="0" r="0" t="0"/>
            <wp:docPr descr="Просмотр позиций стека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Просмотр позиций стека</w:t>
      </w:r>
    </w:p>
    <w:p>
      <w:pPr>
        <w:pStyle w:val="BodyText"/>
      </w:pPr>
      <w:r>
        <w:t xml:space="preserve">Шаг 4 обусловлен разрядностью системы, а указатель void занимает 4 байта.</w:t>
      </w:r>
    </w:p>
    <w:bookmarkEnd w:id="82"/>
    <w:bookmarkStart w:id="83" w:name="задания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Преобразую программу из лабораторной работы 8, реализоваа вычисление функции как подпрограмму.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10x - 4"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_calculate_fx</w:t>
      </w:r>
      <w:r>
        <w:br/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_calculate_fx: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7"/>
        </w:numPr>
        <w:pStyle w:val="Compact"/>
      </w:pPr>
      <w:r>
        <w:t xml:space="preserve">Запускаю программу в режике отладичка и ппросматриваю изменение значений регистров. При выполнении инструкции mul ecx результат записывается в eax, но также меняет edx. Значение регистра ebx не обновляется, поэтому результат программа неверно подсчитывает функцию. Исправляю это и функция работает корректно.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данной лабораторной работы, я получила навыки написания программ с использованием подпрограмм, а так же познакомилась с методами отладки при помощи GDB.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Азарцова Вероника Валерьевна</dc:creator>
  <dc:language>ru-RU</dc:language>
  <cp:keywords/>
  <dcterms:created xsi:type="dcterms:W3CDTF">2024-12-12T23:26:56Z</dcterms:created>
  <dcterms:modified xsi:type="dcterms:W3CDTF">2024-12-12T23:26:56Z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