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Subtitle"/>
      </w:pPr>
      <w:r>
        <w:t xml:space="preserve">c/б</w:t>
      </w:r>
      <w:r>
        <w:t xml:space="preserve"> </w:t>
      </w:r>
      <w:r>
        <w:t xml:space="preserve">1032186063</w:t>
      </w:r>
      <w:r>
        <w:t xml:space="preserve"> </w:t>
      </w:r>
      <w:r>
        <w:t xml:space="preserve">|</w:t>
      </w:r>
      <w:r>
        <w:t xml:space="preserve"> </w:t>
      </w:r>
      <w:r>
        <w:t xml:space="preserve">НФИбд-01-18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модель боевых действий, её интерпретации, а также реализовать её в виде программного кода.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модели боевых действий</w:t>
      </w:r>
    </w:p>
    <w:p>
      <w:pPr>
        <w:numPr>
          <w:ilvl w:val="1"/>
          <w:numId w:val="1002"/>
        </w:numPr>
        <w:pStyle w:val="Compact"/>
      </w:pPr>
      <w:r>
        <w:t xml:space="preserve">только между регулярными войсками</w:t>
      </w:r>
    </w:p>
    <w:p>
      <w:pPr>
        <w:numPr>
          <w:ilvl w:val="1"/>
          <w:numId w:val="1002"/>
        </w:numPr>
        <w:pStyle w:val="Compact"/>
      </w:pPr>
      <w:r>
        <w:t xml:space="preserve">между регулярными войсками и партизанскими отрядами</w:t>
      </w:r>
    </w:p>
    <w:p>
      <w:pPr>
        <w:numPr>
          <w:ilvl w:val="1"/>
          <w:numId w:val="1002"/>
        </w:numPr>
        <w:pStyle w:val="Compact"/>
      </w:pPr>
      <w:r>
        <w:t xml:space="preserve">только между партизанскими отрядами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программный код на Python</w:t>
      </w:r>
    </w:p>
    <w:p>
      <w:pPr>
        <w:numPr>
          <w:ilvl w:val="1"/>
          <w:numId w:val="1003"/>
        </w:numPr>
        <w:pStyle w:val="Compact"/>
      </w:pPr>
      <w:r>
        <w:t xml:space="preserve">модель ведения боевых действий между регулярными войсками</w:t>
      </w:r>
    </w:p>
    <w:p>
      <w:pPr>
        <w:numPr>
          <w:ilvl w:val="1"/>
          <w:numId w:val="1003"/>
        </w:numPr>
        <w:pStyle w:val="Compact"/>
      </w:pPr>
      <w:r>
        <w:t xml:space="preserve">модель ведения боевых действий между регулярными войсками и партизанскими отрядами</w:t>
      </w:r>
    </w:p>
    <w:bookmarkEnd w:id="20"/>
    <w:bookmarkStart w:id="25" w:name="теоретическая-справка"/>
    <w:p>
      <w:pPr>
        <w:pStyle w:val="Heading1"/>
      </w:pPr>
      <w:r>
        <w:t xml:space="preserve">Теоретическая справка</w:t>
      </w:r>
    </w:p>
    <w:bookmarkStart w:id="21" w:name="X5c5070a922720d1e927f0f91034839f0eba4c91"/>
    <w:p>
      <w:pPr>
        <w:pStyle w:val="Heading2"/>
      </w:pPr>
      <w:r>
        <w:t xml:space="preserve">Боевые действия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описывают влияние дополнительных факторов на потери (болезнь, дезертирство и тому подобное), а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коэффициенты эффективности ведения боевых действий соответственно для войск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2" w:name="Xc28fe3b0090a92d17b589d25a8d012a1ad08739"/>
    <w:p>
      <w:pPr>
        <w:pStyle w:val="Heading2"/>
      </w:pPr>
      <w:r>
        <w:t xml:space="preserve">Боевые действия между регулярными войсками и партизанскими отрядами</w:t>
      </w:r>
    </w:p>
    <w:p>
      <w:pPr>
        <w:pStyle w:val="FirstParagraph"/>
      </w:pPr>
      <w:r>
        <w:t xml:space="preserve">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2"/>
    <w:bookmarkStart w:id="23" w:name="боевые-действия-партизанских-отрядов"/>
    <w:p>
      <w:pPr>
        <w:pStyle w:val="Heading2"/>
      </w:pPr>
      <w:r>
        <w:t xml:space="preserve">Боевые действия партизанских отрядов</w:t>
      </w:r>
    </w:p>
    <w:p>
      <w:pPr>
        <w:pStyle w:val="FirstParagraph"/>
      </w:pPr>
      <w:r>
        <w:t xml:space="preserve">С учётом вышеописанного, полная модель при участии партизанских отрядов будет иметь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3"/>
    <w:bookmarkStart w:id="24" w:name="использование-постоянных-коэффициентов"/>
    <w:p>
      <w:pPr>
        <w:pStyle w:val="Heading2"/>
      </w:pPr>
      <w:r>
        <w:t xml:space="preserve">Использование постоянных коэффициентов</w:t>
      </w:r>
    </w:p>
    <w:p>
      <w:pPr>
        <w:pStyle w:val="FirstParagraph"/>
      </w:pPr>
      <w:r>
        <w:t xml:space="preserve">Коэффициенты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будут постоянными при выполнении лабораторной работы, так как в альтернативном случае задача моделирования подобного процесса значительно усложняется.</w:t>
      </w:r>
    </w:p>
    <w:bookmarkEnd w:id="24"/>
    <w:bookmarkEnd w:id="25"/>
    <w:bookmarkStart w:id="32" w:name="программная-реализация"/>
    <w:p>
      <w:pPr>
        <w:pStyle w:val="Heading1"/>
      </w:pPr>
      <w:r>
        <w:t xml:space="preserve">Программная реализация</w:t>
      </w:r>
    </w:p>
    <w:bookmarkStart w:id="26" w:name="инициализация-начальных-данных"/>
    <w:p>
      <w:pPr>
        <w:pStyle w:val="Heading2"/>
      </w:pPr>
      <w:r>
        <w:t xml:space="preserve">Инициализация начальных данных</w:t>
      </w:r>
    </w:p>
    <w:p>
      <w:pPr>
        <w:pStyle w:val="FirstParagraph"/>
      </w:pPr>
      <w:r>
        <w:t xml:space="preserve">Все данные соответствуют варианту 14 (</w:t>
      </w:r>
      <m:oMath>
        <m:r>
          <m:t>1032186063</m:t>
        </m:r>
        <m:r>
          <m:t> </m:t>
        </m:r>
        <m:r>
          <m:rPr>
            <m:nor/>
            <m:sty m:val="p"/>
          </m:rPr>
          <m:t>mod</m:t>
        </m:r>
        <m:r>
          <m:t> </m:t>
        </m:r>
        <m:r>
          <m:t>70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14</m:t>
        </m:r>
      </m:oMath>
      <w:r>
        <w:t xml:space="preserve">)</w:t>
      </w:r>
    </w:p>
    <w:p>
      <w:pPr>
        <w:pStyle w:val="BodyText"/>
      </w:pPr>
      <w:r>
        <w:rPr>
          <w:bCs/>
          <w:b/>
        </w:rPr>
        <w:t xml:space="preserve">Инициализация библиотек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cos, sin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rPr>
          <w:bCs/>
          <w:b/>
        </w:rPr>
        <w:t xml:space="preserve">Начальные данные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119000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np.arange(t0,tmax,dt)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np.array([x0, y0])</w:t>
      </w:r>
    </w:p>
    <w:p>
      <w:pPr>
        <w:pStyle w:val="FirstParagraph"/>
      </w:pPr>
      <w:r>
        <w:rPr>
          <w:bCs/>
          <w:b/>
        </w:rPr>
        <w:t xml:space="preserve">Функция построения графиков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army_model(time, data, num):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'Combat Model #'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 </w:t>
      </w:r>
      <w:r>
        <w:br/>
      </w:r>
      <w:r>
        <w:rPr>
          <w:rStyle w:val="NormalTok"/>
        </w:rPr>
        <w:t xml:space="preserve">    plt.plot(time,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'Армия X'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plt.plot(time,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'firebrick'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'Армия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'Army size'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plt.margins(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plt.subplots_adjust(left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6"/>
    <w:bookmarkStart w:id="31" w:name="реализация-моделей"/>
    <w:p>
      <w:pPr>
        <w:pStyle w:val="Heading2"/>
      </w:pPr>
      <w:r>
        <w:t xml:space="preserve">Реализация моделей</w:t>
      </w:r>
    </w:p>
    <w:bookmarkStart w:id="28" w:name="модель-боевых-действий-1"/>
    <w:p>
      <w:pPr>
        <w:pStyle w:val="Heading3"/>
      </w:pPr>
      <w:r>
        <w:t xml:space="preserve">Модель боевых действий №1</w:t>
      </w:r>
    </w:p>
    <w:p>
      <w:pPr>
        <w:pStyle w:val="FirstParagraph"/>
      </w:pPr>
      <w:r>
        <w:t xml:space="preserve">Введём необходимые коэффициенты для модели боевых действий между регулярными войсками.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</w:p>
    <w:p>
      <w:pPr>
        <w:pStyle w:val="FirstParagraph"/>
      </w:pPr>
      <w:r>
        <w:t xml:space="preserve">Далее, необходимо определить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а также необходимую нам функцию для системы дифференциальных уравнений.</w:t>
      </w:r>
    </w:p>
    <w:p>
      <w:pPr>
        <w:pStyle w:val="SourceCode"/>
      </w:pPr>
      <w:r>
        <w:rPr>
          <w:rStyle w:val="CommentTok"/>
        </w:rPr>
        <w:t xml:space="preserve"># possibility of reinforcement approach for X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P1(t):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sin(t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possibility of reinforcement approach for 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Q1(t):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cos(t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CommentTok"/>
        </w:rPr>
        <w:t xml:space="preserve"># system of differential equations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dy1(y,t):</w:t>
      </w:r>
      <w:r>
        <w:br/>
      </w:r>
      <w:r>
        <w:rPr>
          <w:rStyle w:val="NormalTok"/>
        </w:rPr>
        <w:t xml:space="preserve">    dy_1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P1(t)</w:t>
      </w:r>
      <w:r>
        <w:br/>
      </w:r>
      <w:r>
        <w:rPr>
          <w:rStyle w:val="NormalTok"/>
        </w:rPr>
        <w:t xml:space="preserve">    dy_2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Q1(t)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[dy_1, dy_2]</w:t>
      </w:r>
    </w:p>
    <w:p>
      <w:pPr>
        <w:pStyle w:val="FirstParagraph"/>
      </w:pPr>
      <w:r>
        <w:t xml:space="preserve">Далее, решим систему дифференциальных уравнений с помощью функции</w:t>
      </w:r>
      <w:r>
        <w:t xml:space="preserve"> </w:t>
      </w:r>
      <w:r>
        <w:rPr>
          <w:rStyle w:val="VerbatimChar"/>
        </w:rPr>
        <w:t xml:space="preserve">odeint</w:t>
      </w:r>
      <w:r>
        <w:t xml:space="preserve"> </w:t>
      </w:r>
      <w:r>
        <w:t xml:space="preserve">и построим модель графически (рис. 1).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odeint(dy1, v0, t)</w:t>
      </w:r>
      <w:r>
        <w:br/>
      </w:r>
      <w:r>
        <w:rPr>
          <w:rStyle w:val="NormalTok"/>
        </w:rPr>
        <w:t xml:space="preserve">army_data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y],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y]]</w:t>
      </w:r>
      <w:r>
        <w:br/>
      </w:r>
      <w:r>
        <w:br/>
      </w:r>
      <w:r>
        <w:rPr>
          <w:rStyle w:val="NormalTok"/>
        </w:rPr>
        <w:t xml:space="preserve">army_model(t, army_data,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08600" cy="4432300"/>
            <wp:effectExtent b="0" l="0" r="0" t="0"/>
            <wp:docPr descr="Модель боевых действий №1" title="" id="1" name="Picture"/>
            <a:graphic>
              <a:graphicData uri="http://schemas.openxmlformats.org/drawingml/2006/picture">
                <pic:pic>
                  <pic:nvPicPr>
                    <pic:cNvPr descr="image/output_14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№1</w:t>
      </w:r>
    </w:p>
    <w:bookmarkEnd w:id="28"/>
    <w:bookmarkStart w:id="30" w:name="модель-боевых-действий-2"/>
    <w:p>
      <w:pPr>
        <w:pStyle w:val="Heading3"/>
      </w:pPr>
      <w:r>
        <w:t xml:space="preserve">Модель боевых действий №2</w:t>
      </w:r>
    </w:p>
    <w:p>
      <w:pPr>
        <w:pStyle w:val="FirstParagraph"/>
      </w:pPr>
      <w:r>
        <w:t xml:space="preserve">Переопределим коэфициенты для модели ведения боевых действий с участием регулярных войск и партизанских отрядов.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FirstParagraph"/>
      </w:pPr>
      <w:r>
        <w:t xml:space="preserve">Также переопределим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модифицируем для данной модели СДУ.</w:t>
      </w:r>
    </w:p>
    <w:p>
      <w:pPr>
        <w:pStyle w:val="SourceCode"/>
      </w:pPr>
      <w:r>
        <w:rPr>
          <w:rStyle w:val="CommentTok"/>
        </w:rPr>
        <w:t xml:space="preserve"># possibility of reinforcement approach for X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P2(t):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possibility of reinforcement approach for 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Q2(t):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CommentTok"/>
        </w:rPr>
        <w:t xml:space="preserve"># system of differential equations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dy2(y,t):</w:t>
      </w:r>
      <w:r>
        <w:br/>
      </w:r>
      <w:r>
        <w:rPr>
          <w:rStyle w:val="NormalTok"/>
        </w:rPr>
        <w:t xml:space="preserve">    dy_1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P2(t)</w:t>
      </w:r>
      <w:r>
        <w:br/>
      </w:r>
      <w:r>
        <w:rPr>
          <w:rStyle w:val="NormalTok"/>
        </w:rPr>
        <w:t xml:space="preserve">    dy_2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Q2(t)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[dy_1, dy_2]</w:t>
      </w:r>
    </w:p>
    <w:p>
      <w:pPr>
        <w:pStyle w:val="FirstParagraph"/>
      </w:pPr>
      <w:r>
        <w:t xml:space="preserve">Повторно решим нашу СДУ при новых условиях (рис. 2).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odeint(dy2, v0, t)</w:t>
      </w:r>
      <w:r>
        <w:br/>
      </w:r>
      <w:r>
        <w:rPr>
          <w:rStyle w:val="NormalTok"/>
        </w:rPr>
        <w:t xml:space="preserve">army_data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y],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y]]</w:t>
      </w:r>
      <w:r>
        <w:br/>
      </w:r>
      <w:r>
        <w:br/>
      </w:r>
      <w:r>
        <w:rPr>
          <w:rStyle w:val="NormalTok"/>
        </w:rPr>
        <w:t xml:space="preserve">army_model(t, army_data,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08600" cy="4432300"/>
            <wp:effectExtent b="0" l="0" r="0" t="0"/>
            <wp:docPr descr="Модель боевых действий №2" title="" id="1" name="Picture"/>
            <a:graphic>
              <a:graphicData uri="http://schemas.openxmlformats.org/drawingml/2006/picture">
                <pic:pic>
                  <pic:nvPicPr>
                    <pic:cNvPr descr="image/output_2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</w:t>
      </w:r>
    </w:p>
    <w:bookmarkEnd w:id="30"/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изучена модель боевых действий, её интерпретации, а также её реализация в виде программного кода.</w:t>
      </w:r>
    </w:p>
    <w:p>
      <w:pPr>
        <w:pStyle w:val="BodyText"/>
      </w:pPr>
      <w:r>
        <w:t xml:space="preserve">По построенным моделям можно судить, что при участии партизанских отрядов, армия Y будет иметь намного меньше возможностей для сдерживании армии X, но и при их отсутствии она будет сокрушена за отведенный промежуток времени или ранее.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Модель боевых действий</dc:title>
  <dc:creator>Доборщук Владимир Владимирович</dc:creator>
  <dc:language>ru</dc:language>
  <cp:keywords>Моделирование, Лабораторная</cp:keywords>
  <dcterms:created xsi:type="dcterms:W3CDTF">2021-02-27T19:30:21Z</dcterms:created>
  <dcterms:modified xsi:type="dcterms:W3CDTF">2021-02-27T19:30:21Z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февраля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Sans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c/б 1032186063 | НФИбд-01-18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