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Subtitle"/>
      </w:pPr>
      <w:r>
        <w:t xml:space="preserve">c/б</w:t>
      </w:r>
      <w:r>
        <w:t xml:space="preserve"> </w:t>
      </w:r>
      <w:r>
        <w:t xml:space="preserve">1032186063</w:t>
      </w:r>
      <w:r>
        <w:t xml:space="preserve"> </w:t>
      </w:r>
      <w:r>
        <w:t xml:space="preserve">|</w:t>
      </w:r>
      <w:r>
        <w:t xml:space="preserve"> </w:t>
      </w:r>
      <w:r>
        <w:t xml:space="preserve">НФИбд-01-18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Владимирович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марта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"/>
    <w:p>
      <w:pPr>
        <w:pStyle w:val="Heading1"/>
      </w:pP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Цель:</w:t>
      </w:r>
      <w:r>
        <w:t xml:space="preserve"> </w:t>
      </w:r>
      <w:r>
        <w:t xml:space="preserve">изучить модель гармонических колебаний и программно реализовать процесс моделирования гармонического осциллятора.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изучить теорию о модели гармонических колебаний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модели гармонического осцилятора (фазовый портрет и его решение) для 3 случаев:</w:t>
      </w:r>
    </w:p>
    <w:p>
      <w:pPr>
        <w:numPr>
          <w:ilvl w:val="1"/>
          <w:numId w:val="1002"/>
        </w:numPr>
        <w:pStyle w:val="Compact"/>
      </w:pPr>
      <w:r>
        <w:t xml:space="preserve">без затуханий, без воздейтвия внешних сил</w:t>
      </w:r>
    </w:p>
    <w:p>
      <w:pPr>
        <w:numPr>
          <w:ilvl w:val="1"/>
          <w:numId w:val="1002"/>
        </w:numPr>
        <w:pStyle w:val="Compact"/>
      </w:pPr>
      <w:r>
        <w:t xml:space="preserve">с затуханиями, без воздействия внешних сил</w:t>
      </w:r>
    </w:p>
    <w:p>
      <w:pPr>
        <w:numPr>
          <w:ilvl w:val="1"/>
          <w:numId w:val="1002"/>
        </w:numPr>
        <w:pStyle w:val="Compact"/>
      </w:pPr>
      <w:r>
        <w:t xml:space="preserve">с затуханиями, с воздействием внешних сил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собственная частота колебаний,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время. (Обозначения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x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,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)</w:t>
      </w:r>
    </w:p>
    <w:p>
      <w:pPr>
        <w:pStyle w:val="BodyText"/>
      </w:pPr>
      <w:r>
        <w:t xml:space="preserve">Для решения поставленной нами задачи мы будем использовать именно эту форму уравнения, предварительно перейдя к следующей системе: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функция воздействия внешних сил.</w:t>
      </w:r>
    </w:p>
    <w:bookmarkEnd w:id="21"/>
    <w:bookmarkStart w:id="32" w:name="программная-реализация"/>
    <w:p>
      <w:pPr>
        <w:pStyle w:val="Heading1"/>
      </w:pPr>
      <w:r>
        <w:t xml:space="preserve">Программная реализация</w:t>
      </w:r>
    </w:p>
    <w:bookmarkStart w:id="22" w:name="подготовка-к-моделировнию"/>
    <w:p>
      <w:pPr>
        <w:pStyle w:val="Heading2"/>
      </w:pPr>
      <w:r>
        <w:t xml:space="preserve">Подготовка к моделировнию</w:t>
      </w:r>
    </w:p>
    <w:p>
      <w:pPr>
        <w:pStyle w:val="FirstParagraph"/>
      </w:pPr>
      <w:r>
        <w:t xml:space="preserve">Все данные соответствуют варианту 14 =</w:t>
      </w:r>
      <w:r>
        <w:t xml:space="preserve"> </w:t>
      </w:r>
      <m:oMath>
        <m:r>
          <m:rPr>
            <m:sty m:val="p"/>
          </m:rPr>
          <m:t>(</m:t>
        </m:r>
        <m:r>
          <m:t>1032186063</m:t>
        </m:r>
        <m:r>
          <m:t> </m:t>
        </m:r>
        <m:r>
          <m:rPr>
            <m:nor/>
            <m:sty m:val="p"/>
          </m:rPr>
          <m:t>mod</m:t>
        </m:r>
        <m:r>
          <m:t> </m:t>
        </m:r>
        <m:r>
          <m:t>70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Инициализация библиотек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sin, cos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</w:p>
    <w:p>
      <w:pPr>
        <w:pStyle w:val="FirstParagraph"/>
      </w:pPr>
      <w:r>
        <w:rPr>
          <w:bCs/>
          <w:b/>
        </w:rPr>
        <w:t xml:space="preserve">Начальные данные и необходимые функции</w:t>
      </w:r>
    </w:p>
    <w:p>
      <w:pPr>
        <w:pStyle w:val="BodyText"/>
      </w:pPr>
      <w:r>
        <w:t xml:space="preserve">Для успешной реализации модели нам потребуется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 начальные данные коэффициентов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2</m:t>
        </m:r>
        <m:r>
          <m:t>γ</m:t>
        </m:r>
      </m:oMath>
      <w:r>
        <w:t xml:space="preserve">. Помимо этого, объявим функции для наших систем дифференциальных уравнений (с и без воздействия внешних сил).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f0(t):</w:t>
      </w:r>
      <w:r>
        <w:br/>
      </w:r>
      <w:r>
        <w:rPr>
          <w:rStyle w:val="NormalTok"/>
        </w:rPr>
        <w:t xml:space="preserve">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sin(</w:t>
      </w:r>
      <w:r>
        <w:rPr>
          <w:rStyle w:val="FloatTok"/>
        </w:rPr>
        <w:t xml:space="preserve">0.00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f1(t):</w:t>
      </w:r>
      <w:r>
        <w:br/>
      </w:r>
      <w:r>
        <w:rPr>
          <w:rStyle w:val="NormalTok"/>
        </w:rPr>
        <w:t xml:space="preserve">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cos(</w:t>
      </w:r>
      <w:r>
        <w:rPr>
          <w:rStyle w:val="FloatTok"/>
        </w:rPr>
        <w:t xml:space="preserve">3.50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dx0(x,t):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f0(t)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[dx1, dx2]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dx1(x,t):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f1(t)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[dx1, dx2]</w:t>
      </w:r>
    </w:p>
    <w:p>
      <w:pPr>
        <w:pStyle w:val="SourceCode"/>
      </w:pP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Также объявим функции для построения решения и фазового портрета гармонического осциллятора.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plot_solution(res, title):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plt.title(title)</w:t>
      </w:r>
      <w:r>
        <w:br/>
      </w:r>
      <w:r>
        <w:rPr>
          <w:rStyle w:val="NormalTok"/>
        </w:rPr>
        <w:t xml:space="preserve">    plt.plot(res)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plot_portrait(res, title):</w:t>
      </w:r>
      <w:r>
        <w:br/>
      </w:r>
      <w:r>
        <w:rPr>
          <w:rStyle w:val="NormalTok"/>
        </w:rPr>
        <w:t xml:space="preserve">   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plt.title(title)</w:t>
      </w:r>
      <w:r>
        <w:br/>
      </w:r>
      <w:r>
        <w:rPr>
          <w:rStyle w:val="NormalTok"/>
        </w:rPr>
        <w:t xml:space="preserve">    plt.yticks(np.arange(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plt.xticks(np.arange(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plt.plot(y1, y2)</w:t>
      </w:r>
    </w:p>
    <w:bookmarkEnd w:id="22"/>
    <w:bookmarkStart w:id="25" w:name="Xc04124c04d9bd9425792e6c6078fa3f2f9d42cf"/>
    <w:p>
      <w:pPr>
        <w:pStyle w:val="Heading2"/>
      </w:pPr>
      <w:r>
        <w:t xml:space="preserve">Гармонический осциллятор без затухания, без воздействия внешних сил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odeint(dx0, x0, t)</w:t>
      </w:r>
      <w:r>
        <w:br/>
      </w:r>
      <w:r>
        <w:rPr>
          <w:rStyle w:val="NormalTok"/>
        </w:rPr>
        <w:t xml:space="preserve">plot_solution(x, </w:t>
      </w:r>
      <w:r>
        <w:rPr>
          <w:rStyle w:val="StringTok"/>
        </w:rPr>
        <w:t xml:space="preserve">'Решение для гармонического осциллятора без затуханий, f(t)=0'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82461"/>
            <wp:effectExtent b="0" l="0" r="0" t="0"/>
            <wp:docPr descr="Решение для ГО без затуханий, f(t)=0" title="" id="1" name="Picture"/>
            <a:graphic>
              <a:graphicData uri="http://schemas.openxmlformats.org/drawingml/2006/picture">
                <pic:pic>
                  <pic:nvPicPr>
                    <pic:cNvPr descr="image/output_17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для ГО без затуханий,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NormalTok"/>
        </w:rPr>
        <w:t xml:space="preserve">plot_portrait(x, </w:t>
      </w:r>
      <w:r>
        <w:rPr>
          <w:rStyle w:val="StringTok"/>
        </w:rPr>
        <w:t xml:space="preserve">'Фазовый портрет гармонического осциллятора без затуханий, f(t)=0'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37668"/>
            <wp:effectExtent b="0" l="0" r="0" t="0"/>
            <wp:docPr descr="Фазовый портрет для ГО без затуханий, f(t)=0" title="" id="1" name="Picture"/>
            <a:graphic>
              <a:graphicData uri="http://schemas.openxmlformats.org/drawingml/2006/picture">
                <pic:pic>
                  <pic:nvPicPr>
                    <pic:cNvPr descr="image/output_18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ГО без затуханий,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bookmarkEnd w:id="25"/>
    <w:bookmarkStart w:id="28" w:name="Xa6ff216c5dace5aaf5b5f94ccfd84c071a27f2c"/>
    <w:p>
      <w:pPr>
        <w:pStyle w:val="Heading2"/>
      </w:pPr>
      <w:r>
        <w:t xml:space="preserve">Гармонический осциллятор с затуханиями, без воздействия внешних сил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5.00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odeint(dx0, x0, t)</w:t>
      </w:r>
      <w:r>
        <w:br/>
      </w:r>
      <w:r>
        <w:rPr>
          <w:rStyle w:val="NormalTok"/>
        </w:rPr>
        <w:t xml:space="preserve">plot_solution(x, </w:t>
      </w:r>
      <w:r>
        <w:rPr>
          <w:rStyle w:val="StringTok"/>
        </w:rPr>
        <w:t xml:space="preserve">'Решение для гармонического осциллятора с затуханиями, f(t)=0'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74827"/>
            <wp:effectExtent b="0" l="0" r="0" t="0"/>
            <wp:docPr descr="Решение для ГО с затуханиями, f(t)=0" title="" id="1" name="Picture"/>
            <a:graphic>
              <a:graphicData uri="http://schemas.openxmlformats.org/drawingml/2006/picture">
                <pic:pic>
                  <pic:nvPicPr>
                    <pic:cNvPr descr="image/output_20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для ГО с затуханиями,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NormalTok"/>
        </w:rPr>
        <w:t xml:space="preserve">plot_portrait(x, </w:t>
      </w:r>
      <w:r>
        <w:rPr>
          <w:rStyle w:val="StringTok"/>
        </w:rPr>
        <w:t xml:space="preserve">'Фазовый портрет гармонического осциллятора с затуханиями, f(t)=0'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30614"/>
            <wp:effectExtent b="0" l="0" r="0" t="0"/>
            <wp:docPr descr="Фазовый портрет для ГО с затуханиями, f(t)=0" title="" id="1" name="Picture"/>
            <a:graphic>
              <a:graphicData uri="http://schemas.openxmlformats.org/drawingml/2006/picture">
                <pic:pic>
                  <pic:nvPicPr>
                    <pic:cNvPr descr="image/output_21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ГО с затуханиями,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bookmarkEnd w:id="28"/>
    <w:bookmarkStart w:id="31" w:name="X4c111897752ad1ad82cd2d52d49c27a33d9d029"/>
    <w:p>
      <w:pPr>
        <w:pStyle w:val="Heading2"/>
      </w:pPr>
      <w:r>
        <w:t xml:space="preserve">Гармонический осциллятор с затуханиями, с воздействием внешних сил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2.00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odeint(dx1, x0, t)</w:t>
      </w:r>
      <w:r>
        <w:br/>
      </w:r>
      <w:r>
        <w:rPr>
          <w:rStyle w:val="NormalTok"/>
        </w:rPr>
        <w:t xml:space="preserve">plot_solution(x, </w:t>
      </w:r>
      <w:r>
        <w:rPr>
          <w:rStyle w:val="StringTok"/>
        </w:rPr>
        <w:t xml:space="preserve">'Решение для гармонического осциллятора с затуханиями, f(t)=cos(3.5t)'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2958352"/>
            <wp:effectExtent b="0" l="0" r="0" t="0"/>
            <wp:docPr descr="Решение для ГО с затуханиями, f(t)=\cos{(3,5t)}" title="" id="1" name="Picture"/>
            <a:graphic>
              <a:graphicData uri="http://schemas.openxmlformats.org/drawingml/2006/picture">
                <pic:pic>
                  <pic:nvPicPr>
                    <pic:cNvPr descr="image/output_23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для ГО с затуханиями,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5</m:t>
        </m:r>
        <m:r>
          <m:t>t</m:t>
        </m:r>
        <m:r>
          <m:rPr>
            <m:sty m:val="p"/>
          </m:rPr>
          <m:t>)</m:t>
        </m:r>
      </m:oMath>
    </w:p>
    <w:p>
      <w:pPr>
        <w:pStyle w:val="SourceCode"/>
      </w:pPr>
      <w:r>
        <w:rPr>
          <w:rStyle w:val="NormalTok"/>
        </w:rPr>
        <w:t xml:space="preserve">plot_portrait(x, </w:t>
      </w:r>
      <w:r>
        <w:rPr>
          <w:rStyle w:val="StringTok"/>
        </w:rPr>
        <w:t xml:space="preserve">'Фазовый портрет гармонического осциллятора с затуханиями, f(t)=cos(3.5t)'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2936340"/>
            <wp:effectExtent b="0" l="0" r="0" t="0"/>
            <wp:docPr descr="Фазовый портрет для ГО с затуханиями, f(t)=\cos{(3,5t)}" title="" id="1" name="Picture"/>
            <a:graphic>
              <a:graphicData uri="http://schemas.openxmlformats.org/drawingml/2006/picture">
                <pic:pic>
                  <pic:nvPicPr>
                    <pic:cNvPr descr="image/output_24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ГО с затуханиями,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5</m:t>
        </m:r>
        <m:r>
          <m:t>t</m:t>
        </m:r>
        <m:r>
          <m:rPr>
            <m:sty m:val="p"/>
          </m:rPr>
          <m:t>)</m:t>
        </m:r>
      </m:oMath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изучили теорию о модели гармонических колебаний и программно реализовали процесс моделирования гармонического осциллятора, его фазового портрета и непосредственного решения. Все задачи можно считать выполненными успешно.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 Модель гармонических колебаний</dc:title>
  <dc:creator>Доборщук Владимир Владимирович</dc:creator>
  <dc:language>ru</dc:language>
  <cp:keywords>Моделирование, Лабораторная</cp:keywords>
  <dcterms:created xsi:type="dcterms:W3CDTF">2021-03-06T19:06:02Z</dcterms:created>
  <dcterms:modified xsi:type="dcterms:W3CDTF">2021-03-06T19:06:02Z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марта 2021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institute">
    <vt:lpwstr>RUDN University, Moscow, Russian Federation</vt:lpwstr>
  </property>
  <property fmtid="{D5CDD505-2E9C-101B-9397-08002B2CF9AE}" pid="7" name="listings-no-page-break">
    <vt:lpwstr>True</vt:lpwstr>
  </property>
  <property fmtid="{D5CDD505-2E9C-101B-9397-08002B2CF9AE}" pid="8" name="lof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Fira Sans</vt:lpwstr>
  </property>
  <property fmtid="{D5CDD505-2E9C-101B-9397-08002B2CF9AE}" pid="12" name="monofontoptions">
    <vt:lpwstr>Scale=MatchLowercase</vt:lpwstr>
  </property>
  <property fmtid="{D5CDD505-2E9C-101B-9397-08002B2CF9AE}" pid="13" name="romanfont">
    <vt:lpwstr>PT Serif</vt:lpwstr>
  </property>
  <property fmtid="{D5CDD505-2E9C-101B-9397-08002B2CF9AE}" pid="14" name="romanfontoptions">
    <vt:lpwstr>Ligatures=TeX</vt:lpwstr>
  </property>
  <property fmtid="{D5CDD505-2E9C-101B-9397-08002B2CF9AE}" pid="15" name="sansfont">
    <vt:lpwstr>PT Sans</vt:lpwstr>
  </property>
  <property fmtid="{D5CDD505-2E9C-101B-9397-08002B2CF9AE}" pid="16" name="sansfontoptions">
    <vt:lpwstr>Ligatures=TeX,Scale=MatchLowercase</vt:lpwstr>
  </property>
  <property fmtid="{D5CDD505-2E9C-101B-9397-08002B2CF9AE}" pid="17" name="subtitle">
    <vt:lpwstr>c/б 1032186063 | НФИбд-01-18</vt:lpwstr>
  </property>
  <property fmtid="{D5CDD505-2E9C-101B-9397-08002B2CF9AE}" pid="18" name="titlepage">
    <vt:lpwstr>True</vt:lpwstr>
  </property>
  <property fmtid="{D5CDD505-2E9C-101B-9397-08002B2CF9AE}" pid="19" name="titlepage-rule-color">
    <vt:lpwstr>1A1B35</vt:lpwstr>
  </property>
  <property fmtid="{D5CDD505-2E9C-101B-9397-08002B2CF9AE}" pid="20" name="titlepage-rule-height">
    <vt:lpwstr>2</vt:lpwstr>
  </property>
  <property fmtid="{D5CDD505-2E9C-101B-9397-08002B2CF9AE}" pid="21" name="titlepage-text-color">
    <vt:lpwstr>000000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