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Доборщук</w:t>
      </w:r>
      <w:r>
        <w:t xml:space="preserve"> </w:t>
      </w:r>
      <w:r>
        <w:t xml:space="preserve">В.В.</w:t>
      </w:r>
    </w:p>
    <w:p>
      <w:pPr>
        <w:pStyle w:val="Author"/>
      </w:pPr>
      <w:r>
        <w:t xml:space="preserve">НФИбд-01-18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декабря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</w:p>
    <w:p>
      <w:pPr>
        <w:numPr>
          <w:ilvl w:val="0"/>
          <w:numId w:val="1001"/>
        </w:numPr>
        <w:pStyle w:val="Compact"/>
      </w:pPr>
      <w:r>
        <w:t xml:space="preserve">Определить вид шифротекста при известном ключе и открытом тексте.</w:t>
      </w:r>
    </w:p>
    <w:p>
      <w:pPr>
        <w:numPr>
          <w:ilvl w:val="0"/>
          <w:numId w:val="1001"/>
        </w:numPr>
        <w:pStyle w:val="Compact"/>
      </w:pPr>
      <w:r>
        <w:t xml:space="preserve">Определить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</w:t>
      </w:r>
    </w:p>
    <w:bookmarkStart w:id="25" w:name="реализация-функционала"/>
    <w:p>
      <w:pPr>
        <w:pStyle w:val="Heading2"/>
      </w:pPr>
      <w:r>
        <w:t xml:space="preserve">Реализация функционала</w:t>
      </w:r>
    </w:p>
    <w:p>
      <w:pPr>
        <w:pStyle w:val="FirstParagraph"/>
      </w:pPr>
      <w:r>
        <w:t xml:space="preserve">Создали дополнительную функцию для генерации случайного ключа: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gen_key(text):</w:t>
      </w:r>
      <w:r>
        <w:br/>
      </w:r>
      <w:r>
        <w:rPr>
          <w:rStyle w:val="NormalTok"/>
        </w:rPr>
        <w:t xml:space="preserve">    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(text))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(e)[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rn]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</w:p>
    <w:p>
      <w:pPr>
        <w:pStyle w:val="FirstParagraph"/>
      </w:pPr>
      <w:r>
        <w:t xml:space="preserve">Реализована следующая функция для определения вида шифротекста при известных ключе и открытом тексте. На вход подается строка, после чего она переводится в 16-ричную систему, после чего в программе генерируется ключ случайным образом. С его помощью получается зашифрованное сообщение в шестнадцатеричной системе счисления.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crypt_message(open_text, key):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f"Open Text: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open_text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hex_open_text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open_text:</w:t>
      </w:r>
      <w:r>
        <w:br/>
      </w:r>
      <w:r>
        <w:rPr>
          <w:rStyle w:val="NormalTok"/>
        </w:rPr>
        <w:t xml:space="preserve">        hex_open_text.append(ch.encode(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Open Text: 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hex_open_text)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"Key: 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key)</w:t>
      </w:r>
      <w:r>
        <w:br/>
      </w:r>
      <w:r>
        <w:rPr>
          <w:rStyle w:val="NormalTok"/>
        </w:rPr>
        <w:t xml:space="preserve">    hex_crypted_text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(hex_open_text)):</w:t>
      </w:r>
      <w:r>
        <w:br/>
      </w:r>
      <w:r>
        <w:rPr>
          <w:rStyle w:val="NormalTok"/>
        </w:rPr>
        <w:t xml:space="preserve">        hex_crypted_text.append(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{:02x}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(key[i],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(hex_open_text[i],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Crypted Text: 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hex_crypted_text)</w:t>
      </w:r>
      <w:r>
        <w:br/>
      </w:r>
      <w:r>
        <w:rPr>
          <w:rStyle w:val="NormalTok"/>
        </w:rPr>
        <w:t xml:space="preserve">    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.join(hex_crypted_text)).decode(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f"Crypted Text: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crypted_text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crypted_text</w:t>
      </w:r>
    </w:p>
    <w:p>
      <w:pPr>
        <w:pStyle w:val="FirstParagraph"/>
      </w:pPr>
      <w:r>
        <w:t xml:space="preserve">Далее определяем ключ, с помощью которого шифротекст может быть преобразован в некоторый фрагмент текста, представляющий собой один из возможных вариантов прочтения открытого текста. Функция получает на вход открытый текст и зашифрованный, после чего преобразует строки в 16-ричный формат и выполняет операцию сложения по модулю 2 (XOR).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find_key(open_text, crypted_text):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f"Open Text: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open_text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Crypted Text: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crypted_text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hex_open_text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open_text:</w:t>
      </w:r>
      <w:r>
        <w:br/>
      </w:r>
      <w:r>
        <w:rPr>
          <w:rStyle w:val="NormalTok"/>
        </w:rPr>
        <w:t xml:space="preserve">        hex_open_text.append(ch.encode(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hex_crypted_text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crypted_text:</w:t>
      </w:r>
      <w:r>
        <w:br/>
      </w:r>
      <w:r>
        <w:rPr>
          <w:rStyle w:val="NormalTok"/>
        </w:rPr>
        <w:t xml:space="preserve">        hex_crypted_text.append(ch.encode(</w:t>
      </w:r>
      <w:r>
        <w:rPr>
          <w:rStyle w:val="StringTok"/>
        </w:rPr>
        <w:t xml:space="preserve">"cp1251"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Open Text: 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hex_open_text)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"Hex Crypted Text: 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hex_crypted_text)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(i,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(j,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(i,j)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(hex_open_text, hex_crypted_text)]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"Key 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key)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</w:p>
    <w:p>
      <w:pPr>
        <w:pStyle w:val="CaptionedFigure"/>
      </w:pPr>
      <w:r>
        <w:drawing>
          <wp:inline>
            <wp:extent cx="5334000" cy="4363118"/>
            <wp:effectExtent b="0" l="0" r="0" t="0"/>
            <wp:docPr descr="Реализованные функции" title="" id="1" name="Picture"/>
            <a:graphic>
              <a:graphicData uri="http://schemas.openxmlformats.org/drawingml/2006/picture">
                <pic:pic>
                  <pic:nvPicPr>
                    <pic:cNvPr descr="images/function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3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2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2"/>
      <w:r>
        <w:t xml:space="preserve">Реализованные функции</w:t>
      </w:r>
    </w:p>
    <w:p>
      <w:pPr>
        <w:pStyle w:val="BodyText"/>
      </w:pPr>
      <w:r>
        <w:t xml:space="preserve">С помощью реализованного функционала проверяем работоспособность нашего приложения:</w:t>
      </w:r>
    </w:p>
    <w:p>
      <w:pPr>
        <w:pStyle w:val="CaptionedFigure"/>
      </w:pPr>
      <w:r>
        <w:drawing>
          <wp:inline>
            <wp:extent cx="5334000" cy="1868674"/>
            <wp:effectExtent b="0" l="0" r="0" t="0"/>
            <wp:docPr descr="Проверка шифрования" title="" id="1" name="Picture"/>
            <a:graphic>
              <a:graphicData uri="http://schemas.openxmlformats.org/drawingml/2006/picture">
                <pic:pic>
                  <pic:nvPicPr>
                    <pic:cNvPr descr="images/cryp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4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4"/>
      <w:r>
        <w:t xml:space="preserve">Проверка шифрования</w:t>
      </w:r>
    </w:p>
    <w:p>
      <w:pPr>
        <w:pStyle w:val="BodyText"/>
      </w:pPr>
      <w:r>
        <w:t xml:space="preserve">Все корректно отрабатывает с одним и тем же ключом.</w:t>
      </w:r>
    </w:p>
    <w:bookmarkEnd w:id="25"/>
    <w:bookmarkStart w:id="28" w:name="проверка-ключа"/>
    <w:p>
      <w:pPr>
        <w:pStyle w:val="Heading2"/>
      </w:pPr>
      <w:r>
        <w:t xml:space="preserve">Проверка ключа</w:t>
      </w:r>
    </w:p>
    <w:p>
      <w:pPr>
        <w:pStyle w:val="FirstParagraph"/>
      </w:pPr>
      <w:r>
        <w:t xml:space="preserve">В конце проверяем совпадают ли полученный ключ для идентичного и неидентичного текста и начальный ключ.</w:t>
      </w:r>
    </w:p>
    <w:p>
      <w:pPr>
        <w:pStyle w:val="CaptionedFigure"/>
      </w:pPr>
      <w:r>
        <w:drawing>
          <wp:inline>
            <wp:extent cx="5334000" cy="2305323"/>
            <wp:effectExtent b="0" l="0" r="0" t="0"/>
            <wp:docPr descr="Сравнение ключей" title="" id="1" name="Picture"/>
            <a:graphic>
              <a:graphicData uri="http://schemas.openxmlformats.org/drawingml/2006/picture">
                <pic:pic>
                  <pic:nvPicPr>
                    <pic:cNvPr descr="image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7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27"/>
      <w:r>
        <w:t xml:space="preserve">Сравнение ключей</w:t>
      </w:r>
    </w:p>
    <w:p>
      <w:pPr>
        <w:pStyle w:val="BodyText"/>
      </w:pPr>
      <w:r>
        <w:t xml:space="preserve">Получили, что для идентичного текста ключи совпадают, а для неидентичного, соответственно, не совпадают.</w:t>
      </w:r>
    </w:p>
    <w:bookmarkEnd w:id="28"/>
    <w:bookmarkEnd w:id="29"/>
    <w:bookmarkStart w:id="3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Поясните смысл однократного гаммирования.</w:t>
      </w:r>
    </w:p>
    <w:p>
      <w:pPr>
        <w:pStyle w:val="FirstParagraph"/>
      </w:pPr>
      <w:r>
        <w:rPr>
          <w:bCs/>
          <w:b/>
        </w:rPr>
        <w:t xml:space="preserve">Гаммирование</w:t>
      </w:r>
      <w:r>
        <w:t xml:space="preserve"> </w:t>
      </w:r>
      <w:r>
        <w:t xml:space="preserve">– выполнение операции XOR между элементами гаммы и элементами подлежащего сокрытию текста.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p>
      <w:pPr>
        <w:numPr>
          <w:ilvl w:val="0"/>
          <w:numId w:val="1003"/>
        </w:numPr>
        <w:pStyle w:val="Compact"/>
      </w:pPr>
      <w:r>
        <w:t xml:space="preserve">Перечислите недостатки однократного гаммирования.</w:t>
      </w:r>
    </w:p>
    <w:p>
      <w:pPr>
        <w:pStyle w:val="FirstParagraph"/>
      </w:pPr>
      <w:r>
        <w:t xml:space="preserve">Абсолютная стойкость шифра доказана только для случая,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</w:t>
      </w:r>
    </w:p>
    <w:p>
      <w:pPr>
        <w:numPr>
          <w:ilvl w:val="0"/>
          <w:numId w:val="1004"/>
        </w:numPr>
        <w:pStyle w:val="Compact"/>
      </w:pPr>
      <w:r>
        <w:t xml:space="preserve">Перечислите преимущества однократного гаммирования.</w:t>
      </w:r>
    </w:p>
    <w:p>
      <w:pPr>
        <w:numPr>
          <w:ilvl w:val="0"/>
          <w:numId w:val="1005"/>
        </w:numPr>
      </w:pPr>
      <w:r>
        <w:t xml:space="preserve">Во-первых, такой способ симметричен, т.е. двойное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5"/>
        </w:numPr>
      </w:pPr>
      <w:r>
        <w:t xml:space="preserve">Во-вторых, шифрование и расшифрование может быть выполнено одной и той же программой. Наконец,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</w:p>
    <w:p>
      <w:pPr>
        <w:numPr>
          <w:ilvl w:val="0"/>
          <w:numId w:val="1006"/>
        </w:numPr>
        <w:pStyle w:val="Compact"/>
      </w:pPr>
      <w:r>
        <w:t xml:space="preserve">Почему длина открытого текста должна совпадать с длиной ключа?</w:t>
      </w:r>
    </w:p>
    <w:p>
      <w:pPr>
        <w:pStyle w:val="FirstParagraph"/>
      </w:pPr>
      <w:r>
        <w:t xml:space="preserve">Если ключ короче текста, то операция XOR будет применена не ко всем элементам и конец сообщения будет не закодирован. Если ключ будет длиннее, то появится неоднозначность декодирования.</w:t>
      </w:r>
    </w:p>
    <w:p>
      <w:pPr>
        <w:numPr>
          <w:ilvl w:val="0"/>
          <w:numId w:val="1007"/>
        </w:numPr>
        <w:pStyle w:val="Compact"/>
      </w:pPr>
      <w:r>
        <w:t xml:space="preserve">Какая операция используется в режиме однократного гаммирования, назовите её особенности?</w:t>
      </w:r>
    </w:p>
    <w:p>
      <w:pPr>
        <w:pStyle w:val="FirstParagraph"/>
      </w:pPr>
      <w:r>
        <w:t xml:space="preserve">Наложение гаммы по сути представляет собой выполнение побитовой операции сложения по модулю 2, т.е. мы должны сложить каждый элемент гаммы с соответствующим элементом ключа. Данная операция является симметричной, так как прибавление одной и той же величины по модулю 2 восстанавливает исходное значение.</w:t>
      </w:r>
    </w:p>
    <w:p>
      <w:pPr>
        <w:numPr>
          <w:ilvl w:val="0"/>
          <w:numId w:val="1008"/>
        </w:numPr>
        <w:pStyle w:val="Compact"/>
      </w:pPr>
      <w:r>
        <w:t xml:space="preserve">Как по открытому тексту и ключу получить шифротекст?</w:t>
      </w:r>
    </w:p>
    <w:p>
      <w:pPr>
        <w:pStyle w:val="FirstParagraph"/>
      </w:pPr>
      <w:r>
        <w:t xml:space="preserve">В таком случае задача сводится к правилу: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⨁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т.е. мы поэлементно получаем символы зашифрованного сообщения, применяя операцию исключающего или к соответствующим элементам ключа и открытого текста.</w:t>
      </w:r>
    </w:p>
    <w:p>
      <w:pPr>
        <w:numPr>
          <w:ilvl w:val="0"/>
          <w:numId w:val="1009"/>
        </w:numPr>
        <w:pStyle w:val="Compact"/>
      </w:pPr>
      <w:r>
        <w:t xml:space="preserve">Как по открытому тексту и шифротексту получить ключ?</w:t>
      </w:r>
    </w:p>
    <w:p>
      <w:pPr>
        <w:pStyle w:val="FirstParagraph"/>
      </w:pPr>
      <w:r>
        <w:t xml:space="preserve">Подобная задача решается путем применения операции исключающего или к последовательностям символов зашифрованного и открытого сообщений: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⨁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10"/>
        </w:numPr>
        <w:pStyle w:val="Compact"/>
      </w:pPr>
      <w:r>
        <w:t xml:space="preserve">В чем заключаются необходимые и достаточные условия абсолютной стойкости шифра?</w:t>
      </w:r>
    </w:p>
    <w:p>
      <w:pPr>
        <w:pStyle w:val="FirstParagraph"/>
      </w:pPr>
      <w:r>
        <w:t xml:space="preserve">Необходимые и достаточные условия абсолютной стойкости шифра:</w:t>
      </w:r>
    </w:p>
    <w:p>
      <w:pPr>
        <w:numPr>
          <w:ilvl w:val="0"/>
          <w:numId w:val="1011"/>
        </w:numPr>
        <w:pStyle w:val="Compact"/>
      </w:pPr>
      <w:r>
        <w:t xml:space="preserve">полная случайность ключа;</w:t>
      </w:r>
    </w:p>
    <w:p>
      <w:pPr>
        <w:numPr>
          <w:ilvl w:val="0"/>
          <w:numId w:val="1011"/>
        </w:numPr>
        <w:pStyle w:val="Compact"/>
      </w:pPr>
      <w:r>
        <w:t xml:space="preserve">равенство длин ключа и открытого текста;</w:t>
      </w:r>
    </w:p>
    <w:p>
      <w:pPr>
        <w:numPr>
          <w:ilvl w:val="0"/>
          <w:numId w:val="1011"/>
        </w:numPr>
        <w:pStyle w:val="Compact"/>
      </w:pPr>
      <w:r>
        <w:t xml:space="preserve">однократное использование ключа.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изучили на практике применение режима однократного гаммирования.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Доборщук В.В.; НФИбд-01-18</dc:creator>
  <dc:language>ru</dc:language>
  <cp:keywords>Lab, RUDN</cp:keywords>
  <dcterms:created xsi:type="dcterms:W3CDTF">2021-12-15T09:52:11Z</dcterms:created>
  <dcterms:modified xsi:type="dcterms:W3CDTF">2021-12-15T09:52:11Z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декабря 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k-citations">
    <vt:lpwstr>True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logo">
    <vt:lpwstr>../rudn.pdf</vt:lpwstr>
  </property>
  <property fmtid="{D5CDD505-2E9C-101B-9397-08002B2CF9AE}" pid="10" name="logo-width">
    <vt:lpwstr>70mm</vt:lpwstr>
  </property>
  <property fmtid="{D5CDD505-2E9C-101B-9397-08002B2CF9AE}" pid="11" name="mainfont">
    <vt:lpwstr>PT Serif</vt:lpwstr>
  </property>
  <property fmtid="{D5CDD505-2E9C-101B-9397-08002B2CF9AE}" pid="12" name="mainfontoptions">
    <vt:lpwstr>Ligatures=TeX</vt:lpwstr>
  </property>
  <property fmtid="{D5CDD505-2E9C-101B-9397-08002B2CF9AE}" pid="13" name="monofont">
    <vt:lpwstr>Consolas</vt:lpwstr>
  </property>
  <property fmtid="{D5CDD505-2E9C-101B-9397-08002B2CF9AE}" pid="14" name="monofontoptions">
    <vt:lpwstr>Scale=MatchLowercase</vt:lpwstr>
  </property>
  <property fmtid="{D5CDD505-2E9C-101B-9397-08002B2CF9AE}" pid="15" name="pandoc-latex-environment">
    <vt:lpwstr/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Однократное гаммирование</vt:lpwstr>
  </property>
  <property fmtid="{D5CDD505-2E9C-101B-9397-08002B2CF9AE}" pid="21" name="titlepage">
    <vt:lpwstr>True</vt:lpwstr>
  </property>
  <property fmtid="{D5CDD505-2E9C-101B-9397-08002B2CF9AE}" pid="22" name="titlepage-rule-color">
    <vt:lpwstr>1A1B35</vt:lpwstr>
  </property>
  <property fmtid="{D5CDD505-2E9C-101B-9397-08002B2CF9AE}" pid="23" name="titlepage-rule-height">
    <vt:lpwstr>2</vt:lpwstr>
  </property>
  <property fmtid="{D5CDD505-2E9C-101B-9397-08002B2CF9AE}" pid="24" name="titlepage-text-color">
    <vt:lpwstr>000000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