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Доборщук</w:t>
      </w:r>
      <w:r>
        <w:t xml:space="preserve"> </w:t>
      </w:r>
      <w:r>
        <w:t xml:space="preserve">В.В.</w:t>
      </w:r>
    </w:p>
    <w:p>
      <w:pPr>
        <w:pStyle w:val="Author"/>
      </w:pPr>
      <w:r>
        <w:t xml:space="preserve">НФИбд-01-18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декабря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в режиме однократного гаммирования. Приложение должно определить вид шифротекстов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обоих текстов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при известном ключе.</w:t>
      </w:r>
    </w:p>
    <w:bookmarkStart w:id="21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pStyle w:val="FirstParagraph"/>
      </w:pPr>
      <w:r>
        <w:t xml:space="preserve">Для выполнения данной лабораторной работы мы использовали данные источники, в виде описания лабораторной работы, а также свободные источники в интернете.</w:t>
      </w:r>
    </w:p>
    <w:bookmarkEnd w:id="21"/>
    <w:bookmarkStart w:id="22" w:name="реализация-функционала"/>
    <w:p>
      <w:pPr>
        <w:pStyle w:val="Heading2"/>
      </w:pPr>
      <w:r>
        <w:t xml:space="preserve">Реализация функционала</w:t>
      </w:r>
    </w:p>
    <w:p>
      <w:pPr>
        <w:pStyle w:val="FirstParagraph"/>
      </w:pPr>
      <w:r>
        <w:t xml:space="preserve">Создали дополнительную функцию для генерации случайного ключа: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gen_key(text):</w:t>
      </w:r>
      <w:r>
        <w:br/>
      </w:r>
      <w:r>
        <w:rPr>
          <w:rStyle w:val="NormalTok"/>
        </w:rPr>
        <w:t xml:space="preserve">    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rn]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</w:p>
    <w:p>
      <w:pPr>
        <w:pStyle w:val="FirstParagraph"/>
      </w:pPr>
      <w:r>
        <w:t xml:space="preserve">Реализована функция для определения вида шифротекста при двух известных экземплярах открытого текста. На вход подается 2 строки равно длины, после чего они переводятся в 16-ричную систему. С их помощью получаем два зашифрованных сообщения, при случайной генерации ключа.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encrypt(p1, p2):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f"P1: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f"P2: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hex_p1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hex_p2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(p1)):</w:t>
      </w:r>
      <w:r>
        <w:br/>
      </w:r>
      <w:r>
        <w:rPr>
          <w:rStyle w:val="NormalTok"/>
        </w:rPr>
        <w:t xml:space="preserve">        hex_p1.append(p1[i].encode(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  hex_p2.append(p2[i].encode(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"Hex P1: "</w:t>
      </w:r>
      <w:r>
        <w:rPr>
          <w:rStyle w:val="NormalTok"/>
        </w:rPr>
        <w:t xml:space="preserve">, hex_p1)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"Hex P2: "</w:t>
      </w:r>
      <w:r>
        <w:rPr>
          <w:rStyle w:val="NormalTok"/>
        </w:rPr>
        <w:t xml:space="preserve">, hex_p2)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gen_key(p1)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"Hex key: "</w:t>
      </w:r>
      <w:r>
        <w:rPr>
          <w:rStyle w:val="NormalTok"/>
        </w:rPr>
        <w:t xml:space="preserve">, key)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hex_c1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hex_c2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(hex_p1)):</w:t>
      </w:r>
      <w:r>
        <w:br/>
      </w:r>
      <w:r>
        <w:rPr>
          <w:rStyle w:val="NormalTok"/>
        </w:rPr>
        <w:t xml:space="preserve">        hex_c1.append(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(key[i],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(hex_p1[i],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hex_c2.append(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(key[i],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(hex_p2[i],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"Hex C1: "</w:t>
      </w:r>
      <w:r>
        <w:rPr>
          <w:rStyle w:val="NormalTok"/>
        </w:rPr>
        <w:t xml:space="preserve">, hex_c1)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"Hex C2: "</w:t>
      </w:r>
      <w:r>
        <w:rPr>
          <w:rStyle w:val="NormalTok"/>
        </w:rPr>
        <w:t xml:space="preserve">, hex_c2)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bytearray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.join(hex_c1)).decode(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bytearray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.join(hex_c2)).decode(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f"C1: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f"C2: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key, c1, c2</w:t>
      </w:r>
    </w:p>
    <w:p>
      <w:pPr>
        <w:pStyle w:val="FirstParagraph"/>
      </w:pPr>
      <w:r>
        <w:t xml:space="preserve">Далее, зная два шифротекста и один исходный текст, реализуем функцию для нахождения второго исходного текста без наличия ключа.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decrypt(c1, c2, p1):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f"C1: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f"C2: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f"P1: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hex_c1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hex_c2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hex_p1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(p1)):</w:t>
      </w:r>
      <w:r>
        <w:br/>
      </w:r>
      <w:r>
        <w:rPr>
          <w:rStyle w:val="NormalTok"/>
        </w:rPr>
        <w:t xml:space="preserve">        hex_c1.append(c1[i].encode(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  hex_c2.append(c2[i].encode(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  hex_p1.append(p1[i].encode(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"Hex C1: "</w:t>
      </w:r>
      <w:r>
        <w:rPr>
          <w:rStyle w:val="NormalTok"/>
        </w:rPr>
        <w:t xml:space="preserve">, hex_c1)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"Hex C2: "</w:t>
      </w:r>
      <w:r>
        <w:rPr>
          <w:rStyle w:val="NormalTok"/>
        </w:rPr>
        <w:t xml:space="preserve">, hex_c2)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"Hex P1: "</w:t>
      </w:r>
      <w:r>
        <w:rPr>
          <w:rStyle w:val="NormalTok"/>
        </w:rPr>
        <w:t xml:space="preserve">, hex_p1)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hex_p2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(p1)):</w:t>
      </w:r>
      <w:r>
        <w:br/>
      </w:r>
      <w:r>
        <w:rPr>
          <w:rStyle w:val="NormalTok"/>
        </w:rPr>
        <w:t xml:space="preserve">        hex_p2.append(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(hex_c1[i],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(hex_c2[i],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(hex_p1[i],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"Hex P2: "</w:t>
      </w:r>
      <w:r>
        <w:rPr>
          <w:rStyle w:val="NormalTok"/>
        </w:rPr>
        <w:t xml:space="preserve">, hex_p2)</w:t>
      </w:r>
      <w:r>
        <w:br/>
      </w:r>
      <w:r>
        <w:rPr>
          <w:rStyle w:val="NormalTok"/>
        </w:rPr>
        <w:t xml:space="preserve">   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bytearray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.join(hex_p2)).decode(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f"P2: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p1, p2</w:t>
      </w:r>
    </w:p>
    <w:bookmarkEnd w:id="22"/>
    <w:bookmarkStart w:id="29" w:name="проверка-функционала"/>
    <w:p>
      <w:pPr>
        <w:pStyle w:val="Heading2"/>
      </w:pPr>
      <w:r>
        <w:t xml:space="preserve">Проверка функционала</w:t>
      </w:r>
    </w:p>
    <w:p>
      <w:pPr>
        <w:pStyle w:val="FirstParagraph"/>
      </w:pPr>
      <w:r>
        <w:t xml:space="preserve">Создали два текста равной длины.</w:t>
      </w:r>
    </w:p>
    <w:p>
      <w:pPr>
        <w:pStyle w:val="CaptionedFigure"/>
      </w:pPr>
      <w:r>
        <w:drawing>
          <wp:inline>
            <wp:extent cx="5334000" cy="569359"/>
            <wp:effectExtent b="0" l="0" r="0" t="0"/>
            <wp:docPr descr="Исходные P_1 и P_2" title="" id="1" name="Picture"/>
            <a:graphic>
              <a:graphicData uri="http://schemas.openxmlformats.org/drawingml/2006/picture">
                <pic:pic>
                  <pic:nvPicPr>
                    <pic:cNvPr descr="images/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4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4"/>
      <w:r>
        <w:t xml:space="preserve">Исходные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Попробовали, используя два исходных текста, получить два шифротекста, при случайной генерации ключа, что у нас успешно получилось.</w:t>
      </w:r>
    </w:p>
    <w:p>
      <w:pPr>
        <w:pStyle w:val="CaptionedFigure"/>
      </w:pPr>
      <w:r>
        <w:drawing>
          <wp:inline>
            <wp:extent cx="5334000" cy="1593840"/>
            <wp:effectExtent b="0" l="0" r="0" t="0"/>
            <wp:docPr descr="Получение C_1 и C_2" title="" id="1" name="Picture"/>
            <a:graphic>
              <a:graphicData uri="http://schemas.openxmlformats.org/drawingml/2006/picture">
                <pic:pic>
                  <pic:nvPicPr>
                    <pic:cNvPr descr="images/c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6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6"/>
      <w:r>
        <w:t xml:space="preserve">Получение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Использовали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для получения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Функция отрабатывает корректно.</w:t>
      </w:r>
    </w:p>
    <w:p>
      <w:pPr>
        <w:pStyle w:val="CaptionedFigure"/>
      </w:pPr>
      <w:r>
        <w:drawing>
          <wp:inline>
            <wp:extent cx="5334000" cy="1467852"/>
            <wp:effectExtent b="0" l="0" r="0" t="0"/>
            <wp:docPr descr="Получение P_2 через два шифротекста и P_1" title="" id="1" name="Picture"/>
            <a:graphic>
              <a:graphicData uri="http://schemas.openxmlformats.org/drawingml/2006/picture">
                <pic:pic>
                  <pic:nvPicPr>
                    <pic:cNvPr descr="images/p_fi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7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8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28"/>
      <w:r>
        <w:t xml:space="preserve">Получение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через два шифротекста и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</w:p>
    <w:bookmarkEnd w:id="29"/>
    <w:bookmarkEnd w:id="30"/>
    <w:bookmarkStart w:id="31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Как, зная один из текстов (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или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), определить другой, не зная при этом</w:t>
      </w:r>
      <w:r>
        <w:t xml:space="preserve"> </w:t>
      </w:r>
      <w:r>
        <w:t xml:space="preserve">ключа?</w:t>
      </w:r>
    </w:p>
    <w:p>
      <w:pPr>
        <w:numPr>
          <w:ilvl w:val="0"/>
          <w:numId w:val="1000"/>
        </w:numPr>
      </w:pPr>
      <w:r>
        <w:t xml:space="preserve">Для этого надо воспользоваться формулой: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0"/>
        </w:numPr>
      </w:pPr>
      <w:r>
        <w:t xml:space="preserve">где</w:t>
      </w:r>
      <w:r>
        <w:t xml:space="preserve"> </w:t>
      </w:r>
      <m:oMath>
        <m:sSub>
          <m:e>
            <m:r>
              <m:t>С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С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– шифротексты.</w:t>
      </w:r>
    </w:p>
    <w:p>
      <w:pPr>
        <w:numPr>
          <w:ilvl w:val="0"/>
          <w:numId w:val="1000"/>
        </w:numPr>
      </w:pPr>
      <w:r>
        <w:t xml:space="preserve">Как видно, ключ в данной формуле не используется.</w:t>
      </w:r>
    </w:p>
    <w:p>
      <w:pPr>
        <w:numPr>
          <w:ilvl w:val="0"/>
          <w:numId w:val="1001"/>
        </w:numPr>
      </w:pPr>
      <w:r>
        <w:t xml:space="preserve">Что будет при повторном использовании ключа при шифровании текста?</w:t>
      </w:r>
    </w:p>
    <w:p>
      <w:pPr>
        <w:numPr>
          <w:ilvl w:val="0"/>
          <w:numId w:val="1000"/>
        </w:numPr>
      </w:pPr>
      <w:r>
        <w:t xml:space="preserve">В таком случае мы получим исходное сообщение.</w:t>
      </w:r>
    </w:p>
    <w:p>
      <w:pPr>
        <w:numPr>
          <w:ilvl w:val="0"/>
          <w:numId w:val="1001"/>
        </w:numPr>
      </w:pPr>
      <w:r>
        <w:t xml:space="preserve">Как реализуется режим шифрования однократного гаммирования одним ключом двух открытых текстов?</w:t>
      </w:r>
    </w:p>
    <w:p>
      <w:pPr>
        <w:numPr>
          <w:ilvl w:val="0"/>
          <w:numId w:val="1000"/>
        </w:numPr>
      </w:pPr>
      <w:r>
        <w:t xml:space="preserve">Он реализуется по следующей формуле: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0"/>
        </w:numPr>
      </w:pPr>
      <w:r>
        <w:t xml:space="preserve">где</w:t>
      </w:r>
      <w:r>
        <w:t xml:space="preserve"> </w:t>
      </w:r>
      <m:oMath>
        <m:sSub>
          <m:e>
            <m:r>
              <m:t>С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шифротексты,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открытые тексты,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единый ключ шифрования.</w:t>
      </w:r>
    </w:p>
    <w:p>
      <w:pPr>
        <w:numPr>
          <w:ilvl w:val="0"/>
          <w:numId w:val="1001"/>
        </w:numPr>
      </w:pPr>
      <w:r>
        <w:t xml:space="preserve">Перечислите недостатки шифрования одним ключом двух открытых текстов.</w:t>
      </w:r>
    </w:p>
    <w:p>
      <w:pPr>
        <w:numPr>
          <w:ilvl w:val="0"/>
          <w:numId w:val="1000"/>
        </w:numPr>
      </w:pPr>
      <w:r>
        <w:t xml:space="preserve">Во-первых, имея на руках одно из сообщений в открытом виде и оба шифротекста, злоумышленник способен расшифровать каждое сообщение, не зная ключа.</w:t>
      </w:r>
    </w:p>
    <w:p>
      <w:pPr>
        <w:numPr>
          <w:ilvl w:val="0"/>
          <w:numId w:val="1000"/>
        </w:numPr>
      </w:pPr>
      <w:r>
        <w:t xml:space="preserve">Во-вторых, зная шаблон сообщений,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numPr>
          <w:ilvl w:val="0"/>
          <w:numId w:val="1000"/>
        </w:numPr>
      </w:pP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Таким образом, применяя формулу из п. 1,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злоумышленник если не прочитает оба сообщения, то значительно уменьшит пространство их поиска. Наконец, зная ключ, злоумышленник смоет расшифровать все сообщения, которые были закодированы при его помощи.</w:t>
      </w:r>
    </w:p>
    <w:p>
      <w:pPr>
        <w:numPr>
          <w:ilvl w:val="0"/>
          <w:numId w:val="1001"/>
        </w:numPr>
      </w:pPr>
      <w:r>
        <w:t xml:space="preserve">Перечислите преимущества шифрования одним ключом двух открытых текстов.</w:t>
      </w:r>
    </w:p>
    <w:p>
      <w:pPr>
        <w:numPr>
          <w:ilvl w:val="0"/>
          <w:numId w:val="1000"/>
        </w:numPr>
      </w:pPr>
      <w:r>
        <w:t xml:space="preserve">Такой подход помогает упростить процесс шифрования и дешифровки. Также, при отправке сообщений между двумя компьютерами, удобнее пользоваться одним общим ключом для передаваемых данных.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освоили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Доборщук В.В.; НФИбд-01-18</dc:creator>
  <dc:language>ru</dc:language>
  <cp:keywords>Lab, RUDN</cp:keywords>
  <dcterms:created xsi:type="dcterms:W3CDTF">2021-12-18T10:53:54Z</dcterms:created>
  <dcterms:modified xsi:type="dcterms:W3CDTF">2021-12-18T10:53:54Z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декабря 2021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k-citations">
    <vt:lpwstr>True</vt:lpwstr>
  </property>
  <property fmtid="{D5CDD505-2E9C-101B-9397-08002B2CF9AE}" pid="7" name="listings-no-page-break">
    <vt:lpwstr>True</vt:lpwstr>
  </property>
  <property fmtid="{D5CDD505-2E9C-101B-9397-08002B2CF9AE}" pid="8" name="lof">
    <vt:lpwstr>True</vt:lpwstr>
  </property>
  <property fmtid="{D5CDD505-2E9C-101B-9397-08002B2CF9AE}" pid="9" name="logo">
    <vt:lpwstr>../rudn.pdf</vt:lpwstr>
  </property>
  <property fmtid="{D5CDD505-2E9C-101B-9397-08002B2CF9AE}" pid="10" name="logo-width">
    <vt:lpwstr>70mm</vt:lpwstr>
  </property>
  <property fmtid="{D5CDD505-2E9C-101B-9397-08002B2CF9AE}" pid="11" name="mainfont">
    <vt:lpwstr>PT Serif</vt:lpwstr>
  </property>
  <property fmtid="{D5CDD505-2E9C-101B-9397-08002B2CF9AE}" pid="12" name="mainfontoptions">
    <vt:lpwstr>Ligatures=TeX</vt:lpwstr>
  </property>
  <property fmtid="{D5CDD505-2E9C-101B-9397-08002B2CF9AE}" pid="13" name="monofont">
    <vt:lpwstr>Consolas</vt:lpwstr>
  </property>
  <property fmtid="{D5CDD505-2E9C-101B-9397-08002B2CF9AE}" pid="14" name="monofontoptions">
    <vt:lpwstr>Scale=MatchLowercase</vt:lpwstr>
  </property>
  <property fmtid="{D5CDD505-2E9C-101B-9397-08002B2CF9AE}" pid="15" name="pandoc-latex-environment">
    <vt:lpwstr/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Шифрование (кодирование) различных исходных текстов одним ключом</vt:lpwstr>
  </property>
  <property fmtid="{D5CDD505-2E9C-101B-9397-08002B2CF9AE}" pid="21" name="titlepage">
    <vt:lpwstr>True</vt:lpwstr>
  </property>
  <property fmtid="{D5CDD505-2E9C-101B-9397-08002B2CF9AE}" pid="22" name="titlepage-rule-color">
    <vt:lpwstr>1A1B35</vt:lpwstr>
  </property>
  <property fmtid="{D5CDD505-2E9C-101B-9397-08002B2CF9AE}" pid="23" name="titlepage-rule-height">
    <vt:lpwstr>2</vt:lpwstr>
  </property>
  <property fmtid="{D5CDD505-2E9C-101B-9397-08002B2CF9AE}" pid="24" name="titlepage-text-color">
    <vt:lpwstr>000000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