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0"/>
        <w:jc w:val="center"/>
      </w:pPr>
      <w:r>
        <w:rPr>
          <w:b/>
          <w:bCs/>
          <w:color w:val="2E75B6"/>
          <w:sz w:val="30"/>
          <w:szCs w:val="30"/>
        </w:rPr>
        <w:t xml:space="preserve">HAKASE BIOTWIN</w:t>
      </w:r>
    </w:p>
    <w:p>
      <w:pPr>
        <w:spacing w:after="0" w:before="240"/>
        <w:jc w:val="center"/>
      </w:pPr>
      <w:r>
        <w:rPr>
          <w:b/>
          <w:bCs/>
          <w:color w:val="1F3864"/>
          <w:sz w:val="46"/>
          <w:szCs w:val="46"/>
        </w:rPr>
        <w:t xml:space="preserve">Boltz-2 Integration Review &amp;</w:t>
      </w:r>
    </w:p>
    <w:p>
      <w:pPr>
        <w:spacing w:after="0" w:before="60"/>
        <w:jc w:val="center"/>
      </w:pPr>
      <w:r>
        <w:rPr>
          <w:b/>
          <w:bCs/>
          <w:color w:val="1F3864"/>
          <w:sz w:val="46"/>
          <w:szCs w:val="46"/>
        </w:rPr>
        <w:t xml:space="preserve">Multi-Modality Expansion Plan</w:t>
      </w:r>
    </w:p>
    <w:p>
      <w:pPr>
        <w:spacing w:after="0" w:before="60"/>
        <w:jc w:val="center"/>
      </w:pPr>
      <w:r>
        <w:rPr>
          <w:b/>
          <w:bCs/>
          <w:color w:val="1F3864"/>
          <w:sz w:val="46"/>
          <w:szCs w:val="46"/>
        </w:rPr>
        <w:t xml:space="preserve">for Layers 1 &amp; 2</w:t>
      </w:r>
    </w:p>
    <w:p>
      <w:pPr>
        <w:spacing w:after="0" w:before="360"/>
        <w:jc w:val="center"/>
      </w:pPr>
      <w:r>
        <w:rPr>
          <w:i/>
          <w:iCs/>
          <w:color w:val="555555"/>
          <w:sz w:val="24"/>
          <w:szCs w:val="24"/>
        </w:rPr>
        <w:t xml:space="preserve">A technical assessment of the existing Boltz-2 work, and a phased roadmap to extend the</w:t>
      </w:r>
    </w:p>
    <w:p>
      <w:pPr>
        <w:spacing w:after="0" w:before="40"/>
        <w:jc w:val="center"/>
      </w:pPr>
      <w:r>
        <w:rPr>
          <w:i/>
          <w:iCs/>
          <w:color w:val="555555"/>
          <w:sz w:val="24"/>
          <w:szCs w:val="24"/>
        </w:rPr>
        <w:t xml:space="preserve">in-vitro digital twin beyond small molecules to peptides, antibodies, nucleic acids and bifunctionals.</w:t>
      </w:r>
    </w:p>
    <w:p>
      <w:pPr>
        <w:spacing w:after="0" w:before="900"/>
        <w:jc w:val="center"/>
      </w:pPr>
      <w:r>
        <w:rPr>
          <w:color w:val="555555"/>
          <w:sz w:val="22"/>
          <w:szCs w:val="22"/>
        </w:rPr>
        <w:t xml:space="preserve">Engineering review &amp; roadmap  ·  May 2026</w:t>
      </w:r>
    </w:p>
    <w:p>
      <w:pPr>
        <w:spacing w:after="0" w:before="60"/>
        <w:jc w:val="center"/>
      </w:pPr>
      <w:r>
        <w:rPr>
          <w:color w:val="555555"/>
          <w:sz w:val="22"/>
          <w:szCs w:val="22"/>
        </w:rPr>
        <w:t xml:space="preserve">Prepared for: pranay  ·  Scope: Layer 1 (In-Vitro Twin) and Layer 2 (Confirmation)</w:t>
      </w:r>
    </w:p>
    <w:p>
      <w:r>
        <w:br w:type="page"/>
      </w:r>
    </w:p>
    <w:p>
      <w:pPr>
        <w:pStyle w:val="Heading1"/>
        <w:spacing w:after="160" w:before="320"/>
      </w:pPr>
      <w:r>
        <w:t xml:space="preserve">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320"/>
      </w:pPr>
      <w:r>
        <w:t xml:space="preserve">1.  Executive Summary</w:t>
      </w:r>
    </w:p>
    <w:p>
      <w:pPr>
        <w:spacing w:after="120" w:before="0" w:line="276"/>
      </w:pPr>
      <w:r>
        <w:t xml:space="preserve">You integrated Boltz-2 to push Hakase BioTwin past small-molecule simulation. This report answers three questions you asked: </w:t>
      </w:r>
      <w:r>
        <w:rPr>
          <w:rFonts w:ascii="Arial" w:cs="Arial" w:eastAsia="Arial" w:hAnsi="Arial"/>
          <w:b/>
          <w:bCs/>
          <w:i w:val="false"/>
          <w:iCs w:val="false"/>
        </w:rPr>
        <w:t xml:space="preserve">is the integration correct</w:t>
      </w:r>
      <w:r>
        <w:t xml:space="preserve">, </w:t>
      </w:r>
      <w:r>
        <w:rPr>
          <w:rFonts w:ascii="Arial" w:cs="Arial" w:eastAsia="Arial" w:hAnsi="Arial"/>
          <w:b/>
          <w:bCs/>
          <w:i w:val="false"/>
          <w:iCs w:val="false"/>
        </w:rPr>
        <w:t xml:space="preserve">is it any good</w:t>
      </w:r>
      <w:r>
        <w:t xml:space="preserve">, and </w:t>
      </w:r>
      <w:r>
        <w:rPr>
          <w:rFonts w:ascii="Arial" w:cs="Arial" w:eastAsia="Arial" w:hAnsi="Arial"/>
          <w:b/>
          <w:bCs/>
          <w:i w:val="false"/>
          <w:iCs w:val="false"/>
        </w:rPr>
        <w:t xml:space="preserve">what should be added, removed, replaced or enhanced</w:t>
      </w:r>
      <w:r>
        <w:t xml:space="preserve"> across Layer 1 and Layer 2 to make this a complete in-vitro simulation platform for all modalities — not just small molecules.</w:t>
      </w:r>
    </w:p>
    <w:p>
      <w:pPr>
        <w:spacing w:after="120" w:before="0" w:line="276"/>
      </w:pPr>
      <w:r>
        <w:rPr>
          <w:rFonts w:ascii="Arial" w:cs="Arial" w:eastAsia="Arial" w:hAnsi="Arial"/>
          <w:b/>
          <w:bCs/>
          <w:i w:val="false"/>
          <w:iCs w:val="false"/>
        </w:rPr>
        <w:t xml:space="preserve">There are three headline findings.</w:t>
      </w:r>
    </w:p>
    <w:p>
      <w:pPr>
        <w:pStyle w:val="Heading3"/>
        <w:spacing w:after="100" w:before="180"/>
      </w:pPr>
      <w:r>
        <w:t xml:space="preserve">Finding 1 — The Boltz-2 integration is genuinely well-engineered. Keep it.</w:t>
      </w:r>
    </w:p>
    <w:p>
      <w:pPr>
        <w:spacing w:after="120" w:before="0" w:line="276"/>
      </w:pPr>
      <w:r>
        <w:t xml:space="preserve">The work in </w:t>
      </w:r>
      <w:r>
        <w:rPr>
          <w:rFonts w:ascii="Consolas" w:cs="Consolas" w:eastAsia="Consolas" w:hAnsi="Consolas"/>
          <w:b w:val="false"/>
          <w:bCs w:val="false"/>
          <w:i w:val="false"/>
          <w:iCs w:val="false"/>
        </w:rPr>
        <w:t xml:space="preserve">cofolding.py</w:t>
      </w:r>
      <w:r>
        <w:t xml:space="preserve"> and </w:t>
      </w:r>
      <w:r>
        <w:rPr>
          <w:rFonts w:ascii="Consolas" w:cs="Consolas" w:eastAsia="Consolas" w:hAnsi="Consolas"/>
          <w:b w:val="false"/>
          <w:bCs w:val="false"/>
          <w:i w:val="false"/>
          <w:iCs w:val="false"/>
        </w:rPr>
        <w:t xml:space="preserve">runpod_worker_boltz/</w:t>
      </w:r>
      <w:r>
        <w:t xml:space="preserve"> is among the cleaner third-party-model integrations you could ship. It uses the correct architecture (validate the whole design on CPU, then dispatch to a GPU worker — so a paid GPU is never spent on a broken job), it holds your project-wide honesty contract exactly (no fabricated structures, confidence or affinity; no silent CPU fallback; errors propagate verbatim), and it exposes nearly every Boltz-2 capability — all entity types, modifications, covalent bonds, pocket and contact constraints, templates, the affinity head, and the full confidence stack (pLDDT, pTM, ipTM, PAE, PDE). The choice of Boltz-2 over AlphaFold 3 is also correct for a commercial product: AlphaFold 3's weights are non-commercial, Boltz-2 is permissively licensed. </w:t>
      </w:r>
      <w:r>
        <w:rPr>
          <w:rFonts w:ascii="Arial" w:cs="Arial" w:eastAsia="Arial" w:hAnsi="Arial"/>
          <w:b/>
          <w:bCs/>
          <w:i w:val="false"/>
          <w:iCs w:val="false"/>
        </w:rPr>
        <w:t xml:space="preserve">Do not rebuild this. It needs wiring, not surgery.</w:t>
      </w:r>
    </w:p>
    <w:p>
      <w:pPr>
        <w:pStyle w:val="Heading3"/>
        <w:spacing w:after="100" w:before="180"/>
      </w:pPr>
      <w:r>
        <w:t xml:space="preserve">Finding 2 — But it is an island. Nothing in L1 or L2 actually uses it.</w:t>
      </w:r>
    </w:p>
    <w:p>
      <w:pPr>
        <w:spacing w:after="120" w:before="0" w:line="276"/>
      </w:pPr>
      <w:r>
        <w:t xml:space="preserve">Co-folding is reachable only from a standalone page (</w:t>
      </w:r>
      <w:r>
        <w:rPr>
          <w:rFonts w:ascii="Consolas" w:cs="Consolas" w:eastAsia="Consolas" w:hAnsi="Consolas"/>
          <w:b w:val="false"/>
          <w:bCs w:val="false"/>
          <w:i w:val="false"/>
          <w:iCs w:val="false"/>
        </w:rPr>
        <w:t xml:space="preserve">CoFolding.tsx</w:t>
      </w:r>
      <w:r>
        <w:t xml:space="preserve">) through standalone endpoints. A search of </w:t>
      </w:r>
      <w:r>
        <w:rPr>
          <w:rFonts w:ascii="Consolas" w:cs="Consolas" w:eastAsia="Consolas" w:hAnsi="Consolas"/>
          <w:b w:val="false"/>
          <w:bCs w:val="false"/>
          <w:i w:val="false"/>
          <w:iCs w:val="false"/>
        </w:rPr>
        <w:t xml:space="preserve">l2Pipeline.ts</w:t>
      </w:r>
      <w:r>
        <w:t xml:space="preserve"> for “cofold” or “boltz” returns nothing. The ten-stage L2 pipeline, the L1 binding panel, the cascade gate, the confirmation engine and the PreClinicalPackage are all unaware Boltz-2 exists. </w:t>
      </w:r>
      <w:r>
        <w:t xml:space="preserve">That matters because the single most valuable thing Boltz-2 offers — </w:t>
      </w:r>
      <w:r>
        <w:rPr>
          <w:rFonts w:ascii="Arial" w:cs="Arial" w:eastAsia="Arial" w:hAnsi="Arial"/>
          <w:b/>
          <w:bCs/>
          <w:i w:val="false"/>
          <w:iCs w:val="false"/>
        </w:rPr>
        <w:t xml:space="preserve">FEP-class, structure-grounded binding affinity</w:t>
      </w:r>
      <w:r>
        <w:t xml:space="preserve"> — is sitting idle while your own L1/L2 algorithm reference rates the L1 binding endpoint </w:t>
      </w:r>
      <w:r>
        <w:rPr>
          <w:rFonts w:ascii="Arial" w:cs="Arial" w:eastAsia="Arial" w:hAnsi="Arial"/>
          <w:b/>
          <w:bCs/>
          <w:i w:val="false"/>
          <w:iCs w:val="false"/>
        </w:rPr>
        <w:t xml:space="preserve">4 / 10</w:t>
      </w:r>
      <w:r>
        <w:t xml:space="preserve">, explicitly calling it the platform's weakest output. You have a Ferrari in the garage that the main pipeline cannot drive.</w:t>
      </w:r>
    </w:p>
    <w:p>
      <w:pPr>
        <w:pStyle w:val="Heading3"/>
        <w:spacing w:after="100" w:before="180"/>
      </w:pPr>
      <w:r>
        <w:t xml:space="preserve">Finding 3 — “All modalities” is a bigger job than Boltz-2 alone.</w:t>
      </w:r>
    </w:p>
    <w:p>
      <w:pPr>
        <w:spacing w:after="120" w:before="0" w:line="276"/>
      </w:pPr>
      <w:r>
        <w:t xml:space="preserve">Layer 1 today is 100% small-molecule: every path is SMILES → RDKit descriptors → ADMET. A peptide or an antibody fed into L1 right now gets no meaningful profile at all — there is no peptide developability, no antibody liability scan, no oligonucleotide chemistry. Boltz-2 gives you the </w:t>
      </w:r>
      <w:r>
        <w:rPr>
          <w:rFonts w:ascii="Arial" w:cs="Arial" w:eastAsia="Arial" w:hAnsi="Arial"/>
          <w:b/>
          <w:bCs/>
          <w:i w:val="false"/>
          <w:iCs w:val="false"/>
        </w:rPr>
        <w:t xml:space="preserve">structure and the interface</w:t>
      </w:r>
      <w:r>
        <w:t xml:space="preserve"> for any modality, but it does not give you absorption, immunogenicity, aggregation, protease stability or off-target hybridisation. The real expansion is a </w:t>
      </w:r>
      <w:r>
        <w:rPr>
          <w:rFonts w:ascii="Arial" w:cs="Arial" w:eastAsia="Arial" w:hAnsi="Arial"/>
          <w:b/>
          <w:bCs/>
          <w:i w:val="false"/>
          <w:iCs w:val="false"/>
        </w:rPr>
        <w:t xml:space="preserve">modality-aware L1 and L2</w:t>
      </w:r>
      <w:r>
        <w:t xml:space="preserve">: a router at the input that branches the pipeline by modality, and a dedicated descriptor / ADMET / safety / developability layer for each one. Boltz-2 is the structural spine of that plan; it is not the whole skeleton.</w:t>
      </w:r>
    </w:p>
    <w:p>
      <w:pPr>
        <w:spacing w:after="60"/>
      </w:pPr>
    </w:p>
    <w:tbl>
      <w:tblPr>
        <w:tblW w:type="dxa" w:w="9360"/>
        <w:tblBorders>
          <w:top w:val="single" w:color="D9E2F3" w:sz="1"/>
          <w:left w:val="single" w:color="2E75B6" w:sz="18"/>
          <w:bottom w:val="single" w:color="D9E2F3" w:sz="1"/>
          <w:right w:val="single" w:color="D9E2F3" w:sz="1"/>
          <w:insideH w:val="single" w:color="auto" w:sz="4"/>
          <w:insideV w:val="single" w:color="auto" w:sz="4"/>
        </w:tblBorders>
      </w:tblPr>
      <w:tblGrid>
        <w:gridCol w:w="9360"/>
      </w:tblGrid>
      <w:tr>
        <w:tc>
          <w:tcPr>
            <w:tcW w:type="dxa" w:w="9360"/>
            <w:shd w:fill="D9E2F3" w:val="clear"/>
            <w:tcMar>
              <w:top w:type="dxa" w:w="130"/>
              <w:left w:type="dxa" w:w="200"/>
              <w:bottom w:type="dxa" w:w="130"/>
              <w:right w:type="dxa" w:w="160"/>
            </w:tcMar>
          </w:tcPr>
          <w:p>
            <w:pPr>
              <w:spacing w:after="0" w:before="0" w:line="276"/>
            </w:pPr>
            <w:r>
              <w:rPr>
                <w:rFonts w:ascii="Arial" w:cs="Arial" w:eastAsia="Arial" w:hAnsi="Arial"/>
                <w:b/>
                <w:bCs/>
                <w:i w:val="false"/>
                <w:iCs w:val="false"/>
                <w:color w:val="1F3864"/>
              </w:rPr>
              <w:t xml:space="preserve">Bottom line.  </w:t>
            </w:r>
            <w:r>
              <w:t xml:space="preserve">The integration is good and should be kept. Before adding any new modality, do Phase 0: wire Boltz-2 into L1 and L2 so the affinity head and interface confidence actually move the needle. Then build modality-aware L1/L2 in four phases — peptides first (cheapest, you already have a head start), then antibodies, then oligonucleotides, then PROTACs and ADCs — backed by a curated set of commercial-safe data sources. The phased roadmap is in Section 8.</w:t>
            </w:r>
          </w:p>
        </w:tc>
      </w:tr>
    </w:tbl>
    <w:p>
      <w:r>
        <w:br w:type="page"/>
      </w:r>
    </w:p>
    <w:p>
      <w:pPr>
        <w:pStyle w:val="Heading1"/>
        <w:spacing w:after="160" w:before="320"/>
      </w:pPr>
      <w:r>
        <w:t xml:space="preserve">2.  What You Built — Review of the Boltz-2 Integration</w:t>
      </w:r>
    </w:p>
    <w:p>
      <w:pPr>
        <w:spacing w:after="120" w:before="0" w:line="276"/>
      </w:pPr>
      <w:r>
        <w:t xml:space="preserve">This section reviews the integration as it stands: the files reviewed were </w:t>
      </w:r>
      <w:r>
        <w:rPr>
          <w:rFonts w:ascii="Consolas" w:cs="Consolas" w:eastAsia="Consolas" w:hAnsi="Consolas"/>
          <w:b w:val="false"/>
          <w:bCs w:val="false"/>
          <w:i w:val="false"/>
          <w:iCs w:val="false"/>
        </w:rPr>
        <w:t xml:space="preserve">artifacts/ai-service/models/cofolding.py</w:t>
      </w:r>
      <w:r>
        <w:t xml:space="preserve">, </w:t>
      </w:r>
      <w:r>
        <w:rPr>
          <w:rFonts w:ascii="Consolas" w:cs="Consolas" w:eastAsia="Consolas" w:hAnsi="Consolas"/>
          <w:b w:val="false"/>
          <w:bCs w:val="false"/>
          <w:i w:val="false"/>
          <w:iCs w:val="false"/>
        </w:rPr>
        <w:t xml:space="preserve">runpod_worker_boltz/handler.py</w:t>
      </w:r>
      <w:r>
        <w:t xml:space="preserve">, </w:t>
      </w:r>
      <w:r>
        <w:rPr>
          <w:rFonts w:ascii="Consolas" w:cs="Consolas" w:eastAsia="Consolas" w:hAnsi="Consolas"/>
          <w:b w:val="false"/>
          <w:bCs w:val="false"/>
          <w:i w:val="false"/>
          <w:iCs w:val="false"/>
        </w:rPr>
        <w:t xml:space="preserve">runpod_worker_boltz/boltz_runner.py</w:t>
      </w:r>
      <w:r>
        <w:t xml:space="preserve">, </w:t>
      </w:r>
      <w:r>
        <w:rPr>
          <w:rFonts w:ascii="Consolas" w:cs="Consolas" w:eastAsia="Consolas" w:hAnsi="Consolas"/>
          <w:b w:val="false"/>
          <w:bCs w:val="false"/>
          <w:i w:val="false"/>
          <w:iCs w:val="false"/>
        </w:rPr>
        <w:t xml:space="preserve">the Dockerfile and requirements</w:t>
      </w:r>
      <w:r>
        <w:t xml:space="preserve">, and the frontend wiring in </w:t>
      </w:r>
      <w:r>
        <w:rPr>
          <w:rFonts w:ascii="Consolas" w:cs="Consolas" w:eastAsia="Consolas" w:hAnsi="Consolas"/>
          <w:b w:val="false"/>
          <w:bCs w:val="false"/>
          <w:i w:val="false"/>
          <w:iCs w:val="false"/>
        </w:rPr>
        <w:t xml:space="preserve">aiService.ts</w:t>
      </w:r>
      <w:r>
        <w:t xml:space="preserve"> and </w:t>
      </w:r>
      <w:r>
        <w:rPr>
          <w:rFonts w:ascii="Consolas" w:cs="Consolas" w:eastAsia="Consolas" w:hAnsi="Consolas"/>
          <w:b w:val="false"/>
          <w:bCs w:val="false"/>
          <w:i w:val="false"/>
          <w:iCs w:val="false"/>
        </w:rPr>
        <w:t xml:space="preserve">CoFolding.tsx</w:t>
      </w:r>
      <w:r>
        <w:t xml:space="preserve">.</w:t>
      </w:r>
    </w:p>
    <w:p>
      <w:pPr>
        <w:pStyle w:val="Heading2"/>
        <w:spacing w:after="120" w:before="240"/>
      </w:pPr>
      <w:r>
        <w:t xml:space="preserve">2.1  Verdict scorecard</w:t>
      </w:r>
    </w:p>
    <w:p>
      <w:pPr>
        <w:spacing w:after="120" w:before="0" w:line="276"/>
      </w:pPr>
      <w:r>
        <w:t xml:space="preserve">Scored 1–10 against what a production integration of an AlphaFold3-class model should look like, in the same per-subsystem style as your own L1/L2 reference document.</w:t>
      </w:r>
    </w:p>
    <w:tbl>
      <w:tblPr>
        <w:tblW w:type="dxa" w:w="9360"/>
        <w:tblBorders>
          <w:top w:val="single" w:color="BFBFBF" w:sz="1"/>
          <w:left w:val="single" w:color="BFBFBF" w:sz="1"/>
          <w:bottom w:val="single" w:color="BFBFBF" w:sz="1"/>
          <w:right w:val="single" w:color="BFBFBF" w:sz="1"/>
          <w:insideH w:val="single" w:color="BFBFBF" w:sz="1"/>
          <w:insideV w:val="single" w:color="BFBFBF" w:sz="1"/>
        </w:tblBorders>
      </w:tblPr>
      <w:tblGrid>
        <w:gridCol w:w="3500"/>
        <w:gridCol w:w="1100"/>
        <w:gridCol w:w="4760"/>
      </w:tblGrid>
      <w:tr>
        <w:trPr>
          <w:tblHeader/>
        </w:trPr>
        <w:tc>
          <w:tcPr>
            <w:tcW w:type="dxa" w:w="3500"/>
            <w:shd w:fill="1F3864" w:val="clear"/>
            <w:tcMar>
              <w:top w:type="dxa" w:w="70"/>
              <w:left w:type="dxa" w:w="110"/>
              <w:bottom w:type="dxa" w:w="70"/>
              <w:right w:type="dxa" w:w="110"/>
            </w:tcMar>
            <w:vAlign w:val="center"/>
          </w:tcPr>
          <w:p>
            <w:pPr>
              <w:spacing w:after="0" w:line="264"/>
            </w:pPr>
            <w:r>
              <w:rPr>
                <w:rFonts w:ascii="Arial" w:cs="Arial" w:eastAsia="Arial" w:hAnsi="Arial"/>
                <w:b/>
                <w:bCs/>
                <w:i w:val="false"/>
                <w:iCs w:val="false"/>
                <w:color w:val="FFFFFF"/>
              </w:rPr>
              <w:t xml:space="preserve">Aspect</w:t>
            </w:r>
          </w:p>
        </w:tc>
        <w:tc>
          <w:tcPr>
            <w:tcW w:type="dxa" w:w="1100"/>
            <w:shd w:fill="1F3864" w:val="clear"/>
            <w:tcMar>
              <w:top w:type="dxa" w:w="70"/>
              <w:left w:type="dxa" w:w="110"/>
              <w:bottom w:type="dxa" w:w="70"/>
              <w:right w:type="dxa" w:w="110"/>
            </w:tcMar>
            <w:vAlign w:val="center"/>
          </w:tcPr>
          <w:p>
            <w:pPr>
              <w:spacing w:after="0" w:line="264"/>
            </w:pPr>
            <w:r>
              <w:rPr>
                <w:rFonts w:ascii="Arial" w:cs="Arial" w:eastAsia="Arial" w:hAnsi="Arial"/>
                <w:b/>
                <w:bCs/>
                <w:i w:val="false"/>
                <w:iCs w:val="false"/>
                <w:color w:val="FFFFFF"/>
              </w:rPr>
              <w:t xml:space="preserve">Rating</w:t>
            </w:r>
          </w:p>
        </w:tc>
        <w:tc>
          <w:tcPr>
            <w:tcW w:type="dxa" w:w="4760"/>
            <w:shd w:fill="1F3864" w:val="clear"/>
            <w:tcMar>
              <w:top w:type="dxa" w:w="70"/>
              <w:left w:type="dxa" w:w="110"/>
              <w:bottom w:type="dxa" w:w="70"/>
              <w:right w:type="dxa" w:w="110"/>
            </w:tcMar>
            <w:vAlign w:val="center"/>
          </w:tcPr>
          <w:p>
            <w:pPr>
              <w:spacing w:after="0" w:line="264"/>
            </w:pPr>
            <w:r>
              <w:rPr>
                <w:rFonts w:ascii="Arial" w:cs="Arial" w:eastAsia="Arial" w:hAnsi="Arial"/>
                <w:b/>
                <w:bCs/>
                <w:i w:val="false"/>
                <w:iCs w:val="false"/>
                <w:color w:val="FFFFFF"/>
              </w:rPr>
              <w:t xml:space="preserve">Basis for the rating</w:t>
            </w:r>
          </w:p>
        </w:tc>
      </w:tr>
      <w:tr>
        <w:tc>
          <w:tcPr>
            <w:tcW w:type="dxa" w:w="3500"/>
            <w:shd w:fill="EEF2F8" w:val="clear"/>
            <w:tcMar>
              <w:top w:type="dxa" w:w="70"/>
              <w:left w:type="dxa" w:w="110"/>
              <w:bottom w:type="dxa" w:w="70"/>
              <w:right w:type="dxa" w:w="110"/>
            </w:tcMar>
            <w:vAlign w:val="center"/>
          </w:tcPr>
          <w:p>
            <w:pPr>
              <w:spacing w:after="0" w:line="264"/>
            </w:pPr>
            <w:r>
              <w:t xml:space="preserve">Architecture — CPU validate / GPU dispatch split</w:t>
            </w:r>
          </w:p>
        </w:tc>
        <w:tc>
          <w:tcPr>
            <w:tcW w:type="dxa" w:w="1100"/>
            <w:shd w:fill="EEF2F8" w:val="clear"/>
            <w:tcMar>
              <w:top w:type="dxa" w:w="70"/>
              <w:left w:type="dxa" w:w="110"/>
              <w:bottom w:type="dxa" w:w="70"/>
              <w:right w:type="dxa" w:w="110"/>
            </w:tcMar>
            <w:vAlign w:val="center"/>
          </w:tcPr>
          <w:p>
            <w:pPr>
              <w:spacing w:after="0" w:line="264"/>
            </w:pPr>
            <w:r>
              <w:t xml:space="preserve">9 / 10</w:t>
            </w:r>
          </w:p>
        </w:tc>
        <w:tc>
          <w:tcPr>
            <w:tcW w:type="dxa" w:w="4760"/>
            <w:shd w:fill="EEF2F8" w:val="clear"/>
            <w:tcMar>
              <w:top w:type="dxa" w:w="70"/>
              <w:left w:type="dxa" w:w="110"/>
              <w:bottom w:type="dxa" w:w="70"/>
              <w:right w:type="dxa" w:w="110"/>
            </w:tcMar>
            <w:vAlign w:val="center"/>
          </w:tcPr>
          <w:p>
            <w:pPr>
              <w:spacing w:after="0" w:line="264"/>
            </w:pPr>
            <w:r>
              <w:t xml:space="preserve">Correct pattern. The design is fully validated and the Boltz YAML is built before any GPU is paid for. Worker re-validates defensively. Textbook.</w:t>
            </w:r>
          </w:p>
        </w:tc>
      </w:tr>
      <w:tr>
        <w:tc>
          <w:tcPr>
            <w:tcW w:type="dxa" w:w="3500"/>
            <w:shd w:fill="FFFFFF" w:val="clear"/>
            <w:tcMar>
              <w:top w:type="dxa" w:w="70"/>
              <w:left w:type="dxa" w:w="110"/>
              <w:bottom w:type="dxa" w:w="70"/>
              <w:right w:type="dxa" w:w="110"/>
            </w:tcMar>
            <w:vAlign w:val="center"/>
          </w:tcPr>
          <w:p>
            <w:pPr>
              <w:spacing w:after="0" w:line="264"/>
            </w:pPr>
            <w:r>
              <w:t xml:space="preserve">Honesty-contract adherence</w:t>
            </w:r>
          </w:p>
        </w:tc>
        <w:tc>
          <w:tcPr>
            <w:tcW w:type="dxa" w:w="1100"/>
            <w:shd w:fill="FFFFFF" w:val="clear"/>
            <w:tcMar>
              <w:top w:type="dxa" w:w="70"/>
              <w:left w:type="dxa" w:w="110"/>
              <w:bottom w:type="dxa" w:w="70"/>
              <w:right w:type="dxa" w:w="110"/>
            </w:tcMar>
            <w:vAlign w:val="center"/>
          </w:tcPr>
          <w:p>
            <w:pPr>
              <w:spacing w:after="0" w:line="264"/>
            </w:pPr>
            <w:r>
              <w:t xml:space="preserve">10 / 10</w:t>
            </w:r>
          </w:p>
        </w:tc>
        <w:tc>
          <w:tcPr>
            <w:tcW w:type="dxa" w:w="4760"/>
            <w:shd w:fill="FFFFFF" w:val="clear"/>
            <w:tcMar>
              <w:top w:type="dxa" w:w="70"/>
              <w:left w:type="dxa" w:w="110"/>
              <w:bottom w:type="dxa" w:w="70"/>
              <w:right w:type="dxa" w:w="110"/>
            </w:tcMar>
            <w:vAlign w:val="center"/>
          </w:tcPr>
          <w:p>
            <w:pPr>
              <w:spacing w:after="0" w:line="264"/>
            </w:pPr>
            <w:r>
              <w:t xml:space="preserve">No fabricated structure, confidence or affinity anywhere; no silent CPU fallback; Boltz/RunPod errors surface verbatim. Identical discipline to fep_runpod.py.</w:t>
            </w:r>
          </w:p>
        </w:tc>
      </w:tr>
      <w:tr>
        <w:tc>
          <w:tcPr>
            <w:tcW w:type="dxa" w:w="3500"/>
            <w:shd w:fill="EEF2F8" w:val="clear"/>
            <w:tcMar>
              <w:top w:type="dxa" w:w="70"/>
              <w:left w:type="dxa" w:w="110"/>
              <w:bottom w:type="dxa" w:w="70"/>
              <w:right w:type="dxa" w:w="110"/>
            </w:tcMar>
            <w:vAlign w:val="center"/>
          </w:tcPr>
          <w:p>
            <w:pPr>
              <w:spacing w:after="0" w:line="264"/>
            </w:pPr>
            <w:r>
              <w:t xml:space="preserve">Boltz-2 feature coverage (API surface)</w:t>
            </w:r>
          </w:p>
        </w:tc>
        <w:tc>
          <w:tcPr>
            <w:tcW w:type="dxa" w:w="1100"/>
            <w:shd w:fill="EEF2F8" w:val="clear"/>
            <w:tcMar>
              <w:top w:type="dxa" w:w="70"/>
              <w:left w:type="dxa" w:w="110"/>
              <w:bottom w:type="dxa" w:w="70"/>
              <w:right w:type="dxa" w:w="110"/>
            </w:tcMar>
            <w:vAlign w:val="center"/>
          </w:tcPr>
          <w:p>
            <w:pPr>
              <w:spacing w:after="0" w:line="264"/>
            </w:pPr>
            <w:r>
              <w:t xml:space="preserve">9 / 10</w:t>
            </w:r>
          </w:p>
        </w:tc>
        <w:tc>
          <w:tcPr>
            <w:tcW w:type="dxa" w:w="4760"/>
            <w:shd w:fill="EEF2F8" w:val="clear"/>
            <w:tcMar>
              <w:top w:type="dxa" w:w="70"/>
              <w:left w:type="dxa" w:w="110"/>
              <w:bottom w:type="dxa" w:w="70"/>
              <w:right w:type="dxa" w:w="110"/>
            </w:tcMar>
            <w:vAlign w:val="center"/>
          </w:tcPr>
          <w:p>
            <w:pPr>
              <w:spacing w:after="0" w:line="264"/>
            </w:pPr>
            <w:r>
              <w:t xml:space="preserve">Entities, modifications, bonds, pocket/contact constraints, templates, affinity head, full confidence stack all exposed. Only method-conditioning is missing (see 2.3-K).</w:t>
            </w:r>
          </w:p>
        </w:tc>
      </w:tr>
      <w:tr>
        <w:tc>
          <w:tcPr>
            <w:tcW w:type="dxa" w:w="3500"/>
            <w:shd w:fill="FFFFFF" w:val="clear"/>
            <w:tcMar>
              <w:top w:type="dxa" w:w="70"/>
              <w:left w:type="dxa" w:w="110"/>
              <w:bottom w:type="dxa" w:w="70"/>
              <w:right w:type="dxa" w:w="110"/>
            </w:tcMar>
            <w:vAlign w:val="center"/>
          </w:tcPr>
          <w:p>
            <w:pPr>
              <w:spacing w:after="0" w:line="264"/>
            </w:pPr>
            <w:r>
              <w:t xml:space="preserve">Input validation &amp; error messages</w:t>
            </w:r>
          </w:p>
        </w:tc>
        <w:tc>
          <w:tcPr>
            <w:tcW w:type="dxa" w:w="1100"/>
            <w:shd w:fill="FFFFFF" w:val="clear"/>
            <w:tcMar>
              <w:top w:type="dxa" w:w="70"/>
              <w:left w:type="dxa" w:w="110"/>
              <w:bottom w:type="dxa" w:w="70"/>
              <w:right w:type="dxa" w:w="110"/>
            </w:tcMar>
            <w:vAlign w:val="center"/>
          </w:tcPr>
          <w:p>
            <w:pPr>
              <w:spacing w:after="0" w:line="264"/>
            </w:pPr>
            <w:r>
              <w:t xml:space="preserve">9 / 10</w:t>
            </w:r>
          </w:p>
        </w:tc>
        <w:tc>
          <w:tcPr>
            <w:tcW w:type="dxa" w:w="4760"/>
            <w:shd w:fill="FFFFFF" w:val="clear"/>
            <w:tcMar>
              <w:top w:type="dxa" w:w="70"/>
              <w:left w:type="dxa" w:w="110"/>
              <w:bottom w:type="dxa" w:w="70"/>
              <w:right w:type="dxa" w:w="110"/>
            </w:tcMar>
            <w:vAlign w:val="center"/>
          </w:tcPr>
          <w:p>
            <w:pPr>
              <w:spacing w:after="0" w:line="264"/>
            </w:pPr>
            <w:r>
              <w:t xml:space="preserve">Typed dataclasses, exhaustive checks, user-facing messages that say exactly what to fix. Token/chain/cost guards run before dispatch.</w:t>
            </w:r>
          </w:p>
        </w:tc>
      </w:tr>
      <w:tr>
        <w:tc>
          <w:tcPr>
            <w:tcW w:type="dxa" w:w="3500"/>
            <w:shd w:fill="EEF2F8" w:val="clear"/>
            <w:tcMar>
              <w:top w:type="dxa" w:w="70"/>
              <w:left w:type="dxa" w:w="110"/>
              <w:bottom w:type="dxa" w:w="70"/>
              <w:right w:type="dxa" w:w="110"/>
            </w:tcMar>
            <w:vAlign w:val="center"/>
          </w:tcPr>
          <w:p>
            <w:pPr>
              <w:spacing w:after="0" w:line="264"/>
            </w:pPr>
            <w:r>
              <w:t xml:space="preserve">Cost &amp; runtime pre-estimation</w:t>
            </w:r>
          </w:p>
        </w:tc>
        <w:tc>
          <w:tcPr>
            <w:tcW w:type="dxa" w:w="1100"/>
            <w:shd w:fill="EEF2F8" w:val="clear"/>
            <w:tcMar>
              <w:top w:type="dxa" w:w="70"/>
              <w:left w:type="dxa" w:w="110"/>
              <w:bottom w:type="dxa" w:w="70"/>
              <w:right w:type="dxa" w:w="110"/>
            </w:tcMar>
            <w:vAlign w:val="center"/>
          </w:tcPr>
          <w:p>
            <w:pPr>
              <w:spacing w:after="0" w:line="264"/>
            </w:pPr>
            <w:r>
              <w:t xml:space="preserve">8 / 10</w:t>
            </w:r>
          </w:p>
        </w:tc>
        <w:tc>
          <w:tcPr>
            <w:tcW w:type="dxa" w:w="4760"/>
            <w:shd w:fill="EEF2F8" w:val="clear"/>
            <w:tcMar>
              <w:top w:type="dxa" w:w="70"/>
              <w:left w:type="dxa" w:w="110"/>
              <w:bottom w:type="dxa" w:w="70"/>
              <w:right w:type="dxa" w:w="110"/>
            </w:tcMar>
            <w:vAlign w:val="center"/>
          </w:tcPr>
          <w:p>
            <w:pPr>
              <w:spacing w:after="0" w:line="264"/>
            </w:pPr>
            <w:r>
              <w:t xml:space="preserve">summarize_design gives a GPU-free runtime/cost band so users can iterate for free. Honest caveat included.</w:t>
            </w:r>
          </w:p>
        </w:tc>
      </w:tr>
      <w:tr>
        <w:tc>
          <w:tcPr>
            <w:tcW w:type="dxa" w:w="3500"/>
            <w:shd w:fill="FFFFFF" w:val="clear"/>
            <w:tcMar>
              <w:top w:type="dxa" w:w="70"/>
              <w:left w:type="dxa" w:w="110"/>
              <w:bottom w:type="dxa" w:w="70"/>
              <w:right w:type="dxa" w:w="110"/>
            </w:tcMar>
            <w:vAlign w:val="center"/>
          </w:tcPr>
          <w:p>
            <w:pPr>
              <w:spacing w:after="0" w:line="264"/>
            </w:pPr>
            <w:r>
              <w:rPr>
                <w:rFonts w:ascii="Arial" w:cs="Arial" w:eastAsia="Arial" w:hAnsi="Arial"/>
                <w:b/>
                <w:bCs/>
                <w:i w:val="false"/>
                <w:iCs w:val="false"/>
              </w:rPr>
              <w:t xml:space="preserve">Pipeline integration into L1 / L2</w:t>
            </w:r>
          </w:p>
        </w:tc>
        <w:tc>
          <w:tcPr>
            <w:tcW w:type="dxa" w:w="1100"/>
            <w:shd w:fill="FFFFFF" w:val="clear"/>
            <w:tcMar>
              <w:top w:type="dxa" w:w="70"/>
              <w:left w:type="dxa" w:w="110"/>
              <w:bottom w:type="dxa" w:w="70"/>
              <w:right w:type="dxa" w:w="110"/>
            </w:tcMar>
            <w:vAlign w:val="center"/>
          </w:tcPr>
          <w:p>
            <w:pPr>
              <w:spacing w:after="0" w:line="264"/>
            </w:pPr>
            <w:r>
              <w:rPr>
                <w:rFonts w:ascii="Arial" w:cs="Arial" w:eastAsia="Arial" w:hAnsi="Arial"/>
                <w:b/>
                <w:bCs/>
                <w:i w:val="false"/>
                <w:iCs w:val="false"/>
              </w:rPr>
              <w:t xml:space="preserve">2 / 10</w:t>
            </w:r>
          </w:p>
        </w:tc>
        <w:tc>
          <w:tcPr>
            <w:tcW w:type="dxa" w:w="4760"/>
            <w:shd w:fill="FFFFFF" w:val="clear"/>
            <w:tcMar>
              <w:top w:type="dxa" w:w="70"/>
              <w:left w:type="dxa" w:w="110"/>
              <w:bottom w:type="dxa" w:w="70"/>
              <w:right w:type="dxa" w:w="110"/>
            </w:tcMar>
            <w:vAlign w:val="center"/>
          </w:tcPr>
          <w:p>
            <w:pPr>
              <w:spacing w:after="0" w:line="264"/>
            </w:pPr>
            <w:r>
              <w:rPr>
                <w:rFonts w:ascii="Arial" w:cs="Arial" w:eastAsia="Arial" w:hAnsi="Arial"/>
                <w:b/>
                <w:bCs/>
                <w:i w:val="false"/>
                <w:iCs w:val="false"/>
              </w:rPr>
              <w:t xml:space="preserve">The critical gap. Co-folding is a standalone page; l2Pipeline.ts and the L1 engines never call it. The affinity head improves nothing downstream.</w:t>
            </w:r>
          </w:p>
        </w:tc>
      </w:tr>
      <w:tr>
        <w:tc>
          <w:tcPr>
            <w:tcW w:type="dxa" w:w="3500"/>
            <w:shd w:fill="EEF2F8" w:val="clear"/>
            <w:tcMar>
              <w:top w:type="dxa" w:w="70"/>
              <w:left w:type="dxa" w:w="110"/>
              <w:bottom w:type="dxa" w:w="70"/>
              <w:right w:type="dxa" w:w="110"/>
            </w:tcMar>
            <w:vAlign w:val="center"/>
          </w:tcPr>
          <w:p>
            <w:pPr>
              <w:spacing w:after="0" w:line="264"/>
            </w:pPr>
            <w:r>
              <w:t xml:space="preserve">Use of structure confidence downstream</w:t>
            </w:r>
          </w:p>
        </w:tc>
        <w:tc>
          <w:tcPr>
            <w:tcW w:type="dxa" w:w="1100"/>
            <w:shd w:fill="EEF2F8" w:val="clear"/>
            <w:tcMar>
              <w:top w:type="dxa" w:w="70"/>
              <w:left w:type="dxa" w:w="110"/>
              <w:bottom w:type="dxa" w:w="70"/>
              <w:right w:type="dxa" w:w="110"/>
            </w:tcMar>
            <w:vAlign w:val="center"/>
          </w:tcPr>
          <w:p>
            <w:pPr>
              <w:spacing w:after="0" w:line="264"/>
            </w:pPr>
            <w:r>
              <w:t xml:space="preserve">2 / 10</w:t>
            </w:r>
          </w:p>
        </w:tc>
        <w:tc>
          <w:tcPr>
            <w:tcW w:type="dxa" w:w="4760"/>
            <w:shd w:fill="EEF2F8" w:val="clear"/>
            <w:tcMar>
              <w:top w:type="dxa" w:w="70"/>
              <w:left w:type="dxa" w:w="110"/>
              <w:bottom w:type="dxa" w:w="70"/>
              <w:right w:type="dxa" w:w="110"/>
            </w:tcMar>
            <w:vAlign w:val="center"/>
          </w:tcPr>
          <w:p>
            <w:pPr>
              <w:spacing w:after="0" w:line="264"/>
            </w:pPr>
            <w:r>
              <w:t xml:space="preserve">pLDDT / ipTM / PDE are parsed and returned, but nothing gates or down-weights an affinity number that was computed on a low-confidence pose.</w:t>
            </w:r>
          </w:p>
        </w:tc>
      </w:tr>
      <w:tr>
        <w:tc>
          <w:tcPr>
            <w:tcW w:type="dxa" w:w="3500"/>
            <w:shd w:fill="FFFFFF" w:val="clear"/>
            <w:tcMar>
              <w:top w:type="dxa" w:w="70"/>
              <w:left w:type="dxa" w:w="110"/>
              <w:bottom w:type="dxa" w:w="70"/>
              <w:right w:type="dxa" w:w="110"/>
            </w:tcMar>
            <w:vAlign w:val="center"/>
          </w:tcPr>
          <w:p>
            <w:pPr>
              <w:spacing w:after="0" w:line="264"/>
            </w:pPr>
            <w:r>
              <w:t xml:space="preserve">Provenance &amp; evidence-grade integration</w:t>
            </w:r>
          </w:p>
        </w:tc>
        <w:tc>
          <w:tcPr>
            <w:tcW w:type="dxa" w:w="1100"/>
            <w:shd w:fill="FFFFFF" w:val="clear"/>
            <w:tcMar>
              <w:top w:type="dxa" w:w="70"/>
              <w:left w:type="dxa" w:w="110"/>
              <w:bottom w:type="dxa" w:w="70"/>
              <w:right w:type="dxa" w:w="110"/>
            </w:tcMar>
            <w:vAlign w:val="center"/>
          </w:tcPr>
          <w:p>
            <w:pPr>
              <w:spacing w:after="0" w:line="264"/>
            </w:pPr>
            <w:r>
              <w:t xml:space="preserve">3 / 10</w:t>
            </w:r>
          </w:p>
        </w:tc>
        <w:tc>
          <w:tcPr>
            <w:tcW w:type="dxa" w:w="4760"/>
            <w:shd w:fill="FFFFFF" w:val="clear"/>
            <w:tcMar>
              <w:top w:type="dxa" w:w="70"/>
              <w:left w:type="dxa" w:w="110"/>
              <w:bottom w:type="dxa" w:w="70"/>
              <w:right w:type="dxa" w:w="110"/>
            </w:tcMar>
            <w:vAlign w:val="center"/>
          </w:tcPr>
          <w:p>
            <w:pPr>
              <w:spacing w:after="0" w:line="264"/>
            </w:pPr>
            <w:r>
              <w:t xml:space="preserve">Co-folding results never receive a provenance tier, so they cannot enter the cascade gate, the confirmation engine or the sealed package.</w:t>
            </w:r>
          </w:p>
        </w:tc>
      </w:tr>
      <w:tr>
        <w:tc>
          <w:tcPr>
            <w:tcW w:type="dxa" w:w="3500"/>
            <w:shd w:fill="EEF2F8" w:val="clear"/>
            <w:tcMar>
              <w:top w:type="dxa" w:w="70"/>
              <w:left w:type="dxa" w:w="110"/>
              <w:bottom w:type="dxa" w:w="70"/>
              <w:right w:type="dxa" w:w="110"/>
            </w:tcMar>
            <w:vAlign w:val="center"/>
          </w:tcPr>
          <w:p>
            <w:pPr>
              <w:spacing w:after="0" w:line="264"/>
            </w:pPr>
            <w:r>
              <w:t xml:space="preserve">Reliability — job &amp; artifact persistence</w:t>
            </w:r>
          </w:p>
        </w:tc>
        <w:tc>
          <w:tcPr>
            <w:tcW w:type="dxa" w:w="1100"/>
            <w:shd w:fill="EEF2F8" w:val="clear"/>
            <w:tcMar>
              <w:top w:type="dxa" w:w="70"/>
              <w:left w:type="dxa" w:w="110"/>
              <w:bottom w:type="dxa" w:w="70"/>
              <w:right w:type="dxa" w:w="110"/>
            </w:tcMar>
            <w:vAlign w:val="center"/>
          </w:tcPr>
          <w:p>
            <w:pPr>
              <w:spacing w:after="0" w:line="264"/>
            </w:pPr>
            <w:r>
              <w:t xml:space="preserve">4 / 10</w:t>
            </w:r>
          </w:p>
        </w:tc>
        <w:tc>
          <w:tcPr>
            <w:tcW w:type="dxa" w:w="4760"/>
            <w:shd w:fill="EEF2F8" w:val="clear"/>
            <w:tcMar>
              <w:top w:type="dxa" w:w="70"/>
              <w:left w:type="dxa" w:w="110"/>
              <w:bottom w:type="dxa" w:w="70"/>
              <w:right w:type="dxa" w:w="110"/>
            </w:tcMar>
            <w:vAlign w:val="center"/>
          </w:tcPr>
          <w:p>
            <w:pPr>
              <w:spacing w:after="0" w:line="264"/>
            </w:pPr>
            <w:r>
              <w:t xml:space="preserve">Job store is an in-memory dict; an AI-service restart loses every running 2-hour GPU job. Structures are held in RAM, not stored.</w:t>
            </w:r>
          </w:p>
        </w:tc>
      </w:tr>
      <w:tr>
        <w:tc>
          <w:tcPr>
            <w:tcW w:type="dxa" w:w="3500"/>
            <w:shd w:fill="FFFFFF" w:val="clear"/>
            <w:tcMar>
              <w:top w:type="dxa" w:w="70"/>
              <w:left w:type="dxa" w:w="110"/>
              <w:bottom w:type="dxa" w:w="70"/>
              <w:right w:type="dxa" w:w="110"/>
            </w:tcMar>
            <w:vAlign w:val="center"/>
          </w:tcPr>
          <w:p>
            <w:pPr>
              <w:spacing w:after="0" w:line="264"/>
            </w:pPr>
            <w:r>
              <w:t xml:space="preserve">Cost efficiency — caching / dedup</w:t>
            </w:r>
          </w:p>
        </w:tc>
        <w:tc>
          <w:tcPr>
            <w:tcW w:type="dxa" w:w="1100"/>
            <w:shd w:fill="FFFFFF" w:val="clear"/>
            <w:tcMar>
              <w:top w:type="dxa" w:w="70"/>
              <w:left w:type="dxa" w:w="110"/>
              <w:bottom w:type="dxa" w:w="70"/>
              <w:right w:type="dxa" w:w="110"/>
            </w:tcMar>
            <w:vAlign w:val="center"/>
          </w:tcPr>
          <w:p>
            <w:pPr>
              <w:spacing w:after="0" w:line="264"/>
            </w:pPr>
            <w:r>
              <w:t xml:space="preserve">4 / 10</w:t>
            </w:r>
          </w:p>
        </w:tc>
        <w:tc>
          <w:tcPr>
            <w:tcW w:type="dxa" w:w="4760"/>
            <w:shd w:fill="FFFFFF" w:val="clear"/>
            <w:tcMar>
              <w:top w:type="dxa" w:w="70"/>
              <w:left w:type="dxa" w:w="110"/>
              <w:bottom w:type="dxa" w:w="70"/>
              <w:right w:type="dxa" w:w="110"/>
            </w:tcMar>
            <w:vAlign w:val="center"/>
          </w:tcPr>
          <w:p>
            <w:pPr>
              <w:spacing w:after="0" w:line="264"/>
            </w:pPr>
            <w:r>
              <w:t xml:space="preserve">No MSA or apo-structure reuse. Screening N ligands against one target re-folds the same protein N times.</w:t>
            </w:r>
          </w:p>
        </w:tc>
      </w:tr>
    </w:tbl>
    <w:p>
      <w:pPr>
        <w:spacing w:after="60"/>
      </w:pPr>
    </w:p>
    <w:p>
      <w:pPr>
        <w:spacing w:after="120" w:before="0" w:line="276"/>
      </w:pPr>
      <w:r>
        <w:rPr>
          <w:rFonts w:ascii="Arial" w:cs="Arial" w:eastAsia="Arial" w:hAnsi="Arial"/>
          <w:b/>
          <w:bCs/>
          <w:i w:val="false"/>
          <w:iCs w:val="false"/>
        </w:rPr>
        <w:t xml:space="preserve">Read the scorecard this way: </w:t>
      </w:r>
      <w:r>
        <w:t xml:space="preserve">the integration itself is 8–9/10 work. Everything dragging the average down is not a defect in the Boltz-2 code — it is the absence of wiring between that code and the rest of the platform. That is good news: Phase 0 is connection work, not a rewrite.</w:t>
      </w:r>
    </w:p>
    <w:p>
      <w:pPr>
        <w:pStyle w:val="Heading2"/>
        <w:spacing w:after="120" w:before="240"/>
      </w:pPr>
      <w:r>
        <w:t xml:space="preserve">2.2  What is genuinely good — keep exactly as-is</w:t>
      </w:r>
    </w:p>
    <w:p>
      <w:pPr>
        <w:pStyle w:val="ListParagraph"/>
        <w:numPr>
          <w:ilvl w:val="0"/>
          <w:numId w:val="2"/>
        </w:numPr>
        <w:spacing w:after="80" w:line="276"/>
      </w:pPr>
      <w:r>
        <w:rPr>
          <w:rFonts w:ascii="Arial" w:cs="Arial" w:eastAsia="Arial" w:hAnsi="Arial"/>
          <w:b/>
          <w:bCs/>
          <w:i w:val="false"/>
          <w:iCs w:val="false"/>
        </w:rPr>
        <w:t xml:space="preserve">The validate-then-dispatch split. </w:t>
      </w:r>
      <w:r>
        <w:t xml:space="preserve">validate_design() and build_boltz_yaml() run on CPU inside the AI service; the GPU worker only ever sees a YAML that already passed every check. handler.py still re-validates defensively. This is the right way to spend money on GPUs.</w:t>
      </w:r>
    </w:p>
    <w:p>
      <w:pPr>
        <w:pStyle w:val="ListParagraph"/>
        <w:numPr>
          <w:ilvl w:val="0"/>
          <w:numId w:val="2"/>
        </w:numPr>
        <w:spacing w:after="80" w:line="276"/>
      </w:pPr>
      <w:r>
        <w:rPr>
          <w:rFonts w:ascii="Arial" w:cs="Arial" w:eastAsia="Arial" w:hAnsi="Arial"/>
          <w:b/>
          <w:bCs/>
          <w:i w:val="false"/>
          <w:iCs w:val="false"/>
        </w:rPr>
        <w:t xml:space="preserve">The honesty contract. </w:t>
      </w:r>
      <w:r>
        <w:t xml:space="preserve">_gpu_name() raises rather than fall back to CPU; _read_affinity() returns null rather than invent a number; _store_result() raises on any missing required field. This is consistent with cascadeGate.ts and the whole platform philosophy — do not break it.</w:t>
      </w:r>
    </w:p>
    <w:p>
      <w:pPr>
        <w:pStyle w:val="ListParagraph"/>
        <w:numPr>
          <w:ilvl w:val="0"/>
          <w:numId w:val="2"/>
        </w:numPr>
        <w:spacing w:after="80" w:line="276"/>
      </w:pPr>
      <w:r>
        <w:rPr>
          <w:rFonts w:ascii="Arial" w:cs="Arial" w:eastAsia="Arial" w:hAnsi="Arial"/>
          <w:b/>
          <w:bCs/>
          <w:i w:val="false"/>
          <w:iCs w:val="false"/>
        </w:rPr>
        <w:t xml:space="preserve">Feature completeness. </w:t>
      </w:r>
      <w:r>
        <w:t xml:space="preserve">Covalent bonds, pocket conditioning, contact constraints, CIF/PDB templates, modified residues for proteins and nucleic acids, the affinity head with ensemble members, and PAE/PDE block-averaging to keep payloads transportable. Very little of Boltz-2 is left unexposed.</w:t>
      </w:r>
    </w:p>
    <w:p>
      <w:pPr>
        <w:pStyle w:val="ListParagraph"/>
        <w:numPr>
          <w:ilvl w:val="0"/>
          <w:numId w:val="2"/>
        </w:numPr>
        <w:spacing w:after="80" w:line="276"/>
      </w:pPr>
      <w:r>
        <w:rPr>
          <w:rFonts w:ascii="Arial" w:cs="Arial" w:eastAsia="Arial" w:hAnsi="Arial"/>
          <w:b/>
          <w:bCs/>
          <w:i w:val="false"/>
          <w:iCs w:val="false"/>
        </w:rPr>
        <w:t xml:space="preserve">Affinity unit hygiene. </w:t>
      </w:r>
      <w:r>
        <w:t xml:space="preserve">_read_affinity() documents Boltz's log10(IC50/µM) convention and converts to IC50 and a ΔG-like value using Boltz's own formulae, with an explicit units_note warning the value is a ranking-grade score, not a calibrated assay IC50. Exactly the right caveat.</w:t>
      </w:r>
    </w:p>
    <w:p>
      <w:pPr>
        <w:pStyle w:val="ListParagraph"/>
        <w:numPr>
          <w:ilvl w:val="0"/>
          <w:numId w:val="2"/>
        </w:numPr>
        <w:spacing w:after="80" w:line="276"/>
      </w:pPr>
      <w:r>
        <w:rPr>
          <w:rFonts w:ascii="Arial" w:cs="Arial" w:eastAsia="Arial" w:hAnsi="Arial"/>
          <w:b/>
          <w:bCs/>
          <w:i w:val="false"/>
          <w:iCs w:val="false"/>
        </w:rPr>
        <w:t xml:space="preserve">Cost transparency. </w:t>
      </w:r>
      <w:r>
        <w:t xml:space="preserve">The free /cofold/validate path returns the generated YAML, a token estimate and a cost band before the user spends anything. Good product instinct.</w:t>
      </w:r>
    </w:p>
    <w:p>
      <w:pPr>
        <w:pStyle w:val="ListParagraph"/>
        <w:numPr>
          <w:ilvl w:val="0"/>
          <w:numId w:val="2"/>
        </w:numPr>
        <w:spacing w:after="80" w:line="276"/>
      </w:pPr>
      <w:r>
        <w:rPr>
          <w:rFonts w:ascii="Arial" w:cs="Arial" w:eastAsia="Arial" w:hAnsi="Arial"/>
          <w:b/>
          <w:bCs/>
          <w:i w:val="false"/>
          <w:iCs w:val="false"/>
        </w:rPr>
        <w:t xml:space="preserve">Licensing rationale. </w:t>
      </w:r>
      <w:r>
        <w:t xml:space="preserve">The header comment in cofolding.py correctly explains why Boltz-2 and not AlphaFold 3. Keep that reasoning visible — it is the right call and it will come up in due diligence.</w:t>
      </w:r>
    </w:p>
    <w:p>
      <w:pPr>
        <w:pStyle w:val="Heading2"/>
        <w:spacing w:after="120" w:before="240"/>
      </w:pPr>
      <w:r>
        <w:t xml:space="preserve">2.3  What is missing, wrong, or under-leveraged</w:t>
      </w:r>
    </w:p>
    <w:p>
      <w:pPr>
        <w:spacing w:after="120" w:before="0" w:line="276"/>
      </w:pPr>
      <w:r>
        <w:rPr>
          <w:rFonts w:ascii="Arial" w:cs="Arial" w:eastAsia="Arial" w:hAnsi="Arial"/>
          <w:b w:val="false"/>
          <w:bCs w:val="false"/>
          <w:i/>
          <w:iCs/>
        </w:rPr>
        <w:t xml:space="preserve">These are ordered by impact. A–D are the ones that actually matter; E–K are smaller hardening items.</w:t>
      </w:r>
    </w:p>
    <w:p>
      <w:pPr>
        <w:pStyle w:val="Heading3"/>
        <w:spacing w:after="100" w:before="180"/>
      </w:pPr>
      <w:r>
        <w:t xml:space="preserve">A.  It is not wired into L1 or L2 (highest impact)</w:t>
      </w:r>
    </w:p>
    <w:p>
      <w:pPr>
        <w:spacing w:after="120" w:before="0" w:line="276"/>
      </w:pPr>
      <w:r>
        <w:t xml:space="preserve">The affinity head, the interface confidence (ipTM) and the predicted complex are not consumed by: L1's binding Kd / Ki / IC50 panel; L2 Stage 2 (docking); L2 Stage 3 (ML affinity); L2 Stage 5 (FEP); L2 Stage 8 (dose projection, which currently </w:t>
      </w:r>
      <w:r>
        <w:rPr>
          <w:rFonts w:ascii="Arial" w:cs="Arial" w:eastAsia="Arial" w:hAnsi="Arial"/>
          <w:b/>
          <w:bCs/>
          <w:i w:val="false"/>
          <w:iCs w:val="false"/>
        </w:rPr>
        <w:t xml:space="preserve">throws</w:t>
      </w:r>
      <w:r>
        <w:t xml:space="preserve"> if there is no L1 binding Ki); the cascade gate; the confirmation engine's falsifier framework; or the PreClinicalPackage. Co-folding produces real, valuable numbers that then go nowhere. Fixing this is Phase 0 and it is most of the value in this whole report.</w:t>
      </w:r>
    </w:p>
    <w:p>
      <w:pPr>
        <w:pStyle w:val="Heading3"/>
        <w:spacing w:after="100" w:before="180"/>
      </w:pPr>
      <w:r>
        <w:t xml:space="preserve">B.  No structure-quality gate on the affinity number</w:t>
      </w:r>
    </w:p>
    <w:p>
      <w:pPr>
        <w:spacing w:after="120" w:before="0" w:line="276"/>
      </w:pPr>
      <w:r>
        <w:t xml:space="preserve">Boltz-2 will return an affinity value even when the co-folded pose is unreliable. An affinity computed on a complex with ipTM &lt; ~0.6, or on a ligand sitting in a low-pLDDT region, is close to meaningless. The worker faithfully returns the confidence — but nothing downstream refuses, downgrades or annotates the affinity when confidence is poor. Under your own honesty philosophy this is a real gap: a low-confidence affinity presented without a health warning is, functionally, a fabricated-looking number.</w:t>
      </w:r>
    </w:p>
    <w:p>
      <w:pPr>
        <w:pStyle w:val="Heading3"/>
        <w:spacing w:after="100" w:before="180"/>
      </w:pPr>
      <w:r>
        <w:t xml:space="preserve">C.  The affinity head — your single best asset — is under-leveraged</w:t>
      </w:r>
    </w:p>
    <w:p>
      <w:pPr>
        <w:spacing w:after="120" w:before="0" w:line="276"/>
      </w:pPr>
      <w:r>
        <w:t xml:space="preserve">Boltz-2's headline result in the paper is FEP-class binding affinity at roughly 1000× the speed of FEP. In your platform that capability is currently one optional field on a standalone page. It should be a named L2 stage, cross-checked against AutoDock Vina (Stage 2) and TIES FEP (Stage 5) so you can show a </w:t>
      </w:r>
      <w:r>
        <w:rPr>
          <w:rFonts w:ascii="Arial" w:cs="Arial" w:eastAsia="Arial" w:hAnsi="Arial"/>
          <w:b/>
          <w:bCs/>
          <w:i w:val="false"/>
          <w:iCs w:val="false"/>
        </w:rPr>
        <w:t xml:space="preserve">three-method affinity consensus</w:t>
      </w:r>
      <w:r>
        <w:t xml:space="preserve"> — empirical docking, deep-learning co-folding, and rigorous physics — which is a genuinely strong, defensible story. It should also feed Stage 8 so dose projection has a real Ki to work from instead of throwing.</w:t>
      </w:r>
    </w:p>
    <w:p>
      <w:pPr>
        <w:pStyle w:val="Heading3"/>
        <w:spacing w:after="100" w:before="180"/>
      </w:pPr>
      <w:r>
        <w:t xml:space="preserve">D.  Co-folding has no provenance tier</w:t>
      </w:r>
    </w:p>
    <w:p>
      <w:pPr>
        <w:spacing w:after="120" w:before="0" w:line="276"/>
      </w:pPr>
      <w:r>
        <w:t xml:space="preserve">Your honesty model has six tiers: experimental, enriched, ml, structural, heuristic, unavailable. A Boltz-2 affinity is a deep-learning prediction (it would map to </w:t>
      </w:r>
      <w:r>
        <w:rPr>
          <w:rFonts w:ascii="Consolas" w:cs="Consolas" w:eastAsia="Consolas" w:hAnsi="Consolas"/>
          <w:b w:val="false"/>
          <w:bCs w:val="false"/>
          <w:i w:val="false"/>
          <w:iCs w:val="false"/>
        </w:rPr>
        <w:t xml:space="preserve">ml</w:t>
      </w:r>
      <w:r>
        <w:t xml:space="preserve">), but a co-folded structure carrying pLDDT/ipTM is a different kind of evidence and currently has nowhere to live. Add a </w:t>
      </w:r>
      <w:r>
        <w:rPr>
          <w:rFonts w:ascii="Arial" w:cs="Arial" w:eastAsia="Arial" w:hAnsi="Arial"/>
          <w:b/>
          <w:bCs/>
          <w:i w:val="false"/>
          <w:iCs w:val="false"/>
        </w:rPr>
        <w:t xml:space="preserve">cofolded</w:t>
      </w:r>
      <w:r>
        <w:t xml:space="preserve"> (or </w:t>
      </w:r>
      <w:r>
        <w:rPr>
          <w:rFonts w:ascii="Arial" w:cs="Arial" w:eastAsia="Arial" w:hAnsi="Arial"/>
          <w:b/>
          <w:bCs/>
          <w:i w:val="false"/>
          <w:iCs w:val="false"/>
        </w:rPr>
        <w:t xml:space="preserve">structure-predicted</w:t>
      </w:r>
      <w:r>
        <w:t xml:space="preserve">) tier, with its evidence weight scaled by interface confidence, so co-folding outputs can pass through the cascade gate and be sealed into the package like everything else.</w:t>
      </w:r>
    </w:p>
    <w:p>
      <w:pPr>
        <w:pStyle w:val="Heading3"/>
        <w:spacing w:after="100" w:before="180"/>
      </w:pPr>
      <w:r>
        <w:t xml:space="preserve">E.  The MSA server is a third party — and a privacy contradiction</w:t>
      </w:r>
    </w:p>
    <w:p>
      <w:pPr>
        <w:spacing w:after="120" w:before="0" w:line="276"/>
      </w:pPr>
      <w:r>
        <w:t xml:space="preserve">The worker defaults to the public ColabFold MSA server (</w:t>
      </w:r>
      <w:r>
        <w:rPr>
          <w:rFonts w:ascii="Consolas" w:cs="Consolas" w:eastAsia="Consolas" w:hAnsi="Consolas"/>
          <w:b w:val="false"/>
          <w:bCs w:val="false"/>
          <w:i w:val="false"/>
          <w:iCs w:val="false"/>
        </w:rPr>
        <w:t xml:space="preserve">api.colabfold.com</w:t>
      </w:r>
      <w:r>
        <w:t xml:space="preserve">). That is fine for low volume, but it has two problems. First, it is an external dependency with rate limits and downtime you do not control. Second — and more important — your platform overview sells </w:t>
      </w:r>
      <w:r>
        <w:rPr>
          <w:rFonts w:ascii="Arial" w:cs="Arial" w:eastAsia="Arial" w:hAnsi="Arial"/>
          <w:b w:val="false"/>
          <w:bCs w:val="false"/>
          <w:i/>
          <w:iCs/>
        </w:rPr>
        <w:t xml:space="preserve">“privacy-first by design”</w:t>
      </w:r>
      <w:r>
        <w:t xml:space="preserve"> and </w:t>
      </w:r>
      <w:r>
        <w:rPr>
          <w:rFonts w:ascii="Arial" w:cs="Arial" w:eastAsia="Arial" w:hAnsi="Arial"/>
          <w:b w:val="false"/>
          <w:bCs w:val="false"/>
          <w:i/>
          <w:iCs/>
        </w:rPr>
        <w:t xml:space="preserve">“proprietary chemistry stays under the team's control”</w:t>
      </w:r>
      <w:r>
        <w:t xml:space="preserve">. Posting a client's novel target sequence to a public MSA server is in direct tension with that promise. Plan a self-hosted MSA option (an mmseqs2 pipeline on the worker, or a managed private endpoint) and let single-sequence mode be the privacy-safe default for sensitive targets.</w:t>
      </w:r>
    </w:p>
    <w:p>
      <w:pPr>
        <w:pStyle w:val="Heading3"/>
        <w:spacing w:after="100" w:before="180"/>
      </w:pPr>
      <w:r>
        <w:t xml:space="preserve">F.  No caching or de-duplication</w:t>
      </w:r>
    </w:p>
    <w:p>
      <w:pPr>
        <w:spacing w:after="120" w:before="0" w:line="276"/>
      </w:pPr>
      <w:r>
        <w:t xml:space="preserve">Every job folds from scratch. In a lead-optimisation workflow — one target, fifty analogue ligands — the receptor protein and its MSA are identical across all fifty runs, yet they are recomputed every time. Cache the MSA by sequence hash, and reuse the apo-protein structure as a template, and you cut both cost and latency materially.</w:t>
      </w:r>
    </w:p>
    <w:p>
      <w:pPr>
        <w:pStyle w:val="Heading3"/>
        <w:spacing w:after="100" w:before="180"/>
      </w:pPr>
      <w:r>
        <w:t xml:space="preserve">G.  Job and artifact persistence</w:t>
      </w:r>
    </w:p>
    <w:p>
      <w:pPr>
        <w:spacing w:after="120" w:before="0" w:line="276"/>
      </w:pPr>
      <w:r>
        <w:t xml:space="preserve">_JOBS is an in-memory dict. If the Flask AI service restarts during a 2-hour GPU run, the job is orphaned — the RunPod job keeps running and being billed, but the platform has lost the handle. Persist the job table (you already run SQLite via Drizzle in the API server) and persist the predicted structures to object storage keyed by a content hash, so the PreClinicalPackage can reference them immutably.</w:t>
      </w:r>
    </w:p>
    <w:p>
      <w:pPr>
        <w:pStyle w:val="Heading3"/>
        <w:spacing w:after="100" w:before="180"/>
      </w:pPr>
      <w:r>
        <w:t xml:space="preserve">H.  Model identity is hidden from the evidence layer</w:t>
      </w:r>
    </w:p>
    <w:p>
      <w:pPr>
        <w:spacing w:after="120" w:before="0" w:line="276"/>
      </w:pPr>
      <w:r>
        <w:t xml:space="preserve">boltz_runner.py sets </w:t>
      </w:r>
      <w:r>
        <w:rPr>
          <w:rFonts w:ascii="Consolas" w:cs="Consolas" w:eastAsia="Consolas" w:hAnsi="Consolas"/>
          <w:b w:val="false"/>
          <w:bCs w:val="false"/>
          <w:i w:val="false"/>
          <w:iCs w:val="false"/>
        </w:rPr>
        <w:t xml:space="preserve">engine = "hakase_structural_engine"</w:t>
      </w:r>
      <w:r>
        <w:t xml:space="preserve"> with the comment “never expose upstream tool name.” Keeping a product name in the UI is a fair marketing choice. But your HAIOps governance pillar 1 promises </w:t>
      </w:r>
      <w:r>
        <w:rPr>
          <w:rFonts w:ascii="Arial" w:cs="Arial" w:eastAsia="Arial" w:hAnsi="Arial"/>
          <w:b w:val="false"/>
          <w:bCs w:val="false"/>
          <w:i/>
          <w:iCs/>
        </w:rPr>
        <w:t xml:space="preserve">“a model card, training corpus and validation record for every machine-learning prediction”</w:t>
      </w:r>
      <w:r>
        <w:t xml:space="preserve">. A regulator-facing model card that does not name Boltz-2, its version and its license is not a real model card. Resolution: keep the friendly name in the UI if you wish, but the evidence package and model card must record </w:t>
      </w:r>
      <w:r>
        <w:rPr>
          <w:rFonts w:ascii="Arial" w:cs="Arial" w:eastAsia="Arial" w:hAnsi="Arial"/>
          <w:b/>
          <w:bCs/>
          <w:i w:val="false"/>
          <w:iCs w:val="false"/>
        </w:rPr>
        <w:t xml:space="preserve">Boltz-2, the exact version, and the MIT license</w:t>
      </w:r>
      <w:r>
        <w:t xml:space="preserve">. The boltz_version is already captured — surface it honestly.</w:t>
      </w:r>
    </w:p>
    <w:p>
      <w:pPr>
        <w:pStyle w:val="Heading3"/>
        <w:spacing w:after="100" w:before="180"/>
      </w:pPr>
      <w:r>
        <w:t xml:space="preserve">I.  No batch co-folding</w:t>
      </w:r>
    </w:p>
    <w:p>
      <w:pPr>
        <w:spacing w:after="120" w:before="0" w:line="276"/>
      </w:pPr>
      <w:r>
        <w:t xml:space="preserve">L1 screens up to 500 compounds. Co-folding is one design per call. Once Boltz-2 feeds lead-opt and biologics workflows you will want a batch endpoint that folds many designs against a shared, cached receptor.</w:t>
      </w:r>
    </w:p>
    <w:p>
      <w:pPr>
        <w:pStyle w:val="Heading3"/>
        <w:spacing w:after="100" w:before="180"/>
      </w:pPr>
      <w:r>
        <w:t xml:space="preserve">J.  Affinity is gated on a ligand binder only in practice</w:t>
      </w:r>
    </w:p>
    <w:p>
      <w:pPr>
        <w:spacing w:after="120" w:before="0" w:line="276"/>
      </w:pPr>
      <w:r>
        <w:t xml:space="preserve">validate_design() supports peptide and protein binders for the affinity head with warnings, which is correct — Boltz-2's affinity head is trained mostly on protein–small-molecule data. Just make sure that when you wire affinity into the modality-aware pipeline (Section 5) those warnings travel with the number all the way to the UI and the package, not just into summarize_design().</w:t>
      </w:r>
    </w:p>
    <w:p>
      <w:pPr>
        <w:pStyle w:val="Heading3"/>
        <w:spacing w:after="100" w:before="180"/>
      </w:pPr>
      <w:r>
        <w:t xml:space="preserve">K.  Newer Boltz-2 controllability not yet exposed</w:t>
      </w:r>
    </w:p>
    <w:p>
      <w:pPr>
        <w:spacing w:after="120" w:before="0" w:line="276"/>
      </w:pPr>
      <w:r>
        <w:t xml:space="preserve">Recent Boltz-2 adds </w:t>
      </w:r>
      <w:r>
        <w:rPr>
          <w:rFonts w:ascii="Arial" w:cs="Arial" w:eastAsia="Arial" w:hAnsi="Arial"/>
          <w:b/>
          <w:bCs/>
          <w:i w:val="false"/>
          <w:iCs w:val="false"/>
        </w:rPr>
        <w:t xml:space="preserve">method conditioning</w:t>
      </w:r>
      <w:r>
        <w:t xml:space="preserve"> (bias the prediction toward X-ray / NMR / MD-like characteristics) on top of the Boltz-Steering potentials you already expose via </w:t>
      </w:r>
      <w:r>
        <w:rPr>
          <w:rFonts w:ascii="Consolas" w:cs="Consolas" w:eastAsia="Consolas" w:hAnsi="Consolas"/>
          <w:b w:val="false"/>
          <w:bCs w:val="false"/>
          <w:i w:val="false"/>
          <w:iCs w:val="false"/>
        </w:rPr>
        <w:t xml:space="preserve">use_potentials</w:t>
      </w:r>
      <w:r>
        <w:t xml:space="preserve">. It is a small addition to _validate_options() and the worker CLI, and it is worth having for structure-quality control. Confirm availability against your pinned boltz version first.</w:t>
      </w:r>
    </w:p>
    <w:p>
      <w:pPr>
        <w:pStyle w:val="Heading2"/>
        <w:spacing w:after="120" w:before="240"/>
      </w:pPr>
      <w:r>
        <w:t xml:space="preserve">2.4  What to remove or replace</w:t>
      </w:r>
    </w:p>
    <w:p>
      <w:pPr>
        <w:spacing w:after="120" w:before="0" w:line="276"/>
      </w:pPr>
      <w:r>
        <w:rPr>
          <w:rFonts w:ascii="Arial" w:cs="Arial" w:eastAsia="Arial" w:hAnsi="Arial"/>
          <w:b/>
          <w:bCs/>
          <w:i w:val="false"/>
          <w:iCs w:val="false"/>
        </w:rPr>
        <w:t xml:space="preserve">Remove: nothing. </w:t>
      </w:r>
      <w:r>
        <w:t xml:space="preserve">There is no dead weight in the Boltz-2 integration. The items below are demotions and disclosures, not deletions.</w:t>
      </w:r>
    </w:p>
    <w:p>
      <w:pPr>
        <w:pStyle w:val="ListParagraph"/>
        <w:numPr>
          <w:ilvl w:val="0"/>
          <w:numId w:val="2"/>
        </w:numPr>
        <w:spacing w:after="80" w:line="276"/>
      </w:pPr>
      <w:r>
        <w:rPr>
          <w:rFonts w:ascii="Arial" w:cs="Arial" w:eastAsia="Arial" w:hAnsi="Arial"/>
          <w:b/>
          <w:bCs/>
          <w:i w:val="false"/>
          <w:iCs w:val="false"/>
        </w:rPr>
        <w:t xml:space="preserve">Replace as the primary binding path, do not delete. </w:t>
      </w:r>
      <w:r>
        <w:t xml:space="preserve">The L1 “on-target IC50 / binding affinity (no ML)” heuristic — your own 4/10 endpoint — should be demoted to a last-resort fallback. Boltz-2 affinity (structure-grounded) and the existing Binding-ML model (ESM-2 + GBM) become the primary paths, with the heuristic only filling in when neither can run. Keep the heuristic; just stop letting it be the headline.</w:t>
      </w:r>
    </w:p>
    <w:p>
      <w:pPr>
        <w:pStyle w:val="ListParagraph"/>
        <w:numPr>
          <w:ilvl w:val="0"/>
          <w:numId w:val="2"/>
        </w:numPr>
        <w:spacing w:after="80" w:line="276"/>
      </w:pPr>
      <w:r>
        <w:rPr>
          <w:rFonts w:ascii="Arial" w:cs="Arial" w:eastAsia="Arial" w:hAnsi="Arial"/>
          <w:b/>
          <w:bCs/>
          <w:i w:val="false"/>
          <w:iCs w:val="false"/>
        </w:rPr>
        <w:t xml:space="preserve">Replace the silent engine alias with honest disclosure. </w:t>
      </w:r>
      <w:r>
        <w:t xml:space="preserve">See 2.3-H. The internal alias is fine; the evidence package must name the model.</w:t>
      </w:r>
    </w:p>
    <w:p>
      <w:pPr>
        <w:pStyle w:val="ListParagraph"/>
        <w:numPr>
          <w:ilvl w:val="0"/>
          <w:numId w:val="2"/>
        </w:numPr>
        <w:spacing w:after="80" w:line="276"/>
      </w:pPr>
      <w:r>
        <w:rPr>
          <w:rFonts w:ascii="Arial" w:cs="Arial" w:eastAsia="Arial" w:hAnsi="Arial"/>
          <w:b/>
          <w:bCs/>
          <w:i w:val="false"/>
          <w:iCs w:val="false"/>
        </w:rPr>
        <w:t xml:space="preserve">Guard, do not remove, the small-molecule-only modules. </w:t>
      </w:r>
      <w:r>
        <w:t xml:space="preserve">The 2-compartment PBPK (pbpk.ts), the heuristic ADMET engine and the RDKit descriptor foundation are correct for small molecules and must stay. But once biologics can enter the pipeline they must be guarded by a modality check so they never silently run on an antibody and emit nonsense (Section 7.1).</w:t>
      </w:r>
    </w:p>
    <w:p>
      <w:r>
        <w:br w:type="page"/>
      </w:r>
    </w:p>
    <w:p>
      <w:pPr>
        <w:pStyle w:val="Heading1"/>
        <w:spacing w:after="160" w:before="320"/>
      </w:pPr>
      <w:r>
        <w:t xml:space="preserve">3.  Phase 0 — Wire Boltz-2 Into Layers 1 and 2</w:t>
      </w:r>
    </w:p>
    <w:p>
      <w:pPr>
        <w:spacing w:after="120" w:before="0" w:line="276"/>
      </w:pPr>
      <w:r>
        <w:t xml:space="preserve">Phase 0 adds no new modality and no new model. It connects what you already built. It is the highest return-on-effort work in this report and should ship before anything in Sections 4–6 begins.</w:t>
      </w:r>
    </w:p>
    <w:p>
      <w:pPr>
        <w:pStyle w:val="Heading2"/>
        <w:spacing w:after="120" w:before="240"/>
      </w:pPr>
      <w:r>
        <w:t xml:space="preserve">3.1  Promote co-folding to a first-class L2 stage</w:t>
      </w:r>
    </w:p>
    <w:p>
      <w:pPr>
        <w:spacing w:after="120" w:before="0" w:line="276"/>
      </w:pPr>
      <w:r>
        <w:t xml:space="preserve">The L2 pipeline is ten stages (0–9). Co-folding should become a real, addressable stage rather than a side page. Concretely:</w:t>
      </w:r>
    </w:p>
    <w:p>
      <w:pPr>
        <w:pStyle w:val="ListParagraph"/>
        <w:numPr>
          <w:ilvl w:val="0"/>
          <w:numId w:val="2"/>
        </w:numPr>
        <w:spacing w:after="80" w:line="276"/>
      </w:pPr>
      <w:r>
        <w:t xml:space="preserve">Add a co-folding stage to l2Pipeline.ts — most naturally as Stage 2b, a sibling of docking, since both produce a bound pose. It runs opt-in (it is GPU-priced), exactly like Stage 2 (Vina) and Stage 5 (TIES).</w:t>
      </w:r>
    </w:p>
    <w:p>
      <w:pPr>
        <w:pStyle w:val="ListParagraph"/>
        <w:numPr>
          <w:ilvl w:val="0"/>
          <w:numId w:val="2"/>
        </w:numPr>
        <w:spacing w:after="80" w:line="276"/>
      </w:pPr>
      <w:r>
        <w:t xml:space="preserve">Its inputs come from the frozen L1 evidence: the ligand (or biologic binder) and the resolved target. Its outputs are the predicted complex, pLDDT, ipTM, PAE, PDE and — when a binder is flagged — the affinity block.</w:t>
      </w:r>
    </w:p>
    <w:p>
      <w:pPr>
        <w:pStyle w:val="ListParagraph"/>
        <w:numPr>
          <w:ilvl w:val="0"/>
          <w:numId w:val="2"/>
        </w:numPr>
        <w:spacing w:after="80" w:line="276"/>
      </w:pPr>
      <w:r>
        <w:t xml:space="preserve">It emits the same four honest statuses every other stage uses: wired, out-of-scope, error, skipped.</w:t>
      </w:r>
    </w:p>
    <w:p>
      <w:pPr>
        <w:pStyle w:val="ListParagraph"/>
        <w:numPr>
          <w:ilvl w:val="0"/>
          <w:numId w:val="2"/>
        </w:numPr>
        <w:spacing w:after="80" w:line="276"/>
      </w:pPr>
      <w:r>
        <w:t xml:space="preserve">The standalone CoFolding.tsx page stays — it is useful as an expert/manual workspace — but it becomes one entry point to the same engine, not the only one.</w:t>
      </w:r>
    </w:p>
    <w:p>
      <w:pPr>
        <w:pStyle w:val="Heading2"/>
        <w:spacing w:after="120" w:before="240"/>
      </w:pPr>
      <w:r>
        <w:t xml:space="preserve">3.2  Route the affinity head into the binding endpoints</w:t>
      </w:r>
    </w:p>
    <w:p>
      <w:pPr>
        <w:spacing w:after="120" w:before="0" w:line="276"/>
      </w:pPr>
      <w:r>
        <w:t xml:space="preserve">Bind the Boltz-2 affinity output into the places that currently have weak or missing binding numbers:</w:t>
      </w:r>
    </w:p>
    <w:p>
      <w:pPr>
        <w:pStyle w:val="ListParagraph"/>
        <w:numPr>
          <w:ilvl w:val="0"/>
          <w:numId w:val="2"/>
        </w:numPr>
        <w:spacing w:after="80" w:line="276"/>
      </w:pPr>
      <w:r>
        <w:rPr>
          <w:rFonts w:ascii="Arial" w:cs="Arial" w:eastAsia="Arial" w:hAnsi="Arial"/>
          <w:b/>
          <w:bCs/>
          <w:i w:val="false"/>
          <w:iCs w:val="false"/>
        </w:rPr>
        <w:t xml:space="preserve">L1 binding panel. </w:t>
      </w:r>
      <w:r>
        <w:t xml:space="preserve">Today the priority is (1) ML binding Kd, (2) legacy predicted Kd, (3) curated TARGET_MAP anchor, (4) null. Insert Boltz-2 affinity as a high-priority structure-grounded source above the catalog anchor. Keep Cheng–Prusoff for Ki/IC50 derivation.</w:t>
      </w:r>
    </w:p>
    <w:p>
      <w:pPr>
        <w:pStyle w:val="ListParagraph"/>
        <w:numPr>
          <w:ilvl w:val="0"/>
          <w:numId w:val="2"/>
        </w:numPr>
        <w:spacing w:after="80" w:line="276"/>
      </w:pPr>
      <w:r>
        <w:rPr>
          <w:rFonts w:ascii="Arial" w:cs="Arial" w:eastAsia="Arial" w:hAnsi="Arial"/>
          <w:b/>
          <w:bCs/>
          <w:i w:val="false"/>
          <w:iCs w:val="false"/>
        </w:rPr>
        <w:t xml:space="preserve">L2 Stage 3 (ML affinity). </w:t>
      </w:r>
      <w:r>
        <w:t xml:space="preserve">Report Boltz-2 affinity alongside Binding-ML and present the agreement/divergence, the same way L1 already pairs ML and heuristic answers.</w:t>
      </w:r>
    </w:p>
    <w:p>
      <w:pPr>
        <w:pStyle w:val="ListParagraph"/>
        <w:numPr>
          <w:ilvl w:val="0"/>
          <w:numId w:val="2"/>
        </w:numPr>
        <w:spacing w:after="80" w:line="276"/>
      </w:pPr>
      <w:r>
        <w:rPr>
          <w:rFonts w:ascii="Arial" w:cs="Arial" w:eastAsia="Arial" w:hAnsi="Arial"/>
          <w:b/>
          <w:bCs/>
          <w:i w:val="false"/>
          <w:iCs w:val="false"/>
        </w:rPr>
        <w:t xml:space="preserve">L2 Stage 8 (dose projection). </w:t>
      </w:r>
      <w:r>
        <w:t xml:space="preserve">Stage 8 throws without a real Ki. Boltz-2 affinity (confidence-gated, see 3.3) becomes a valid Ki source so first-pass dose projection can run for targets that previously dead-ended.</w:t>
      </w:r>
    </w:p>
    <w:p>
      <w:pPr>
        <w:pStyle w:val="ListParagraph"/>
        <w:numPr>
          <w:ilvl w:val="0"/>
          <w:numId w:val="2"/>
        </w:numPr>
        <w:spacing w:after="80" w:line="276"/>
      </w:pPr>
      <w:r>
        <w:rPr>
          <w:rFonts w:ascii="Arial" w:cs="Arial" w:eastAsia="Arial" w:hAnsi="Arial"/>
          <w:b/>
          <w:bCs/>
          <w:i w:val="false"/>
          <w:iCs w:val="false"/>
        </w:rPr>
        <w:t xml:space="preserve">Three-method consensus. </w:t>
      </w:r>
      <w:r>
        <w:t xml:space="preserve">Where Stage 2 (Vina), Stage 2b (Boltz-2) and Stage 5 (TIES) all ran, show a consensus affinity panel with the spread across methods. Convergence across an empirical, a deep-learning and a physics method is a strong, honest confidence signal.</w:t>
      </w:r>
    </w:p>
    <w:p>
      <w:pPr>
        <w:pStyle w:val="Heading2"/>
        <w:spacing w:after="120" w:before="240"/>
      </w:pPr>
      <w:r>
        <w:t xml:space="preserve">3.3  Add a structure-confidence gate</w:t>
      </w:r>
    </w:p>
    <w:p>
      <w:pPr>
        <w:spacing w:after="120" w:before="0" w:line="276"/>
      </w:pPr>
      <w:r>
        <w:t xml:space="preserve">Before any Boltz-2 affinity is shown or propagated, gate it on interface confidence. A first, conservative policy:</w:t>
      </w:r>
    </w:p>
    <w:p>
      <w:pPr>
        <w:pStyle w:val="ListParagraph"/>
        <w:numPr>
          <w:ilvl w:val="0"/>
          <w:numId w:val="2"/>
        </w:numPr>
        <w:spacing w:after="80" w:line="276"/>
      </w:pPr>
      <w:r>
        <w:t xml:space="preserve">ipTM ≥ 0.75 and ligand-region pLDDT ≥ 70 — affinity propagates normally, tagged at full confidence.</w:t>
      </w:r>
    </w:p>
    <w:p>
      <w:pPr>
        <w:pStyle w:val="ListParagraph"/>
        <w:numPr>
          <w:ilvl w:val="0"/>
          <w:numId w:val="2"/>
        </w:numPr>
        <w:spacing w:after="80" w:line="276"/>
      </w:pPr>
      <w:r>
        <w:t xml:space="preserve">ipTM 0.55–0.75 — affinity propagates but down-weighted, and the UI shows an explicit “low interface confidence” badge.</w:t>
      </w:r>
    </w:p>
    <w:p>
      <w:pPr>
        <w:pStyle w:val="ListParagraph"/>
        <w:numPr>
          <w:ilvl w:val="0"/>
          <w:numId w:val="2"/>
        </w:numPr>
        <w:spacing w:after="80" w:line="276"/>
      </w:pPr>
      <w:r>
        <w:t xml:space="preserve">ipTM &lt; 0.55 — affinity is suppressed from headline panels; the pose is still viewable, clearly marked low-confidence. No silently-weak number reaches a verdict.</w:t>
      </w:r>
    </w:p>
    <w:p>
      <w:pPr>
        <w:spacing w:after="120" w:before="0" w:line="276"/>
      </w:pPr>
      <w:r>
        <w:rPr>
          <w:rFonts w:ascii="Arial" w:cs="Arial" w:eastAsia="Arial" w:hAnsi="Arial"/>
          <w:b w:val="false"/>
          <w:bCs w:val="false"/>
          <w:i/>
          <w:iCs/>
        </w:rPr>
        <w:t xml:space="preserve">Make the thresholds policy-snapshotted</w:t>
      </w:r>
      <w:r>
        <w:t xml:space="preserve">, like the confirmation engine's tolerance bands, so they are auditable and tunable without a code change.</w:t>
      </w:r>
    </w:p>
    <w:p>
      <w:pPr>
        <w:pStyle w:val="Heading2"/>
        <w:spacing w:after="120" w:before="240"/>
      </w:pPr>
      <w:r>
        <w:t xml:space="preserve">3.4  Extend the provenance model</w:t>
      </w:r>
    </w:p>
    <w:p>
      <w:pPr>
        <w:spacing w:after="120" w:before="0" w:line="276"/>
      </w:pPr>
      <w:r>
        <w:t xml:space="preserve">Add the </w:t>
      </w:r>
      <w:r>
        <w:rPr>
          <w:rFonts w:ascii="Arial" w:cs="Arial" w:eastAsia="Arial" w:hAnsi="Arial"/>
          <w:b/>
          <w:bCs/>
          <w:i w:val="false"/>
          <w:iCs w:val="false"/>
        </w:rPr>
        <w:t xml:space="preserve">cofolded</w:t>
      </w:r>
      <w:r>
        <w:t xml:space="preserve"> provenance tier (see 2.3-D). Suggested evidence weight ~0.65, scaled by interface confidence so a high-ipTM complex can approach the </w:t>
      </w:r>
      <w:r>
        <w:rPr>
          <w:rFonts w:ascii="Consolas" w:cs="Consolas" w:eastAsia="Consolas" w:hAnsi="Consolas"/>
          <w:b w:val="false"/>
          <w:bCs w:val="false"/>
          <w:i w:val="false"/>
          <w:iCs w:val="false"/>
        </w:rPr>
        <w:t xml:space="preserve">ml</w:t>
      </w:r>
      <w:r>
        <w:t xml:space="preserve"> tier (0.70) and a marginal one falls toward </w:t>
      </w:r>
      <w:r>
        <w:rPr>
          <w:rFonts w:ascii="Consolas" w:cs="Consolas" w:eastAsia="Consolas" w:hAnsi="Consolas"/>
          <w:b w:val="false"/>
          <w:bCs w:val="false"/>
          <w:i w:val="false"/>
          <w:iCs w:val="false"/>
        </w:rPr>
        <w:t xml:space="preserve">heuristic</w:t>
      </w:r>
      <w:r>
        <w:t xml:space="preserve"> (0.50). The cascade gate (cascadeGate.ts) then tags co-folding outputs automatically and they become eligible to be sealed.</w:t>
      </w:r>
    </w:p>
    <w:p>
      <w:pPr>
        <w:pStyle w:val="Heading2"/>
        <w:spacing w:after="120" w:before="240"/>
      </w:pPr>
      <w:r>
        <w:t xml:space="preserve">3.5  Persist jobs and structures; name the model honestly</w:t>
      </w:r>
    </w:p>
    <w:p>
      <w:pPr>
        <w:pStyle w:val="ListParagraph"/>
        <w:numPr>
          <w:ilvl w:val="0"/>
          <w:numId w:val="2"/>
        </w:numPr>
        <w:spacing w:after="80" w:line="276"/>
      </w:pPr>
      <w:r>
        <w:t xml:space="preserve">Move the job table out of the in-memory dict into SQLite (Drizzle). On AI-service restart, in-flight RunPod jobs can be re-attached by their runpod_job_id instead of orphaned.</w:t>
      </w:r>
    </w:p>
    <w:p>
      <w:pPr>
        <w:pStyle w:val="ListParagraph"/>
        <w:numPr>
          <w:ilvl w:val="0"/>
          <w:numId w:val="2"/>
        </w:numPr>
        <w:spacing w:after="80" w:line="276"/>
      </w:pPr>
      <w:r>
        <w:t xml:space="preserve">Persist predicted structures (CIF/PDB) to object storage keyed by content hash; the L2 record and PreClinicalPackage reference the hash, keeping the seal chain intact.</w:t>
      </w:r>
    </w:p>
    <w:p>
      <w:pPr>
        <w:pStyle w:val="ListParagraph"/>
        <w:numPr>
          <w:ilvl w:val="0"/>
          <w:numId w:val="2"/>
        </w:numPr>
        <w:spacing w:after="80" w:line="276"/>
      </w:pPr>
      <w:r>
        <w:t xml:space="preserve">Record Boltz-2, its exact version and its MIT license in the model card and evidence block (see 2.3-H).</w:t>
      </w:r>
    </w:p>
    <w:p>
      <w:pPr>
        <w:spacing w:after="60"/>
      </w:pPr>
    </w:p>
    <w:tbl>
      <w:tblPr>
        <w:tblW w:type="dxa" w:w="9360"/>
        <w:tblBorders>
          <w:top w:val="single" w:color="D9E2F3" w:sz="1"/>
          <w:left w:val="single" w:color="2E75B6" w:sz="18"/>
          <w:bottom w:val="single" w:color="D9E2F3" w:sz="1"/>
          <w:right w:val="single" w:color="D9E2F3" w:sz="1"/>
          <w:insideH w:val="single" w:color="auto" w:sz="4"/>
          <w:insideV w:val="single" w:color="auto" w:sz="4"/>
        </w:tblBorders>
      </w:tblPr>
      <w:tblGrid>
        <w:gridCol w:w="9360"/>
      </w:tblGrid>
      <w:tr>
        <w:tc>
          <w:tcPr>
            <w:tcW w:type="dxa" w:w="9360"/>
            <w:shd w:fill="D9E2F3" w:val="clear"/>
            <w:tcMar>
              <w:top w:type="dxa" w:w="130"/>
              <w:left w:type="dxa" w:w="200"/>
              <w:bottom w:type="dxa" w:w="130"/>
              <w:right w:type="dxa" w:w="160"/>
            </w:tcMar>
          </w:tcPr>
          <w:p>
            <w:pPr>
              <w:spacing w:after="0" w:before="0" w:line="276"/>
            </w:pPr>
            <w:r>
              <w:rPr>
                <w:rFonts w:ascii="Arial" w:cs="Arial" w:eastAsia="Arial" w:hAnsi="Arial"/>
                <w:b/>
                <w:bCs/>
                <w:i w:val="false"/>
                <w:iCs w:val="false"/>
                <w:color w:val="1F3864"/>
              </w:rPr>
              <w:t xml:space="preserve">Phase 0 exit criteria.  </w:t>
            </w:r>
            <w:r>
              <w:t xml:space="preserve">Running the L2 pipeline on a small molecule with a known target produces a Boltz-2 co-folded pose and a confidence-gated affinity that (a) appears in the L1 binding panel, (b) is cross-checked in Stage 3, (c) feeds Stage 8 dose projection, (d) carries a cofolded provenance tier through the cascade gate, and (e) is named as Boltz-2 in the sealed package. No existing small-molecule behaviour regresses.</w:t>
            </w:r>
          </w:p>
        </w:tc>
      </w:tr>
    </w:tbl>
    <w:p>
      <w:r>
        <w:br w:type="page"/>
      </w:r>
    </w:p>
    <w:p>
      <w:pPr>
        <w:pStyle w:val="Heading1"/>
        <w:spacing w:after="160" w:before="320"/>
      </w:pPr>
      <w:r>
        <w:t xml:space="preserve">4.  Becoming Modality-Aware — The Core Architectural Change</w:t>
      </w:r>
    </w:p>
    <w:p>
      <w:pPr>
        <w:spacing w:after="120" w:before="0" w:line="276"/>
      </w:pPr>
      <w:r>
        <w:t xml:space="preserve">Phase 0 makes Boltz-2 useful. Phases 1–4 make the platform multi-modality. The enabling change for all of them is one piece of architecture: a modality router.</w:t>
      </w:r>
    </w:p>
    <w:p>
      <w:pPr>
        <w:pStyle w:val="Heading2"/>
        <w:spacing w:after="120" w:before="240"/>
      </w:pPr>
      <w:r>
        <w:t xml:space="preserve">4.1  The modality router</w:t>
      </w:r>
    </w:p>
    <w:p>
      <w:pPr>
        <w:spacing w:after="120" w:before="0" w:line="276"/>
      </w:pPr>
      <w:r>
        <w:t xml:space="preserve">Today the platform's input is implicitly “a SMILES string, optionally a UniProt ID.” Replace that with an explicit </w:t>
      </w:r>
      <w:r>
        <w:rPr>
          <w:rFonts w:ascii="Arial" w:cs="Arial" w:eastAsia="Arial" w:hAnsi="Arial"/>
          <w:b/>
          <w:bCs/>
          <w:i w:val="false"/>
          <w:iCs w:val="false"/>
        </w:rPr>
        <w:t xml:space="preserve">modality</w:t>
      </w:r>
      <w:r>
        <w:t xml:space="preserve"> selected (or auto-detected) at input, which then routes the molecule through a modality-specific L1 and L2. Proposed modalities:</w:t>
      </w:r>
    </w:p>
    <w:tbl>
      <w:tblPr>
        <w:tblW w:type="dxa" w:w="9360"/>
        <w:tblBorders>
          <w:top w:val="single" w:color="BFBFBF" w:sz="1"/>
          <w:left w:val="single" w:color="BFBFBF" w:sz="1"/>
          <w:bottom w:val="single" w:color="BFBFBF" w:sz="1"/>
          <w:right w:val="single" w:color="BFBFBF" w:sz="1"/>
          <w:insideH w:val="single" w:color="BFBFBF" w:sz="1"/>
          <w:insideV w:val="single" w:color="BFBFBF" w:sz="1"/>
        </w:tblBorders>
      </w:tblPr>
      <w:tblGrid>
        <w:gridCol w:w="2100"/>
        <w:gridCol w:w="7260"/>
      </w:tblGrid>
      <w:tr>
        <w:trPr>
          <w:tblHeader/>
        </w:trPr>
        <w:tc>
          <w:tcPr>
            <w:tcW w:type="dxa" w:w="2100"/>
            <w:shd w:fill="1F3864" w:val="clear"/>
            <w:tcMar>
              <w:top w:type="dxa" w:w="70"/>
              <w:left w:type="dxa" w:w="110"/>
              <w:bottom w:type="dxa" w:w="70"/>
              <w:right w:type="dxa" w:w="110"/>
            </w:tcMar>
            <w:vAlign w:val="center"/>
          </w:tcPr>
          <w:p>
            <w:pPr>
              <w:spacing w:after="0" w:line="264"/>
            </w:pPr>
            <w:r>
              <w:rPr>
                <w:rFonts w:ascii="Arial" w:cs="Arial" w:eastAsia="Arial" w:hAnsi="Arial"/>
                <w:b/>
                <w:bCs/>
                <w:i w:val="false"/>
                <w:iCs w:val="false"/>
                <w:color w:val="FFFFFF"/>
              </w:rPr>
              <w:t xml:space="preserve">Modality</w:t>
            </w:r>
          </w:p>
        </w:tc>
        <w:tc>
          <w:tcPr>
            <w:tcW w:type="dxa" w:w="7260"/>
            <w:shd w:fill="1F3864" w:val="clear"/>
            <w:tcMar>
              <w:top w:type="dxa" w:w="70"/>
              <w:left w:type="dxa" w:w="110"/>
              <w:bottom w:type="dxa" w:w="70"/>
              <w:right w:type="dxa" w:w="110"/>
            </w:tcMar>
            <w:vAlign w:val="center"/>
          </w:tcPr>
          <w:p>
            <w:pPr>
              <w:spacing w:after="0" w:line="264"/>
            </w:pPr>
            <w:r>
              <w:rPr>
                <w:rFonts w:ascii="Arial" w:cs="Arial" w:eastAsia="Arial" w:hAnsi="Arial"/>
                <w:b/>
                <w:bCs/>
                <w:i w:val="false"/>
                <w:iCs w:val="false"/>
                <w:color w:val="FFFFFF"/>
              </w:rPr>
              <w:t xml:space="preserve">Primary input and what it routes to</w:t>
            </w:r>
          </w:p>
        </w:tc>
      </w:tr>
      <w:tr>
        <w:tc>
          <w:tcPr>
            <w:tcW w:type="dxa" w:w="2100"/>
            <w:shd w:fill="EEF2F8" w:val="clear"/>
            <w:tcMar>
              <w:top w:type="dxa" w:w="70"/>
              <w:left w:type="dxa" w:w="110"/>
              <w:bottom w:type="dxa" w:w="70"/>
              <w:right w:type="dxa" w:w="110"/>
            </w:tcMar>
            <w:vAlign w:val="center"/>
          </w:tcPr>
          <w:p>
            <w:pPr>
              <w:spacing w:after="0" w:line="264"/>
            </w:pPr>
            <w:r>
              <w:t xml:space="preserve">Small molecule</w:t>
            </w:r>
          </w:p>
        </w:tc>
        <w:tc>
          <w:tcPr>
            <w:tcW w:type="dxa" w:w="7260"/>
            <w:shd w:fill="EEF2F8" w:val="clear"/>
            <w:tcMar>
              <w:top w:type="dxa" w:w="70"/>
              <w:left w:type="dxa" w:w="110"/>
              <w:bottom w:type="dxa" w:w="70"/>
              <w:right w:type="dxa" w:w="110"/>
            </w:tcMar>
            <w:vAlign w:val="center"/>
          </w:tcPr>
          <w:p>
            <w:pPr>
              <w:spacing w:after="0" w:line="264"/>
            </w:pPr>
            <w:r>
              <w:t xml:space="preserve">SMILES (+ optional target). The existing L1/L2 pipeline, unchanged. This stays the default and the reference implementation.</w:t>
            </w:r>
          </w:p>
        </w:tc>
      </w:tr>
      <w:tr>
        <w:tc>
          <w:tcPr>
            <w:tcW w:type="dxa" w:w="2100"/>
            <w:shd w:fill="FFFFFF" w:val="clear"/>
            <w:tcMar>
              <w:top w:type="dxa" w:w="70"/>
              <w:left w:type="dxa" w:w="110"/>
              <w:bottom w:type="dxa" w:w="70"/>
              <w:right w:type="dxa" w:w="110"/>
            </w:tcMar>
            <w:vAlign w:val="center"/>
          </w:tcPr>
          <w:p>
            <w:pPr>
              <w:spacing w:after="0" w:line="264"/>
            </w:pPr>
            <w:r>
              <w:t xml:space="preserve">Peptide / cyclic peptide</w:t>
            </w:r>
          </w:p>
        </w:tc>
        <w:tc>
          <w:tcPr>
            <w:tcW w:type="dxa" w:w="7260"/>
            <w:shd w:fill="FFFFFF" w:val="clear"/>
            <w:tcMar>
              <w:top w:type="dxa" w:w="70"/>
              <w:left w:type="dxa" w:w="110"/>
              <w:bottom w:type="dxa" w:w="70"/>
              <w:right w:type="dxa" w:w="110"/>
            </w:tcMar>
            <w:vAlign w:val="center"/>
          </w:tcPr>
          <w:p>
            <w:pPr>
              <w:spacing w:after="0" w:line="264"/>
            </w:pPr>
            <w:r>
              <w:t xml:space="preserve">Amino-acid sequence, cyclisation flag, non-natural residue list. Routes to peptide L1/L2 (Section 5.1).</w:t>
            </w:r>
          </w:p>
        </w:tc>
      </w:tr>
      <w:tr>
        <w:tc>
          <w:tcPr>
            <w:tcW w:type="dxa" w:w="2100"/>
            <w:shd w:fill="EEF2F8" w:val="clear"/>
            <w:tcMar>
              <w:top w:type="dxa" w:w="70"/>
              <w:left w:type="dxa" w:w="110"/>
              <w:bottom w:type="dxa" w:w="70"/>
              <w:right w:type="dxa" w:w="110"/>
            </w:tcMar>
            <w:vAlign w:val="center"/>
          </w:tcPr>
          <w:p>
            <w:pPr>
              <w:spacing w:after="0" w:line="264"/>
            </w:pPr>
            <w:r>
              <w:t xml:space="preserve">Antibody / nanobody / bispecific</w:t>
            </w:r>
          </w:p>
        </w:tc>
        <w:tc>
          <w:tcPr>
            <w:tcW w:type="dxa" w:w="7260"/>
            <w:shd w:fill="EEF2F8" w:val="clear"/>
            <w:tcMar>
              <w:top w:type="dxa" w:w="70"/>
              <w:left w:type="dxa" w:w="110"/>
              <w:bottom w:type="dxa" w:w="70"/>
              <w:right w:type="dxa" w:w="110"/>
            </w:tcMar>
            <w:vAlign w:val="center"/>
          </w:tcPr>
          <w:p>
            <w:pPr>
              <w:spacing w:after="0" w:line="264"/>
            </w:pPr>
            <w:r>
              <w:t xml:space="preserve">VH/VL (or single-domain) sequences, format. Routes to biologics L1/L2 (Section 5.2).</w:t>
            </w:r>
          </w:p>
        </w:tc>
      </w:tr>
      <w:tr>
        <w:tc>
          <w:tcPr>
            <w:tcW w:type="dxa" w:w="2100"/>
            <w:shd w:fill="FFFFFF" w:val="clear"/>
            <w:tcMar>
              <w:top w:type="dxa" w:w="70"/>
              <w:left w:type="dxa" w:w="110"/>
              <w:bottom w:type="dxa" w:w="70"/>
              <w:right w:type="dxa" w:w="110"/>
            </w:tcMar>
            <w:vAlign w:val="center"/>
          </w:tcPr>
          <w:p>
            <w:pPr>
              <w:spacing w:after="0" w:line="264"/>
            </w:pPr>
            <w:r>
              <w:t xml:space="preserve">Oligonucleotide (ASO / siRNA / aptamer)</w:t>
            </w:r>
          </w:p>
        </w:tc>
        <w:tc>
          <w:tcPr>
            <w:tcW w:type="dxa" w:w="7260"/>
            <w:shd w:fill="FFFFFF" w:val="clear"/>
            <w:tcMar>
              <w:top w:type="dxa" w:w="70"/>
              <w:left w:type="dxa" w:w="110"/>
              <w:bottom w:type="dxa" w:w="70"/>
              <w:right w:type="dxa" w:w="110"/>
            </w:tcMar>
            <w:vAlign w:val="center"/>
          </w:tcPr>
          <w:p>
            <w:pPr>
              <w:spacing w:after="0" w:line="264"/>
            </w:pPr>
            <w:r>
              <w:t xml:space="preserve">Nucleotide sequence, chemistry (2'-MOE, PS, LNA, GalNAc). Routes to oligo L1/L2 (Section 5.3).</w:t>
            </w:r>
          </w:p>
        </w:tc>
      </w:tr>
      <w:tr>
        <w:tc>
          <w:tcPr>
            <w:tcW w:type="dxa" w:w="2100"/>
            <w:shd w:fill="EEF2F8" w:val="clear"/>
            <w:tcMar>
              <w:top w:type="dxa" w:w="70"/>
              <w:left w:type="dxa" w:w="110"/>
              <w:bottom w:type="dxa" w:w="70"/>
              <w:right w:type="dxa" w:w="110"/>
            </w:tcMar>
            <w:vAlign w:val="center"/>
          </w:tcPr>
          <w:p>
            <w:pPr>
              <w:spacing w:after="0" w:line="264"/>
            </w:pPr>
            <w:r>
              <w:t xml:space="preserve">PROTAC / molecular glue</w:t>
            </w:r>
          </w:p>
        </w:tc>
        <w:tc>
          <w:tcPr>
            <w:tcW w:type="dxa" w:w="7260"/>
            <w:shd w:fill="EEF2F8" w:val="clear"/>
            <w:tcMar>
              <w:top w:type="dxa" w:w="70"/>
              <w:left w:type="dxa" w:w="110"/>
              <w:bottom w:type="dxa" w:w="70"/>
              <w:right w:type="dxa" w:w="110"/>
            </w:tcMar>
            <w:vAlign w:val="center"/>
          </w:tcPr>
          <w:p>
            <w:pPr>
              <w:spacing w:after="0" w:line="264"/>
            </w:pPr>
            <w:r>
              <w:t xml:space="preserve">Two warheads + linker, or glue SMILES; target + E3 ligase. Routes to bifunctional L1/L2 (Section 5.4).</w:t>
            </w:r>
          </w:p>
        </w:tc>
      </w:tr>
      <w:tr>
        <w:tc>
          <w:tcPr>
            <w:tcW w:type="dxa" w:w="2100"/>
            <w:shd w:fill="FFFFFF" w:val="clear"/>
            <w:tcMar>
              <w:top w:type="dxa" w:w="70"/>
              <w:left w:type="dxa" w:w="110"/>
              <w:bottom w:type="dxa" w:w="70"/>
              <w:right w:type="dxa" w:w="110"/>
            </w:tcMar>
            <w:vAlign w:val="center"/>
          </w:tcPr>
          <w:p>
            <w:pPr>
              <w:spacing w:after="0" w:line="264"/>
            </w:pPr>
            <w:r>
              <w:t xml:space="preserve">Antibody-drug conjugate</w:t>
            </w:r>
          </w:p>
        </w:tc>
        <w:tc>
          <w:tcPr>
            <w:tcW w:type="dxa" w:w="7260"/>
            <w:shd w:fill="FFFFFF" w:val="clear"/>
            <w:tcMar>
              <w:top w:type="dxa" w:w="70"/>
              <w:left w:type="dxa" w:w="110"/>
              <w:bottom w:type="dxa" w:w="70"/>
              <w:right w:type="dxa" w:w="110"/>
            </w:tcMar>
            <w:vAlign w:val="center"/>
          </w:tcPr>
          <w:p>
            <w:pPr>
              <w:spacing w:after="0" w:line="264"/>
            </w:pPr>
            <w:r>
              <w:t xml:space="preserve">Antibody + linker + payload + DAR. Routes to a composite pipeline (Section 5.5).</w:t>
            </w:r>
          </w:p>
        </w:tc>
      </w:tr>
    </w:tbl>
    <w:p>
      <w:pPr>
        <w:spacing w:after="60"/>
      </w:pPr>
    </w:p>
    <w:p>
      <w:pPr>
        <w:spacing w:after="120" w:before="0" w:line="276"/>
      </w:pPr>
      <w:r>
        <w:t xml:space="preserve">The router is a thin dispatch layer, not a rewrite. Small-molecule behaviour is the default branch and must not change. Each new branch reuses everything that is genuinely modality-agnostic — the cascade gate, the confirmation engine, the provenance model, the safety-flag cascade, the seal chain, the PreClinicalPackage envelope — and swaps in modality-specific descriptors, ADMET/safety endpoints and developability rules.</w:t>
      </w:r>
    </w:p>
    <w:p>
      <w:pPr>
        <w:pStyle w:val="Heading2"/>
        <w:spacing w:after="120" w:before="240"/>
      </w:pPr>
      <w:r>
        <w:t xml:space="preserve">4.2  What each layer must branch on</w:t>
      </w:r>
    </w:p>
    <w:p>
      <w:pPr>
        <w:spacing w:after="120" w:before="0" w:line="276"/>
      </w:pPr>
      <w:r>
        <w:rPr>
          <w:rFonts w:ascii="Arial" w:cs="Arial" w:eastAsia="Arial" w:hAnsi="Arial"/>
          <w:b/>
          <w:bCs/>
          <w:i w:val="false"/>
          <w:iCs w:val="false"/>
        </w:rPr>
        <w:t xml:space="preserve">Layer 1 </w:t>
      </w:r>
      <w:r>
        <w:t xml:space="preserve">must branch its descriptor foundation, its ADMET axes, its safety/liability screens and its drug-likeness rules. “Lipinski Rule-of-Five” is meaningless for an antibody; “CDR liability scan” is meaningless for aspirin.</w:t>
      </w:r>
    </w:p>
    <w:p>
      <w:pPr>
        <w:spacing w:after="120" w:before="0" w:line="276"/>
      </w:pPr>
      <w:r>
        <w:rPr>
          <w:rFonts w:ascii="Arial" w:cs="Arial" w:eastAsia="Arial" w:hAnsi="Arial"/>
          <w:b/>
          <w:bCs/>
          <w:i w:val="false"/>
          <w:iCs w:val="false"/>
        </w:rPr>
        <w:t xml:space="preserve">Layer 2 </w:t>
      </w:r>
      <w:r>
        <w:t xml:space="preserve">must branch its binding/affinity method (small-molecule docking vs. antibody–antigen co-folding), its PK model (2-compartment ODE vs. target-mediated disposition with FcRn recycling for antibodies), and its confirmation falsifiers.</w:t>
      </w:r>
    </w:p>
    <w:p>
      <w:pPr>
        <w:spacing w:after="120" w:before="0" w:line="276"/>
      </w:pPr>
      <w:r>
        <w:rPr>
          <w:rFonts w:ascii="Arial" w:cs="Arial" w:eastAsia="Arial" w:hAnsi="Arial"/>
          <w:b/>
          <w:bCs/>
          <w:i w:val="false"/>
          <w:iCs w:val="false"/>
        </w:rPr>
        <w:t xml:space="preserve">What does not branch: </w:t>
      </w:r>
      <w:r>
        <w:t xml:space="preserve">governance. The honesty model, evidence grading, the cascade gate, the falsifier framework, the seal chain and the IND-readiness scaffold are modality-agnostic by design and should be reused verbatim. That is the part of the platform that is already excellent — protect it.</w:t>
      </w:r>
    </w:p>
    <w:p>
      <w:r>
        <w:br w:type="page"/>
      </w:r>
    </w:p>
    <w:p>
      <w:pPr>
        <w:pStyle w:val="Heading1"/>
        <w:spacing w:after="160" w:before="320"/>
      </w:pPr>
      <w:r>
        <w:t xml:space="preserve">5.  Layer 1 &amp; Layer 2, Modality by Modality</w:t>
      </w:r>
    </w:p>
    <w:p>
      <w:pPr>
        <w:spacing w:after="120" w:before="0" w:line="276"/>
      </w:pPr>
      <w:r>
        <w:t xml:space="preserve">Each subsection below lists the L1 additions, the L2 additions and the commercial-safe data/tools needed. Modalities are ordered by build cost — peptides first because you already have a head start, ADCs last because they are composites of everything else.</w:t>
      </w:r>
    </w:p>
    <w:p>
      <w:pPr>
        <w:pStyle w:val="Heading2"/>
        <w:spacing w:after="120" w:before="240"/>
      </w:pPr>
      <w:r>
        <w:t xml:space="preserve">5.1  Peptides &amp; cyclic peptides</w:t>
      </w:r>
    </w:p>
    <w:p>
      <w:pPr>
        <w:spacing w:after="120" w:before="0" w:line="276"/>
      </w:pPr>
      <w:r>
        <w:t xml:space="preserve">The cheapest modality to add and the natural Phase 1. You already ship </w:t>
      </w:r>
      <w:r>
        <w:rPr>
          <w:rFonts w:ascii="Consolas" w:cs="Consolas" w:eastAsia="Consolas" w:hAnsi="Consolas"/>
          <w:b w:val="false"/>
          <w:bCs w:val="false"/>
          <w:i w:val="false"/>
          <w:iCs w:val="false"/>
        </w:rPr>
        <w:t xml:space="preserve">models/peptide_properties.py</w:t>
      </w:r>
      <w:r>
        <w:t xml:space="preserve"> in the AI service, Boltz-2 folds peptides well (with non-natural residues via CCD codes, cyclisation and covalent bonds — all already exposed in cofolding.py), and peptide descriptors are tractable from sequence.</w:t>
      </w:r>
    </w:p>
    <w:p>
      <w:pPr>
        <w:pStyle w:val="Heading3"/>
        <w:spacing w:after="100" w:before="180"/>
      </w:pPr>
      <w:r>
        <w:t xml:space="preserve">Layer 1 additions</w:t>
      </w:r>
    </w:p>
    <w:p>
      <w:pPr>
        <w:pStyle w:val="ListParagraph"/>
        <w:numPr>
          <w:ilvl w:val="0"/>
          <w:numId w:val="2"/>
        </w:numPr>
        <w:spacing w:after="80" w:line="276"/>
      </w:pPr>
      <w:r>
        <w:rPr>
          <w:rFonts w:ascii="Arial" w:cs="Arial" w:eastAsia="Arial" w:hAnsi="Arial"/>
          <w:b/>
          <w:bCs/>
          <w:i w:val="false"/>
          <w:iCs w:val="false"/>
        </w:rPr>
        <w:t xml:space="preserve">Peptide descriptor foundation. </w:t>
      </w:r>
      <w:r>
        <w:t xml:space="preserve">Replace RDKit drug-likeness with sequence-derived descriptors: length, net charge at pH 7.4, isoelectric point, GRAVY hydrophobicity, aliphatic index, Boman (potential protein-interaction) index, amphipathicity / hydrophobic moment, fraction of non-natural and D-residues, and cyclisation type. For small peptides RDKit still applies and should be shown in parallel — the two views are complementary.</w:t>
      </w:r>
    </w:p>
    <w:p>
      <w:pPr>
        <w:pStyle w:val="ListParagraph"/>
        <w:numPr>
          <w:ilvl w:val="0"/>
          <w:numId w:val="2"/>
        </w:numPr>
        <w:spacing w:after="80" w:line="276"/>
      </w:pPr>
      <w:r>
        <w:rPr>
          <w:rFonts w:ascii="Arial" w:cs="Arial" w:eastAsia="Arial" w:hAnsi="Arial"/>
          <w:b/>
          <w:bCs/>
          <w:i w:val="false"/>
          <w:iCs w:val="false"/>
        </w:rPr>
        <w:t xml:space="preserve">Peptide-specific ADMET. </w:t>
      </w:r>
      <w:r>
        <w:t xml:space="preserve">Proteolytic (plasma and GI) stability from protease cleavage-site motifs; renal clearance as a size function; membrane permeability (especially for cyclic / stapled peptides); oral bioavailability (usually poor — flag it honestly); and a half-life-extension assessment (does it need lipidation, PEGylation or an Fc fusion?).</w:t>
      </w:r>
    </w:p>
    <w:p>
      <w:pPr>
        <w:pStyle w:val="ListParagraph"/>
        <w:numPr>
          <w:ilvl w:val="0"/>
          <w:numId w:val="2"/>
        </w:numPr>
        <w:spacing w:after="80" w:line="276"/>
      </w:pPr>
      <w:r>
        <w:rPr>
          <w:rFonts w:ascii="Arial" w:cs="Arial" w:eastAsia="Arial" w:hAnsi="Arial"/>
          <w:b/>
          <w:bCs/>
          <w:i w:val="false"/>
          <w:iCs w:val="false"/>
        </w:rPr>
        <w:t xml:space="preserve">Peptide liabilities. </w:t>
      </w:r>
      <w:r>
        <w:t xml:space="preserve">Oxidation-prone Met/Trp, deamidation motifs (NG, NS), Asp isomerisation (DG, DS), and aggregation-prone stretches. These reuse the same motif-scanning discipline as your existing SMARTS structural-alert engine — just over a sequence.</w:t>
      </w:r>
    </w:p>
    <w:p>
      <w:pPr>
        <w:pStyle w:val="ListParagraph"/>
        <w:numPr>
          <w:ilvl w:val="0"/>
          <w:numId w:val="2"/>
        </w:numPr>
        <w:spacing w:after="80" w:line="276"/>
      </w:pPr>
      <w:r>
        <w:rPr>
          <w:rFonts w:ascii="Arial" w:cs="Arial" w:eastAsia="Arial" w:hAnsi="Arial"/>
          <w:b/>
          <w:bCs/>
          <w:i w:val="false"/>
          <w:iCs w:val="false"/>
        </w:rPr>
        <w:t xml:space="preserve">Immunogenicity screen. </w:t>
      </w:r>
      <w:r>
        <w:t xml:space="preserve">MHC-class-II binding / T-cell epitope content. There is no permissively-licensed MHC-II predictor, so train a lightweight classifier on IEDB public epitope data (commercial-safe path — see Section 6). This is also the foundation for antibody immunogenicity in 5.2.</w:t>
      </w:r>
    </w:p>
    <w:p>
      <w:pPr>
        <w:pStyle w:val="Heading3"/>
        <w:spacing w:after="100" w:before="180"/>
      </w:pPr>
      <w:r>
        <w:t xml:space="preserve">Layer 2 additions</w:t>
      </w:r>
    </w:p>
    <w:p>
      <w:pPr>
        <w:pStyle w:val="ListParagraph"/>
        <w:numPr>
          <w:ilvl w:val="0"/>
          <w:numId w:val="2"/>
        </w:numPr>
        <w:spacing w:after="80" w:line="276"/>
      </w:pPr>
      <w:r>
        <w:t xml:space="preserve">Co-folding of the peptide–target complex via Boltz-2; ipTM as a binding-confidence proxy; the affinity head for peptide binders (carry the “experimental for peptides” warning through — see 2.3-J).</w:t>
      </w:r>
    </w:p>
    <w:p>
      <w:pPr>
        <w:pStyle w:val="ListParagraph"/>
        <w:numPr>
          <w:ilvl w:val="0"/>
          <w:numId w:val="2"/>
        </w:numPr>
        <w:spacing w:after="80" w:line="276"/>
      </w:pPr>
      <w:r>
        <w:t xml:space="preserve">A peptide-aware PK branch — peptides do not obey the small-molecule 2-compartment assumptions; at minimum, gate the existing PBPK off and present a class-based PK estimate with an honest low-confidence label.</w:t>
      </w:r>
    </w:p>
    <w:p>
      <w:pPr>
        <w:pStyle w:val="ListParagraph"/>
        <w:numPr>
          <w:ilvl w:val="0"/>
          <w:numId w:val="2"/>
        </w:numPr>
        <w:spacing w:after="80" w:line="276"/>
      </w:pPr>
      <w:r>
        <w:t xml:space="preserve">Confirmation falsifiers for peptides: e.g. “measured plasma half-life &lt; predicted / 3”, “measured immunogenicity (ADA) incidence &gt; threshold”.</w:t>
      </w:r>
    </w:p>
    <w:p>
      <w:pPr>
        <w:pStyle w:val="Heading2"/>
        <w:spacing w:after="120" w:before="240"/>
      </w:pPr>
      <w:r>
        <w:t xml:space="preserve">5.2  Antibodies, nanobodies &amp; bispecifics</w:t>
      </w:r>
    </w:p>
    <w:p>
      <w:pPr>
        <w:spacing w:after="120" w:before="0" w:line="276"/>
      </w:pPr>
      <w:r>
        <w:t xml:space="preserve">The highest-value modality commercially, and the one where Boltz-2 specifically improved over Boltz-1 (antibody–antigen complexes). This is Phase 2. The L1 concept here is </w:t>
      </w:r>
      <w:r>
        <w:rPr>
          <w:rFonts w:ascii="Arial" w:cs="Arial" w:eastAsia="Arial" w:hAnsi="Arial"/>
          <w:b/>
          <w:bCs/>
          <w:i w:val="false"/>
          <w:iCs w:val="false"/>
        </w:rPr>
        <w:t xml:space="preserve">developability</w:t>
      </w:r>
      <w:r>
        <w:t xml:space="preserve"> — the antibody analogue of small-molecule drug-likeness.</w:t>
      </w:r>
    </w:p>
    <w:p>
      <w:pPr>
        <w:pStyle w:val="Heading3"/>
        <w:spacing w:after="100" w:before="180"/>
      </w:pPr>
      <w:r>
        <w:t xml:space="preserve">Layer 1 additions</w:t>
      </w:r>
    </w:p>
    <w:p>
      <w:pPr>
        <w:pStyle w:val="ListParagraph"/>
        <w:numPr>
          <w:ilvl w:val="0"/>
          <w:numId w:val="2"/>
        </w:numPr>
        <w:spacing w:after="80" w:line="276"/>
      </w:pPr>
      <w:r>
        <w:rPr>
          <w:rFonts w:ascii="Arial" w:cs="Arial" w:eastAsia="Arial" w:hAnsi="Arial"/>
          <w:b/>
          <w:bCs/>
          <w:i w:val="false"/>
          <w:iCs w:val="false"/>
        </w:rPr>
        <w:t xml:space="preserve">Antibody numbering &amp; region identification. </w:t>
      </w:r>
      <w:r>
        <w:t xml:space="preserve">Number the sequence (IMGT / Kabat / Chothia) and extract framework and CDR regions. Use ANARCI (BSD-licensed — commercial-safe). Everything else keys off this.</w:t>
      </w:r>
    </w:p>
    <w:p>
      <w:pPr>
        <w:pStyle w:val="ListParagraph"/>
        <w:numPr>
          <w:ilvl w:val="0"/>
          <w:numId w:val="2"/>
        </w:numPr>
        <w:spacing w:after="80" w:line="276"/>
      </w:pPr>
      <w:r>
        <w:rPr>
          <w:rFonts w:ascii="Arial" w:cs="Arial" w:eastAsia="Arial" w:hAnsi="Arial"/>
          <w:b/>
          <w:bCs/>
          <w:i w:val="false"/>
          <w:iCs w:val="false"/>
        </w:rPr>
        <w:t xml:space="preserve">Developability profile. </w:t>
      </w:r>
      <w:r>
        <w:t xml:space="preserve">Re-implement the Therapeutic-Antibody-Profiler-style metrics from public data: total CDR length, surface hydrophobic patches, positive and negative charge patches, and Fv charge symmetry. Add pI, hydrophobicity and an aggregation-propensity estimate.</w:t>
      </w:r>
    </w:p>
    <w:p>
      <w:pPr>
        <w:pStyle w:val="ListParagraph"/>
        <w:numPr>
          <w:ilvl w:val="0"/>
          <w:numId w:val="2"/>
        </w:numPr>
        <w:spacing w:after="80" w:line="276"/>
      </w:pPr>
      <w:r>
        <w:rPr>
          <w:rFonts w:ascii="Arial" w:cs="Arial" w:eastAsia="Arial" w:hAnsi="Arial"/>
          <w:b/>
          <w:bCs/>
          <w:i w:val="false"/>
          <w:iCs w:val="false"/>
        </w:rPr>
        <w:t xml:space="preserve">CDR liability scan. </w:t>
      </w:r>
      <w:r>
        <w:t xml:space="preserve">Deamidation (NG/NS), isomerisation (DG/DS), oxidation (Met/Trp), N-linked glycosylation sequons (NxS/T), unpaired cysteines, and integrin-binding / fragmentation motifs — weighted higher when they fall inside a CDR.</w:t>
      </w:r>
    </w:p>
    <w:p>
      <w:pPr>
        <w:pStyle w:val="ListParagraph"/>
        <w:numPr>
          <w:ilvl w:val="0"/>
          <w:numId w:val="2"/>
        </w:numPr>
        <w:spacing w:after="80" w:line="276"/>
      </w:pPr>
      <w:r>
        <w:rPr>
          <w:rFonts w:ascii="Arial" w:cs="Arial" w:eastAsia="Arial" w:hAnsi="Arial"/>
          <w:b/>
          <w:bCs/>
          <w:i w:val="false"/>
          <w:iCs w:val="false"/>
        </w:rPr>
        <w:t xml:space="preserve">Humanness / immunogenicity. </w:t>
      </w:r>
      <w:r>
        <w:t xml:space="preserve">Score sequence humanness against natural human antibody repertoires (germline-similarity and repertoire-frequency methods, trainable on OAS data — see Section 6) and estimate T-cell epitope content with the same IEDB-trained MHC-II model from 5.1.</w:t>
      </w:r>
    </w:p>
    <w:p>
      <w:pPr>
        <w:pStyle w:val="ListParagraph"/>
        <w:numPr>
          <w:ilvl w:val="0"/>
          <w:numId w:val="2"/>
        </w:numPr>
        <w:spacing w:after="80" w:line="276"/>
      </w:pPr>
      <w:r>
        <w:rPr>
          <w:rFonts w:ascii="Arial" w:cs="Arial" w:eastAsia="Arial" w:hAnsi="Arial"/>
          <w:b/>
          <w:bCs/>
          <w:i w:val="false"/>
          <w:iCs w:val="false"/>
        </w:rPr>
        <w:t xml:space="preserve">Stability. </w:t>
      </w:r>
      <w:r>
        <w:t xml:space="preserve">A melting-temperature / thermostability estimate; from the Boltz-2 Fv structure you can additionally compute a structure-based spatial aggregation propensity.</w:t>
      </w:r>
    </w:p>
    <w:p>
      <w:pPr>
        <w:pStyle w:val="ListParagraph"/>
        <w:numPr>
          <w:ilvl w:val="0"/>
          <w:numId w:val="2"/>
        </w:numPr>
        <w:spacing w:after="80" w:line="276"/>
      </w:pPr>
      <w:r>
        <w:rPr>
          <w:rFonts w:ascii="Arial" w:cs="Arial" w:eastAsia="Arial" w:hAnsi="Arial"/>
          <w:b/>
          <w:bCs/>
          <w:i w:val="false"/>
          <w:iCs w:val="false"/>
        </w:rPr>
        <w:t xml:space="preserve">Therapeutic precedent. </w:t>
      </w:r>
      <w:r>
        <w:t xml:space="preserve">Match against approved antibody therapeutics (Thera-SAbDab / WHO INN lists) — the biologics analogue of your existing curated “similar drugs” feature.</w:t>
      </w:r>
    </w:p>
    <w:p>
      <w:pPr>
        <w:pStyle w:val="Heading3"/>
        <w:spacing w:after="100" w:before="180"/>
      </w:pPr>
      <w:r>
        <w:t xml:space="preserve">Layer 2 additions</w:t>
      </w:r>
    </w:p>
    <w:p>
      <w:pPr>
        <w:pStyle w:val="ListParagraph"/>
        <w:numPr>
          <w:ilvl w:val="0"/>
          <w:numId w:val="2"/>
        </w:numPr>
        <w:spacing w:after="80" w:line="276"/>
      </w:pPr>
      <w:r>
        <w:t xml:space="preserve">Antibody–antigen co-folding via Boltz-2; ipTM as the binding-confidence metric; epitope/paratope mapping from the interface residues of the predicted complex. This is the biologics replacement for small-molecule docking.</w:t>
      </w:r>
    </w:p>
    <w:p>
      <w:pPr>
        <w:pStyle w:val="ListParagraph"/>
        <w:numPr>
          <w:ilvl w:val="0"/>
          <w:numId w:val="2"/>
        </w:numPr>
        <w:spacing w:after="80" w:line="276"/>
      </w:pPr>
      <w:r>
        <w:rPr>
          <w:rFonts w:ascii="Arial" w:cs="Arial" w:eastAsia="Arial" w:hAnsi="Arial"/>
          <w:b/>
          <w:bCs/>
          <w:i w:val="false"/>
          <w:iCs w:val="false"/>
        </w:rPr>
        <w:t xml:space="preserve">A biologics PK model. </w:t>
      </w:r>
      <w:r>
        <w:t xml:space="preserve">Antibodies need target-mediated drug disposition (TMDD) with FcRn-recycling — half-lives of weeks, not hours. The small-molecule PBPK must be hard-gated off for this modality (Section 7.1) and replaced with a TMDD branch.</w:t>
      </w:r>
    </w:p>
    <w:p>
      <w:pPr>
        <w:pStyle w:val="ListParagraph"/>
        <w:numPr>
          <w:ilvl w:val="0"/>
          <w:numId w:val="2"/>
        </w:numPr>
        <w:spacing w:after="80" w:line="276"/>
      </w:pPr>
      <w:r>
        <w:t xml:space="preserve">Confirmation falsifiers for biologics: measured Tm, SPR/BLI KD vs. predicted, measured ADA incidence, measured aggregation (SEC-HPLC % monomer).</w:t>
      </w:r>
    </w:p>
    <w:p>
      <w:pPr>
        <w:pStyle w:val="Heading2"/>
        <w:spacing w:after="120" w:before="240"/>
      </w:pPr>
      <w:r>
        <w:t xml:space="preserve">5.3  Oligonucleotide therapeutics (ASO, siRNA, aptamers)</w:t>
      </w:r>
    </w:p>
    <w:p>
      <w:pPr>
        <w:spacing w:after="120" w:before="0" w:line="276"/>
      </w:pPr>
      <w:r>
        <w:t xml:space="preserve">Phase 3. Boltz-2 already folds DNA and RNA (exposed in cofolding.py), so the structural side is in place; the chemistry, PK and safety layers are what is missing.</w:t>
      </w:r>
    </w:p>
    <w:p>
      <w:pPr>
        <w:pStyle w:val="Heading3"/>
        <w:spacing w:after="100" w:before="180"/>
      </w:pPr>
      <w:r>
        <w:t xml:space="preserve">Layer 1 additions</w:t>
      </w:r>
    </w:p>
    <w:p>
      <w:pPr>
        <w:pStyle w:val="ListParagraph"/>
        <w:numPr>
          <w:ilvl w:val="0"/>
          <w:numId w:val="2"/>
        </w:numPr>
        <w:spacing w:after="80" w:line="276"/>
      </w:pPr>
      <w:r>
        <w:rPr>
          <w:rFonts w:ascii="Arial" w:cs="Arial" w:eastAsia="Arial" w:hAnsi="Arial"/>
          <w:b/>
          <w:bCs/>
          <w:i w:val="false"/>
          <w:iCs w:val="false"/>
        </w:rPr>
        <w:t xml:space="preserve">Oligo descriptors. </w:t>
      </w:r>
      <w:r>
        <w:t xml:space="preserve">Length, GC content, secondary-structure minimum free energy (use seqfold — MIT-licensed — not ViennaRNA, which is GPL), and the chemical-modification pattern (2'-MOE, 2'-OMe, phosphorothioate backbone, LNA, GalNAc conjugation).</w:t>
      </w:r>
    </w:p>
    <w:p>
      <w:pPr>
        <w:pStyle w:val="ListParagraph"/>
        <w:numPr>
          <w:ilvl w:val="0"/>
          <w:numId w:val="2"/>
        </w:numPr>
        <w:spacing w:after="80" w:line="276"/>
      </w:pPr>
      <w:r>
        <w:rPr>
          <w:rFonts w:ascii="Arial" w:cs="Arial" w:eastAsia="Arial" w:hAnsi="Arial"/>
          <w:b/>
          <w:bCs/>
          <w:i w:val="false"/>
          <w:iCs w:val="false"/>
        </w:rPr>
        <w:t xml:space="preserve">Off-target hybridisation screen. </w:t>
      </w:r>
      <w:r>
        <w:t xml:space="preserve">Search the sequence (and near-complements) against the human transcriptome (Ensembl / RefSeq — open) for unintended pairing. This is the oligo analogue of a selectivity panel.</w:t>
      </w:r>
    </w:p>
    <w:p>
      <w:pPr>
        <w:pStyle w:val="ListParagraph"/>
        <w:numPr>
          <w:ilvl w:val="0"/>
          <w:numId w:val="2"/>
        </w:numPr>
        <w:spacing w:after="80" w:line="276"/>
      </w:pPr>
      <w:r>
        <w:rPr>
          <w:rFonts w:ascii="Arial" w:cs="Arial" w:eastAsia="Arial" w:hAnsi="Arial"/>
          <w:b/>
          <w:bCs/>
          <w:i w:val="false"/>
          <w:iCs w:val="false"/>
        </w:rPr>
        <w:t xml:space="preserve">Oligo safety screen. </w:t>
      </w:r>
      <w:r>
        <w:t xml:space="preserve">Immunostimulation from CpG / TLR9 motifs, sequence-class hepatotoxicity signals (a known ASO class effect), and complement-activation risk for phosphorothioate chemistries.</w:t>
      </w:r>
    </w:p>
    <w:p>
      <w:pPr>
        <w:pStyle w:val="ListParagraph"/>
        <w:numPr>
          <w:ilvl w:val="0"/>
          <w:numId w:val="2"/>
        </w:numPr>
        <w:spacing w:after="80" w:line="276"/>
      </w:pPr>
      <w:r>
        <w:rPr>
          <w:rFonts w:ascii="Arial" w:cs="Arial" w:eastAsia="Arial" w:hAnsi="Arial"/>
          <w:b/>
          <w:bCs/>
          <w:i w:val="false"/>
          <w:iCs w:val="false"/>
        </w:rPr>
        <w:t xml:space="preserve">Class-based ADMET. </w:t>
      </w:r>
      <w:r>
        <w:t xml:space="preserve">Oligo PK is largely class-determined (liver / kidney distribution, long tissue residence). Model it as class-based with honest low-confidence labelling rather than forcing the small-molecule engine.</w:t>
      </w:r>
    </w:p>
    <w:p>
      <w:pPr>
        <w:pStyle w:val="Heading3"/>
        <w:spacing w:after="100" w:before="180"/>
      </w:pPr>
      <w:r>
        <w:t xml:space="preserve">Layer 2 additions</w:t>
      </w:r>
    </w:p>
    <w:p>
      <w:pPr>
        <w:pStyle w:val="ListParagraph"/>
        <w:numPr>
          <w:ilvl w:val="0"/>
          <w:numId w:val="2"/>
        </w:numPr>
        <w:spacing w:after="80" w:line="276"/>
      </w:pPr>
      <w:r>
        <w:t xml:space="preserve">Duplex / aptamer-target co-folding via Boltz-2 for structural plausibility; target-engagement confidence from the predicted structure.</w:t>
      </w:r>
    </w:p>
    <w:p>
      <w:pPr>
        <w:pStyle w:val="ListParagraph"/>
        <w:numPr>
          <w:ilvl w:val="0"/>
          <w:numId w:val="2"/>
        </w:numPr>
        <w:spacing w:after="80" w:line="276"/>
      </w:pPr>
      <w:r>
        <w:t xml:space="preserve">An oligo PK branch (do not reuse the small-molecule PBPK); confirmation falsifiers for knockdown efficacy and off-target hits.</w:t>
      </w:r>
    </w:p>
    <w:p>
      <w:pPr>
        <w:pStyle w:val="Heading2"/>
        <w:spacing w:after="120" w:before="240"/>
      </w:pPr>
      <w:r>
        <w:t xml:space="preserve">5.4  PROTACs, molecular glues &amp; other bifunctionals</w:t>
      </w:r>
    </w:p>
    <w:p>
      <w:pPr>
        <w:spacing w:after="120" w:before="0" w:line="276"/>
      </w:pPr>
      <w:r>
        <w:t xml:space="preserve">Phase 3, alongside oligonucleotides. This is where Boltz-2's ternary-complex capability is the differentiator — few tools model the target–degrader–ligase ternary well.</w:t>
      </w:r>
    </w:p>
    <w:p>
      <w:pPr>
        <w:pStyle w:val="Heading3"/>
        <w:spacing w:after="100" w:before="180"/>
      </w:pPr>
      <w:r>
        <w:t xml:space="preserve">Layer 1 additions</w:t>
      </w:r>
    </w:p>
    <w:p>
      <w:pPr>
        <w:pStyle w:val="ListParagraph"/>
        <w:numPr>
          <w:ilvl w:val="0"/>
          <w:numId w:val="2"/>
        </w:numPr>
        <w:spacing w:after="80" w:line="276"/>
      </w:pPr>
      <w:r>
        <w:t xml:space="preserve">Bifunctional descriptors: treat the molecule as warhead-1 + linker + warhead-2 (or a glue), with linker length / flexibility / composition, and a beyond-Rule-of-5 property profile (PROTACs legitimately break Ro5 — your Lipinski panel must not penalise them as if they were oral small molecules).</w:t>
      </w:r>
    </w:p>
    <w:p>
      <w:pPr>
        <w:pStyle w:val="ListParagraph"/>
        <w:numPr>
          <w:ilvl w:val="0"/>
          <w:numId w:val="2"/>
        </w:numPr>
        <w:spacing w:after="80" w:line="276"/>
      </w:pPr>
      <w:r>
        <w:t xml:space="preserve">Per-warhead ADMET / liability using the existing small-molecule engine on each warhead, then a composite view.</w:t>
      </w:r>
    </w:p>
    <w:p>
      <w:pPr>
        <w:pStyle w:val="Heading3"/>
        <w:spacing w:after="100" w:before="180"/>
      </w:pPr>
      <w:r>
        <w:t xml:space="preserve">Layer 2 additions</w:t>
      </w:r>
    </w:p>
    <w:p>
      <w:pPr>
        <w:pStyle w:val="ListParagraph"/>
        <w:numPr>
          <w:ilvl w:val="0"/>
          <w:numId w:val="2"/>
        </w:numPr>
        <w:spacing w:after="80" w:line="276"/>
      </w:pPr>
      <w:r>
        <w:t xml:space="preserve">Ternary-complex co-folding via Boltz-2 (target + degrader + E3 ligase); ipTM on both interfaces; a cooperativity read-out from the ternary interface confidence.</w:t>
      </w:r>
    </w:p>
    <w:p>
      <w:pPr>
        <w:pStyle w:val="ListParagraph"/>
        <w:numPr>
          <w:ilvl w:val="0"/>
          <w:numId w:val="2"/>
        </w:numPr>
        <w:spacing w:after="80" w:line="276"/>
      </w:pPr>
      <w:r>
        <w:t xml:space="preserve">Affinity for each binary interface where the affinity head applies; degradation-relevant falsifiers (e.g. measured DC50 / Dmax vs. predicted).</w:t>
      </w:r>
    </w:p>
    <w:p>
      <w:pPr>
        <w:pStyle w:val="Heading2"/>
        <w:spacing w:after="120" w:before="240"/>
      </w:pPr>
      <w:r>
        <w:t xml:space="preserve">5.5  Antibody-drug conjugates</w:t>
      </w:r>
    </w:p>
    <w:p>
      <w:pPr>
        <w:spacing w:after="120" w:before="0" w:line="276"/>
      </w:pPr>
      <w:r>
        <w:t xml:space="preserve">Phase 4 — deliberately last, because an ADC is a composite and gets most of its value for free once peptides/antibodies (5.2) and small molecules (existing) are both solid.</w:t>
      </w:r>
    </w:p>
    <w:p>
      <w:pPr>
        <w:pStyle w:val="ListParagraph"/>
        <w:numPr>
          <w:ilvl w:val="0"/>
          <w:numId w:val="2"/>
        </w:numPr>
        <w:spacing w:after="80" w:line="276"/>
      </w:pPr>
      <w:r>
        <w:t xml:space="preserve">Run the antibody developability pipeline (5.2) on the antibody component and the small-molecule pipeline on the payload.</w:t>
      </w:r>
    </w:p>
    <w:p>
      <w:pPr>
        <w:pStyle w:val="ListParagraph"/>
        <w:numPr>
          <w:ilvl w:val="0"/>
          <w:numId w:val="2"/>
        </w:numPr>
        <w:spacing w:after="80" w:line="276"/>
      </w:pPr>
      <w:r>
        <w:t xml:space="preserve">Add ADC-specific scoring: drug-antibody ratio (DAR) and its effect on aggregation and PK, linker stability (cleavable vs. non-cleavable; plasma-stability estimate), and payload-release / bystander-effect assessment.</w:t>
      </w:r>
    </w:p>
    <w:p>
      <w:pPr>
        <w:pStyle w:val="ListParagraph"/>
        <w:numPr>
          <w:ilvl w:val="0"/>
          <w:numId w:val="2"/>
        </w:numPr>
        <w:spacing w:after="80" w:line="276"/>
      </w:pPr>
      <w:r>
        <w:t xml:space="preserve">L2: composite PK (antibody TMDD for the conjugate + small-molecule PK for released payload); falsifiers on linker stability and free-payload levels.</w:t>
      </w:r>
    </w:p>
    <w:p>
      <w:r>
        <w:br w:type="page"/>
      </w:r>
    </w:p>
    <w:p>
      <w:pPr>
        <w:pStyle w:val="Heading1"/>
        <w:spacing w:after="160" w:before="320"/>
      </w:pPr>
      <w:r>
        <w:t xml:space="preserve">6.  Commercial-Safe Models &amp; Data Sources to Add</w:t>
      </w:r>
    </w:p>
    <w:p>
      <w:pPr>
        <w:spacing w:after="120" w:before="0" w:line="276"/>
      </w:pPr>
      <w:r>
        <w:t xml:space="preserve">Per your instruction, every item below is usable in a commercial product — permissive open-source licenses (MIT / Apache 2.0 / BSD) or open data. Items flagged </w:t>
      </w:r>
      <w:r>
        <w:rPr>
          <w:rFonts w:ascii="Arial" w:cs="Arial" w:eastAsia="Arial" w:hAnsi="Arial"/>
          <w:b/>
          <w:bCs/>
          <w:i w:val="false"/>
          <w:iCs w:val="false"/>
          <w:color w:val="B45309"/>
        </w:rPr>
        <w:t xml:space="preserve">VERIFY</w:t>
      </w:r>
      <w:r>
        <w:t xml:space="preserve"> are valuable but need a licence check before you depend on them commercially; a safe re-implementation path is given where relevant. Tools to </w:t>
      </w:r>
      <w:r>
        <w:rPr>
          <w:rFonts w:ascii="Arial" w:cs="Arial" w:eastAsia="Arial" w:hAnsi="Arial"/>
          <w:b/>
          <w:bCs/>
          <w:i w:val="false"/>
          <w:iCs w:val="false"/>
          <w:color w:val="B91C1C"/>
        </w:rPr>
        <w:t xml:space="preserve">AVOID</w:t>
      </w:r>
      <w:r>
        <w:t xml:space="preserve"> are listed at the end with the reason.</w:t>
      </w:r>
    </w:p>
    <w:p>
      <w:pPr>
        <w:pStyle w:val="Heading2"/>
        <w:spacing w:after="120" w:before="240"/>
      </w:pPr>
      <w:r>
        <w:t xml:space="preserve">6.1  Structure &amp; affinity models</w:t>
      </w:r>
    </w:p>
    <w:tbl>
      <w:tblPr>
        <w:tblW w:type="dxa" w:w="9360"/>
        <w:tblBorders>
          <w:top w:val="single" w:color="BFBFBF" w:sz="1"/>
          <w:left w:val="single" w:color="BFBFBF" w:sz="1"/>
          <w:bottom w:val="single" w:color="BFBFBF" w:sz="1"/>
          <w:right w:val="single" w:color="BFBFBF" w:sz="1"/>
          <w:insideH w:val="single" w:color="BFBFBF" w:sz="1"/>
          <w:insideV w:val="single" w:color="BFBFBF" w:sz="1"/>
        </w:tblBorders>
      </w:tblPr>
      <w:tblGrid>
        <w:gridCol w:w="1750"/>
        <w:gridCol w:w="1500"/>
        <w:gridCol w:w="1500"/>
        <w:gridCol w:w="3360"/>
        <w:gridCol w:w="1250"/>
      </w:tblGrid>
      <w:tr>
        <w:trPr>
          <w:tblHeader/>
        </w:trPr>
        <w:tc>
          <w:tcPr>
            <w:tcW w:type="dxa" w:w="1750"/>
            <w:shd w:fill="1F3864" w:val="clear"/>
            <w:tcMar>
              <w:top w:type="dxa" w:w="70"/>
              <w:left w:type="dxa" w:w="110"/>
              <w:bottom w:type="dxa" w:w="70"/>
              <w:right w:type="dxa" w:w="110"/>
            </w:tcMar>
            <w:vAlign w:val="center"/>
          </w:tcPr>
          <w:p>
            <w:pPr>
              <w:spacing w:after="0" w:line="264"/>
            </w:pPr>
            <w:r>
              <w:rPr>
                <w:rFonts w:ascii="Arial" w:cs="Arial" w:eastAsia="Arial" w:hAnsi="Arial"/>
                <w:b/>
                <w:bCs/>
                <w:i w:val="false"/>
                <w:iCs w:val="false"/>
                <w:color w:val="FFFFFF"/>
              </w:rPr>
              <w:t xml:space="preserve">Tool</w:t>
            </w:r>
          </w:p>
        </w:tc>
        <w:tc>
          <w:tcPr>
            <w:tcW w:type="dxa" w:w="1500"/>
            <w:shd w:fill="1F3864" w:val="clear"/>
            <w:tcMar>
              <w:top w:type="dxa" w:w="70"/>
              <w:left w:type="dxa" w:w="110"/>
              <w:bottom w:type="dxa" w:w="70"/>
              <w:right w:type="dxa" w:w="110"/>
            </w:tcMar>
            <w:vAlign w:val="center"/>
          </w:tcPr>
          <w:p>
            <w:pPr>
              <w:spacing w:after="0" w:line="264"/>
            </w:pPr>
            <w:r>
              <w:rPr>
                <w:rFonts w:ascii="Arial" w:cs="Arial" w:eastAsia="Arial" w:hAnsi="Arial"/>
                <w:b/>
                <w:bCs/>
                <w:i w:val="false"/>
                <w:iCs w:val="false"/>
                <w:color w:val="FFFFFF"/>
              </w:rPr>
              <w:t xml:space="preserve">Type</w:t>
            </w:r>
          </w:p>
        </w:tc>
        <w:tc>
          <w:tcPr>
            <w:tcW w:type="dxa" w:w="1500"/>
            <w:shd w:fill="1F3864" w:val="clear"/>
            <w:tcMar>
              <w:top w:type="dxa" w:w="70"/>
              <w:left w:type="dxa" w:w="110"/>
              <w:bottom w:type="dxa" w:w="70"/>
              <w:right w:type="dxa" w:w="110"/>
            </w:tcMar>
            <w:vAlign w:val="center"/>
          </w:tcPr>
          <w:p>
            <w:pPr>
              <w:spacing w:after="0" w:line="264"/>
            </w:pPr>
            <w:r>
              <w:rPr>
                <w:rFonts w:ascii="Arial" w:cs="Arial" w:eastAsia="Arial" w:hAnsi="Arial"/>
                <w:b/>
                <w:bCs/>
                <w:i w:val="false"/>
                <w:iCs w:val="false"/>
                <w:color w:val="FFFFFF"/>
              </w:rPr>
              <w:t xml:space="preserve">License</w:t>
            </w:r>
          </w:p>
        </w:tc>
        <w:tc>
          <w:tcPr>
            <w:tcW w:type="dxa" w:w="3360"/>
            <w:shd w:fill="1F3864" w:val="clear"/>
            <w:tcMar>
              <w:top w:type="dxa" w:w="70"/>
              <w:left w:type="dxa" w:w="110"/>
              <w:bottom w:type="dxa" w:w="70"/>
              <w:right w:type="dxa" w:w="110"/>
            </w:tcMar>
            <w:vAlign w:val="center"/>
          </w:tcPr>
          <w:p>
            <w:pPr>
              <w:spacing w:after="0" w:line="264"/>
            </w:pPr>
            <w:r>
              <w:rPr>
                <w:rFonts w:ascii="Arial" w:cs="Arial" w:eastAsia="Arial" w:hAnsi="Arial"/>
                <w:b/>
                <w:bCs/>
                <w:i w:val="false"/>
                <w:iCs w:val="false"/>
                <w:color w:val="FFFFFF"/>
              </w:rPr>
              <w:t xml:space="preserve">Use in Hakase</w:t>
            </w:r>
          </w:p>
        </w:tc>
        <w:tc>
          <w:tcPr>
            <w:tcW w:type="dxa" w:w="1250"/>
            <w:shd w:fill="1F3864" w:val="clear"/>
            <w:tcMar>
              <w:top w:type="dxa" w:w="70"/>
              <w:left w:type="dxa" w:w="110"/>
              <w:bottom w:type="dxa" w:w="70"/>
              <w:right w:type="dxa" w:w="110"/>
            </w:tcMar>
            <w:vAlign w:val="center"/>
          </w:tcPr>
          <w:p>
            <w:pPr>
              <w:spacing w:after="0" w:line="264"/>
            </w:pPr>
            <w:r>
              <w:rPr>
                <w:rFonts w:ascii="Arial" w:cs="Arial" w:eastAsia="Arial" w:hAnsi="Arial"/>
                <w:b/>
                <w:bCs/>
                <w:i w:val="false"/>
                <w:iCs w:val="false"/>
                <w:color w:val="FFFFFF"/>
              </w:rPr>
              <w:t xml:space="preserve">Layer</w:t>
            </w:r>
          </w:p>
        </w:tc>
      </w:tr>
      <w:tr>
        <w:tc>
          <w:tcPr>
            <w:tcW w:type="dxa" w:w="1750"/>
            <w:shd w:fill="EEF2F8" w:val="clear"/>
            <w:tcMar>
              <w:top w:type="dxa" w:w="70"/>
              <w:left w:type="dxa" w:w="110"/>
              <w:bottom w:type="dxa" w:w="70"/>
              <w:right w:type="dxa" w:w="110"/>
            </w:tcMar>
            <w:vAlign w:val="center"/>
          </w:tcPr>
          <w:p>
            <w:pPr>
              <w:spacing w:after="0" w:line="264"/>
            </w:pPr>
            <w:r>
              <w:rPr>
                <w:rFonts w:ascii="Arial" w:cs="Arial" w:eastAsia="Arial" w:hAnsi="Arial"/>
                <w:b/>
                <w:bCs/>
                <w:i w:val="false"/>
                <w:iCs w:val="false"/>
              </w:rPr>
              <w:t xml:space="preserve">Boltz-2</w:t>
            </w:r>
          </w:p>
        </w:tc>
        <w:tc>
          <w:tcPr>
            <w:tcW w:type="dxa" w:w="1500"/>
            <w:shd w:fill="EEF2F8" w:val="clear"/>
            <w:tcMar>
              <w:top w:type="dxa" w:w="70"/>
              <w:left w:type="dxa" w:w="110"/>
              <w:bottom w:type="dxa" w:w="70"/>
              <w:right w:type="dxa" w:w="110"/>
            </w:tcMar>
            <w:vAlign w:val="center"/>
          </w:tcPr>
          <w:p>
            <w:pPr>
              <w:spacing w:after="0" w:line="264"/>
            </w:pPr>
            <w:r>
              <w:t xml:space="preserve">Co-folding + affinity</w:t>
            </w:r>
          </w:p>
        </w:tc>
        <w:tc>
          <w:tcPr>
            <w:tcW w:type="dxa" w:w="1500"/>
            <w:shd w:fill="EEF2F8" w:val="clear"/>
            <w:tcMar>
              <w:top w:type="dxa" w:w="70"/>
              <w:left w:type="dxa" w:w="110"/>
              <w:bottom w:type="dxa" w:w="70"/>
              <w:right w:type="dxa" w:w="110"/>
            </w:tcMar>
            <w:vAlign w:val="center"/>
          </w:tcPr>
          <w:p>
            <w:pPr>
              <w:spacing w:after="0" w:line="264"/>
            </w:pPr>
            <w:r>
              <w:t xml:space="preserve">MIT-class (permissive)</w:t>
            </w:r>
          </w:p>
        </w:tc>
        <w:tc>
          <w:tcPr>
            <w:tcW w:type="dxa" w:w="3360"/>
            <w:shd w:fill="EEF2F8" w:val="clear"/>
            <w:tcMar>
              <w:top w:type="dxa" w:w="70"/>
              <w:left w:type="dxa" w:w="110"/>
              <w:bottom w:type="dxa" w:w="70"/>
              <w:right w:type="dxa" w:w="110"/>
            </w:tcMar>
            <w:vAlign w:val="center"/>
          </w:tcPr>
          <w:p>
            <w:pPr>
              <w:spacing w:after="0" w:line="264"/>
            </w:pPr>
            <w:r>
              <w:t xml:space="preserve">Already integrated. Primary structural engine for every modality. Phase 0 wires it in.</w:t>
            </w:r>
          </w:p>
        </w:tc>
        <w:tc>
          <w:tcPr>
            <w:tcW w:type="dxa" w:w="1250"/>
            <w:shd w:fill="EEF2F8" w:val="clear"/>
            <w:tcMar>
              <w:top w:type="dxa" w:w="70"/>
              <w:left w:type="dxa" w:w="110"/>
              <w:bottom w:type="dxa" w:w="70"/>
              <w:right w:type="dxa" w:w="110"/>
            </w:tcMar>
            <w:vAlign w:val="center"/>
          </w:tcPr>
          <w:p>
            <w:pPr>
              <w:spacing w:after="0" w:line="264"/>
            </w:pPr>
            <w:r>
              <w:t xml:space="preserve">L1 + L2</w:t>
            </w:r>
          </w:p>
        </w:tc>
      </w:tr>
      <w:tr>
        <w:tc>
          <w:tcPr>
            <w:tcW w:type="dxa" w:w="1750"/>
            <w:shd w:fill="FFFFFF" w:val="clear"/>
            <w:tcMar>
              <w:top w:type="dxa" w:w="70"/>
              <w:left w:type="dxa" w:w="110"/>
              <w:bottom w:type="dxa" w:w="70"/>
              <w:right w:type="dxa" w:w="110"/>
            </w:tcMar>
            <w:vAlign w:val="center"/>
          </w:tcPr>
          <w:p>
            <w:pPr>
              <w:spacing w:after="0" w:line="264"/>
            </w:pPr>
            <w:r>
              <w:t xml:space="preserve">Protenix-v1 (ByteDance)</w:t>
            </w:r>
          </w:p>
        </w:tc>
        <w:tc>
          <w:tcPr>
            <w:tcW w:type="dxa" w:w="1500"/>
            <w:shd w:fill="FFFFFF" w:val="clear"/>
            <w:tcMar>
              <w:top w:type="dxa" w:w="70"/>
              <w:left w:type="dxa" w:w="110"/>
              <w:bottom w:type="dxa" w:w="70"/>
              <w:right w:type="dxa" w:w="110"/>
            </w:tcMar>
            <w:vAlign w:val="center"/>
          </w:tcPr>
          <w:p>
            <w:pPr>
              <w:spacing w:after="0" w:line="264"/>
            </w:pPr>
            <w:r>
              <w:t xml:space="preserve">AF3-class co-folding</w:t>
            </w:r>
          </w:p>
        </w:tc>
        <w:tc>
          <w:tcPr>
            <w:tcW w:type="dxa" w:w="1500"/>
            <w:shd w:fill="FFFFFF" w:val="clear"/>
            <w:tcMar>
              <w:top w:type="dxa" w:w="70"/>
              <w:left w:type="dxa" w:w="110"/>
              <w:bottom w:type="dxa" w:w="70"/>
              <w:right w:type="dxa" w:w="110"/>
            </w:tcMar>
            <w:vAlign w:val="center"/>
          </w:tcPr>
          <w:p>
            <w:pPr>
              <w:spacing w:after="0" w:line="264"/>
            </w:pPr>
            <w:r>
              <w:t xml:space="preserve">Apache 2.0</w:t>
            </w:r>
          </w:p>
        </w:tc>
        <w:tc>
          <w:tcPr>
            <w:tcW w:type="dxa" w:w="3360"/>
            <w:shd w:fill="FFFFFF" w:val="clear"/>
            <w:tcMar>
              <w:top w:type="dxa" w:w="70"/>
              <w:left w:type="dxa" w:w="110"/>
              <w:bottom w:type="dxa" w:w="70"/>
              <w:right w:type="dxa" w:w="110"/>
            </w:tcMar>
            <w:vAlign w:val="center"/>
          </w:tcPr>
          <w:p>
            <w:pPr>
              <w:spacing w:after="0" w:line="264"/>
            </w:pPr>
            <w:r>
              <w:t xml:space="preserve">Optional second-opinion structure for a consensus check on hard targets (antibody complexes).</w:t>
            </w:r>
          </w:p>
        </w:tc>
        <w:tc>
          <w:tcPr>
            <w:tcW w:type="dxa" w:w="1250"/>
            <w:shd w:fill="FFFFFF" w:val="clear"/>
            <w:tcMar>
              <w:top w:type="dxa" w:w="70"/>
              <w:left w:type="dxa" w:w="110"/>
              <w:bottom w:type="dxa" w:w="70"/>
              <w:right w:type="dxa" w:w="110"/>
            </w:tcMar>
            <w:vAlign w:val="center"/>
          </w:tcPr>
          <w:p>
            <w:pPr>
              <w:spacing w:after="0" w:line="264"/>
            </w:pPr>
            <w:r>
              <w:t xml:space="preserve">L2</w:t>
            </w:r>
          </w:p>
        </w:tc>
      </w:tr>
      <w:tr>
        <w:tc>
          <w:tcPr>
            <w:tcW w:type="dxa" w:w="1750"/>
            <w:shd w:fill="EEF2F8" w:val="clear"/>
            <w:tcMar>
              <w:top w:type="dxa" w:w="70"/>
              <w:left w:type="dxa" w:w="110"/>
              <w:bottom w:type="dxa" w:w="70"/>
              <w:right w:type="dxa" w:w="110"/>
            </w:tcMar>
            <w:vAlign w:val="center"/>
          </w:tcPr>
          <w:p>
            <w:pPr>
              <w:spacing w:after="0" w:line="264"/>
            </w:pPr>
            <w:r>
              <w:t xml:space="preserve">OpenFold3</w:t>
            </w:r>
          </w:p>
        </w:tc>
        <w:tc>
          <w:tcPr>
            <w:tcW w:type="dxa" w:w="1500"/>
            <w:shd w:fill="EEF2F8" w:val="clear"/>
            <w:tcMar>
              <w:top w:type="dxa" w:w="70"/>
              <w:left w:type="dxa" w:w="110"/>
              <w:bottom w:type="dxa" w:w="70"/>
              <w:right w:type="dxa" w:w="110"/>
            </w:tcMar>
            <w:vAlign w:val="center"/>
          </w:tcPr>
          <w:p>
            <w:pPr>
              <w:spacing w:after="0" w:line="264"/>
            </w:pPr>
            <w:r>
              <w:t xml:space="preserve">AF3-class co-folding</w:t>
            </w:r>
          </w:p>
        </w:tc>
        <w:tc>
          <w:tcPr>
            <w:tcW w:type="dxa" w:w="1500"/>
            <w:shd w:fill="EEF2F8" w:val="clear"/>
            <w:tcMar>
              <w:top w:type="dxa" w:w="70"/>
              <w:left w:type="dxa" w:w="110"/>
              <w:bottom w:type="dxa" w:w="70"/>
              <w:right w:type="dxa" w:w="110"/>
            </w:tcMar>
            <w:vAlign w:val="center"/>
          </w:tcPr>
          <w:p>
            <w:pPr>
              <w:spacing w:after="0" w:line="264"/>
            </w:pPr>
            <w:r>
              <w:t xml:space="preserve">Apache 2.0</w:t>
            </w:r>
          </w:p>
        </w:tc>
        <w:tc>
          <w:tcPr>
            <w:tcW w:type="dxa" w:w="3360"/>
            <w:shd w:fill="EEF2F8" w:val="clear"/>
            <w:tcMar>
              <w:top w:type="dxa" w:w="70"/>
              <w:left w:type="dxa" w:w="110"/>
              <w:bottom w:type="dxa" w:w="70"/>
              <w:right w:type="dxa" w:w="110"/>
            </w:tcMar>
            <w:vAlign w:val="center"/>
          </w:tcPr>
          <w:p>
            <w:pPr>
              <w:spacing w:after="0" w:line="264"/>
            </w:pPr>
            <w:r>
              <w:t xml:space="preserve">Alternative / consensus co-folding engine; useful redundancy if a Boltz run is low-confidence.</w:t>
            </w:r>
          </w:p>
        </w:tc>
        <w:tc>
          <w:tcPr>
            <w:tcW w:type="dxa" w:w="1250"/>
            <w:shd w:fill="EEF2F8" w:val="clear"/>
            <w:tcMar>
              <w:top w:type="dxa" w:w="70"/>
              <w:left w:type="dxa" w:w="110"/>
              <w:bottom w:type="dxa" w:w="70"/>
              <w:right w:type="dxa" w:w="110"/>
            </w:tcMar>
            <w:vAlign w:val="center"/>
          </w:tcPr>
          <w:p>
            <w:pPr>
              <w:spacing w:after="0" w:line="264"/>
            </w:pPr>
            <w:r>
              <w:t xml:space="preserve">L2</w:t>
            </w:r>
          </w:p>
        </w:tc>
      </w:tr>
      <w:tr>
        <w:tc>
          <w:tcPr>
            <w:tcW w:type="dxa" w:w="1750"/>
            <w:shd w:fill="FFFFFF" w:val="clear"/>
            <w:tcMar>
              <w:top w:type="dxa" w:w="70"/>
              <w:left w:type="dxa" w:w="110"/>
              <w:bottom w:type="dxa" w:w="70"/>
              <w:right w:type="dxa" w:w="110"/>
            </w:tcMar>
            <w:vAlign w:val="center"/>
          </w:tcPr>
          <w:p>
            <w:pPr>
              <w:spacing w:after="0" w:line="264"/>
            </w:pPr>
            <w:r>
              <w:t xml:space="preserve">ESMFold + ESM-2</w:t>
            </w:r>
          </w:p>
        </w:tc>
        <w:tc>
          <w:tcPr>
            <w:tcW w:type="dxa" w:w="1500"/>
            <w:shd w:fill="FFFFFF" w:val="clear"/>
            <w:tcMar>
              <w:top w:type="dxa" w:w="70"/>
              <w:left w:type="dxa" w:w="110"/>
              <w:bottom w:type="dxa" w:w="70"/>
              <w:right w:type="dxa" w:w="110"/>
            </w:tcMar>
            <w:vAlign w:val="center"/>
          </w:tcPr>
          <w:p>
            <w:pPr>
              <w:spacing w:after="0" w:line="264"/>
            </w:pPr>
            <w:r>
              <w:t xml:space="preserve">Protein folding + embeddings</w:t>
            </w:r>
          </w:p>
        </w:tc>
        <w:tc>
          <w:tcPr>
            <w:tcW w:type="dxa" w:w="1500"/>
            <w:shd w:fill="FFFFFF" w:val="clear"/>
            <w:tcMar>
              <w:top w:type="dxa" w:w="70"/>
              <w:left w:type="dxa" w:w="110"/>
              <w:bottom w:type="dxa" w:w="70"/>
              <w:right w:type="dxa" w:w="110"/>
            </w:tcMar>
            <w:vAlign w:val="center"/>
          </w:tcPr>
          <w:p>
            <w:pPr>
              <w:spacing w:after="0" w:line="264"/>
            </w:pPr>
            <w:r>
              <w:t xml:space="preserve">MIT</w:t>
            </w:r>
          </w:p>
        </w:tc>
        <w:tc>
          <w:tcPr>
            <w:tcW w:type="dxa" w:w="3360"/>
            <w:shd w:fill="FFFFFF" w:val="clear"/>
            <w:tcMar>
              <w:top w:type="dxa" w:w="70"/>
              <w:left w:type="dxa" w:w="110"/>
              <w:bottom w:type="dxa" w:w="70"/>
              <w:right w:type="dxa" w:w="110"/>
            </w:tcMar>
            <w:vAlign w:val="center"/>
          </w:tcPr>
          <w:p>
            <w:pPr>
              <w:spacing w:after="0" w:line="264"/>
            </w:pPr>
            <w:r>
              <w:t xml:space="preserve">Fast single-sequence apo-protein structures (no MSA — privacy-safe) and target embeddings. ESM-2 already powers Binding-ML / Protein-ML.</w:t>
            </w:r>
          </w:p>
        </w:tc>
        <w:tc>
          <w:tcPr>
            <w:tcW w:type="dxa" w:w="1250"/>
            <w:shd w:fill="FFFFFF" w:val="clear"/>
            <w:tcMar>
              <w:top w:type="dxa" w:w="70"/>
              <w:left w:type="dxa" w:w="110"/>
              <w:bottom w:type="dxa" w:w="70"/>
              <w:right w:type="dxa" w:w="110"/>
            </w:tcMar>
            <w:vAlign w:val="center"/>
          </w:tcPr>
          <w:p>
            <w:pPr>
              <w:spacing w:after="0" w:line="264"/>
            </w:pPr>
            <w:r>
              <w:t xml:space="preserve">L1 + L2</w:t>
            </w:r>
          </w:p>
        </w:tc>
      </w:tr>
      <w:tr>
        <w:tc>
          <w:tcPr>
            <w:tcW w:type="dxa" w:w="1750"/>
            <w:shd w:fill="EEF2F8" w:val="clear"/>
            <w:tcMar>
              <w:top w:type="dxa" w:w="70"/>
              <w:left w:type="dxa" w:w="110"/>
              <w:bottom w:type="dxa" w:w="70"/>
              <w:right w:type="dxa" w:w="110"/>
            </w:tcMar>
            <w:vAlign w:val="center"/>
          </w:tcPr>
          <w:p>
            <w:pPr>
              <w:spacing w:after="0" w:line="264"/>
            </w:pPr>
            <w:r>
              <w:t xml:space="preserve">DiffDock-L</w:t>
            </w:r>
          </w:p>
        </w:tc>
        <w:tc>
          <w:tcPr>
            <w:tcW w:type="dxa" w:w="1500"/>
            <w:shd w:fill="EEF2F8" w:val="clear"/>
            <w:tcMar>
              <w:top w:type="dxa" w:w="70"/>
              <w:left w:type="dxa" w:w="110"/>
              <w:bottom w:type="dxa" w:w="70"/>
              <w:right w:type="dxa" w:w="110"/>
            </w:tcMar>
            <w:vAlign w:val="center"/>
          </w:tcPr>
          <w:p>
            <w:pPr>
              <w:spacing w:after="0" w:line="264"/>
            </w:pPr>
            <w:r>
              <w:t xml:space="preserve">ML small-molecule docking</w:t>
            </w:r>
          </w:p>
        </w:tc>
        <w:tc>
          <w:tcPr>
            <w:tcW w:type="dxa" w:w="1500"/>
            <w:shd w:fill="EEF2F8" w:val="clear"/>
            <w:tcMar>
              <w:top w:type="dxa" w:w="70"/>
              <w:left w:type="dxa" w:w="110"/>
              <w:bottom w:type="dxa" w:w="70"/>
              <w:right w:type="dxa" w:w="110"/>
            </w:tcMar>
            <w:vAlign w:val="center"/>
          </w:tcPr>
          <w:p>
            <w:pPr>
              <w:spacing w:after="0" w:line="264"/>
            </w:pPr>
            <w:r>
              <w:t xml:space="preserve">MIT</w:t>
            </w:r>
          </w:p>
        </w:tc>
        <w:tc>
          <w:tcPr>
            <w:tcW w:type="dxa" w:w="3360"/>
            <w:shd w:fill="EEF2F8" w:val="clear"/>
            <w:tcMar>
              <w:top w:type="dxa" w:w="70"/>
              <w:left w:type="dxa" w:w="110"/>
              <w:bottom w:type="dxa" w:w="70"/>
              <w:right w:type="dxa" w:w="110"/>
            </w:tcMar>
            <w:vAlign w:val="center"/>
          </w:tcPr>
          <w:p>
            <w:pPr>
              <w:spacing w:after="0" w:line="264"/>
            </w:pPr>
            <w:r>
              <w:t xml:space="preserve">ML docking poses as a complement to AutoDock Vina in L2 Stage 2.</w:t>
            </w:r>
          </w:p>
        </w:tc>
        <w:tc>
          <w:tcPr>
            <w:tcW w:type="dxa" w:w="1250"/>
            <w:shd w:fill="EEF2F8" w:val="clear"/>
            <w:tcMar>
              <w:top w:type="dxa" w:w="70"/>
              <w:left w:type="dxa" w:w="110"/>
              <w:bottom w:type="dxa" w:w="70"/>
              <w:right w:type="dxa" w:w="110"/>
            </w:tcMar>
            <w:vAlign w:val="center"/>
          </w:tcPr>
          <w:p>
            <w:pPr>
              <w:spacing w:after="0" w:line="264"/>
            </w:pPr>
            <w:r>
              <w:t xml:space="preserve">L2</w:t>
            </w:r>
          </w:p>
        </w:tc>
      </w:tr>
      <w:tr>
        <w:tc>
          <w:tcPr>
            <w:tcW w:type="dxa" w:w="1750"/>
            <w:shd w:fill="FFFFFF" w:val="clear"/>
            <w:tcMar>
              <w:top w:type="dxa" w:w="70"/>
              <w:left w:type="dxa" w:w="110"/>
              <w:bottom w:type="dxa" w:w="70"/>
              <w:right w:type="dxa" w:w="110"/>
            </w:tcMar>
            <w:vAlign w:val="center"/>
          </w:tcPr>
          <w:p>
            <w:pPr>
              <w:spacing w:after="0" w:line="264"/>
            </w:pPr>
            <w:r>
              <w:t xml:space="preserve">RDKit</w:t>
            </w:r>
          </w:p>
        </w:tc>
        <w:tc>
          <w:tcPr>
            <w:tcW w:type="dxa" w:w="1500"/>
            <w:shd w:fill="FFFFFF" w:val="clear"/>
            <w:tcMar>
              <w:top w:type="dxa" w:w="70"/>
              <w:left w:type="dxa" w:w="110"/>
              <w:bottom w:type="dxa" w:w="70"/>
              <w:right w:type="dxa" w:w="110"/>
            </w:tcMar>
            <w:vAlign w:val="center"/>
          </w:tcPr>
          <w:p>
            <w:pPr>
              <w:spacing w:after="0" w:line="264"/>
            </w:pPr>
            <w:r>
              <w:t xml:space="preserve">Cheminformatics</w:t>
            </w:r>
          </w:p>
        </w:tc>
        <w:tc>
          <w:tcPr>
            <w:tcW w:type="dxa" w:w="1500"/>
            <w:shd w:fill="FFFFFF" w:val="clear"/>
            <w:tcMar>
              <w:top w:type="dxa" w:w="70"/>
              <w:left w:type="dxa" w:w="110"/>
              <w:bottom w:type="dxa" w:w="70"/>
              <w:right w:type="dxa" w:w="110"/>
            </w:tcMar>
            <w:vAlign w:val="center"/>
          </w:tcPr>
          <w:p>
            <w:pPr>
              <w:spacing w:after="0" w:line="264"/>
            </w:pPr>
            <w:r>
              <w:t xml:space="preserve">BSD-3</w:t>
            </w:r>
          </w:p>
        </w:tc>
        <w:tc>
          <w:tcPr>
            <w:tcW w:type="dxa" w:w="3360"/>
            <w:shd w:fill="FFFFFF" w:val="clear"/>
            <w:tcMar>
              <w:top w:type="dxa" w:w="70"/>
              <w:left w:type="dxa" w:w="110"/>
              <w:bottom w:type="dxa" w:w="70"/>
              <w:right w:type="dxa" w:w="110"/>
            </w:tcMar>
            <w:vAlign w:val="center"/>
          </w:tcPr>
          <w:p>
            <w:pPr>
              <w:spacing w:after="0" w:line="264"/>
            </w:pPr>
            <w:r>
              <w:t xml:space="preserve">Already core. Extend usage to per-warhead PROTAC and ADC-payload analysis.</w:t>
            </w:r>
          </w:p>
        </w:tc>
        <w:tc>
          <w:tcPr>
            <w:tcW w:type="dxa" w:w="1250"/>
            <w:shd w:fill="FFFFFF" w:val="clear"/>
            <w:tcMar>
              <w:top w:type="dxa" w:w="70"/>
              <w:left w:type="dxa" w:w="110"/>
              <w:bottom w:type="dxa" w:w="70"/>
              <w:right w:type="dxa" w:w="110"/>
            </w:tcMar>
            <w:vAlign w:val="center"/>
          </w:tcPr>
          <w:p>
            <w:pPr>
              <w:spacing w:after="0" w:line="264"/>
            </w:pPr>
            <w:r>
              <w:t xml:space="preserve">L1</w:t>
            </w:r>
          </w:p>
        </w:tc>
      </w:tr>
    </w:tbl>
    <w:p>
      <w:pPr>
        <w:pStyle w:val="Heading2"/>
        <w:spacing w:after="120" w:before="240"/>
      </w:pPr>
      <w:r>
        <w:t xml:space="preserve">6.2  Biologics &amp; sequence tools</w:t>
      </w:r>
    </w:p>
    <w:tbl>
      <w:tblPr>
        <w:tblW w:type="dxa" w:w="9360"/>
        <w:tblBorders>
          <w:top w:val="single" w:color="BFBFBF" w:sz="1"/>
          <w:left w:val="single" w:color="BFBFBF" w:sz="1"/>
          <w:bottom w:val="single" w:color="BFBFBF" w:sz="1"/>
          <w:right w:val="single" w:color="BFBFBF" w:sz="1"/>
          <w:insideH w:val="single" w:color="BFBFBF" w:sz="1"/>
          <w:insideV w:val="single" w:color="BFBFBF" w:sz="1"/>
        </w:tblBorders>
      </w:tblPr>
      <w:tblGrid>
        <w:gridCol w:w="1750"/>
        <w:gridCol w:w="1500"/>
        <w:gridCol w:w="1500"/>
        <w:gridCol w:w="3360"/>
        <w:gridCol w:w="1250"/>
      </w:tblGrid>
      <w:tr>
        <w:trPr>
          <w:tblHeader/>
        </w:trPr>
        <w:tc>
          <w:tcPr>
            <w:tcW w:type="dxa" w:w="1750"/>
            <w:shd w:fill="1F3864" w:val="clear"/>
            <w:tcMar>
              <w:top w:type="dxa" w:w="70"/>
              <w:left w:type="dxa" w:w="110"/>
              <w:bottom w:type="dxa" w:w="70"/>
              <w:right w:type="dxa" w:w="110"/>
            </w:tcMar>
            <w:vAlign w:val="center"/>
          </w:tcPr>
          <w:p>
            <w:pPr>
              <w:spacing w:after="0" w:line="264"/>
            </w:pPr>
            <w:r>
              <w:rPr>
                <w:rFonts w:ascii="Arial" w:cs="Arial" w:eastAsia="Arial" w:hAnsi="Arial"/>
                <w:b/>
                <w:bCs/>
                <w:i w:val="false"/>
                <w:iCs w:val="false"/>
                <w:color w:val="FFFFFF"/>
              </w:rPr>
              <w:t xml:space="preserve">Tool</w:t>
            </w:r>
          </w:p>
        </w:tc>
        <w:tc>
          <w:tcPr>
            <w:tcW w:type="dxa" w:w="1500"/>
            <w:shd w:fill="1F3864" w:val="clear"/>
            <w:tcMar>
              <w:top w:type="dxa" w:w="70"/>
              <w:left w:type="dxa" w:w="110"/>
              <w:bottom w:type="dxa" w:w="70"/>
              <w:right w:type="dxa" w:w="110"/>
            </w:tcMar>
            <w:vAlign w:val="center"/>
          </w:tcPr>
          <w:p>
            <w:pPr>
              <w:spacing w:after="0" w:line="264"/>
            </w:pPr>
            <w:r>
              <w:rPr>
                <w:rFonts w:ascii="Arial" w:cs="Arial" w:eastAsia="Arial" w:hAnsi="Arial"/>
                <w:b/>
                <w:bCs/>
                <w:i w:val="false"/>
                <w:iCs w:val="false"/>
                <w:color w:val="FFFFFF"/>
              </w:rPr>
              <w:t xml:space="preserve">Type</w:t>
            </w:r>
          </w:p>
        </w:tc>
        <w:tc>
          <w:tcPr>
            <w:tcW w:type="dxa" w:w="1500"/>
            <w:shd w:fill="1F3864" w:val="clear"/>
            <w:tcMar>
              <w:top w:type="dxa" w:w="70"/>
              <w:left w:type="dxa" w:w="110"/>
              <w:bottom w:type="dxa" w:w="70"/>
              <w:right w:type="dxa" w:w="110"/>
            </w:tcMar>
            <w:vAlign w:val="center"/>
          </w:tcPr>
          <w:p>
            <w:pPr>
              <w:spacing w:after="0" w:line="264"/>
            </w:pPr>
            <w:r>
              <w:rPr>
                <w:rFonts w:ascii="Arial" w:cs="Arial" w:eastAsia="Arial" w:hAnsi="Arial"/>
                <w:b/>
                <w:bCs/>
                <w:i w:val="false"/>
                <w:iCs w:val="false"/>
                <w:color w:val="FFFFFF"/>
              </w:rPr>
              <w:t xml:space="preserve">License</w:t>
            </w:r>
          </w:p>
        </w:tc>
        <w:tc>
          <w:tcPr>
            <w:tcW w:type="dxa" w:w="3360"/>
            <w:shd w:fill="1F3864" w:val="clear"/>
            <w:tcMar>
              <w:top w:type="dxa" w:w="70"/>
              <w:left w:type="dxa" w:w="110"/>
              <w:bottom w:type="dxa" w:w="70"/>
              <w:right w:type="dxa" w:w="110"/>
            </w:tcMar>
            <w:vAlign w:val="center"/>
          </w:tcPr>
          <w:p>
            <w:pPr>
              <w:spacing w:after="0" w:line="264"/>
            </w:pPr>
            <w:r>
              <w:rPr>
                <w:rFonts w:ascii="Arial" w:cs="Arial" w:eastAsia="Arial" w:hAnsi="Arial"/>
                <w:b/>
                <w:bCs/>
                <w:i w:val="false"/>
                <w:iCs w:val="false"/>
                <w:color w:val="FFFFFF"/>
              </w:rPr>
              <w:t xml:space="preserve">Use in Hakase</w:t>
            </w:r>
          </w:p>
        </w:tc>
        <w:tc>
          <w:tcPr>
            <w:tcW w:type="dxa" w:w="1250"/>
            <w:shd w:fill="1F3864" w:val="clear"/>
            <w:tcMar>
              <w:top w:type="dxa" w:w="70"/>
              <w:left w:type="dxa" w:w="110"/>
              <w:bottom w:type="dxa" w:w="70"/>
              <w:right w:type="dxa" w:w="110"/>
            </w:tcMar>
            <w:vAlign w:val="center"/>
          </w:tcPr>
          <w:p>
            <w:pPr>
              <w:spacing w:after="0" w:line="264"/>
            </w:pPr>
            <w:r>
              <w:rPr>
                <w:rFonts w:ascii="Arial" w:cs="Arial" w:eastAsia="Arial" w:hAnsi="Arial"/>
                <w:b/>
                <w:bCs/>
                <w:i w:val="false"/>
                <w:iCs w:val="false"/>
                <w:color w:val="FFFFFF"/>
              </w:rPr>
              <w:t xml:space="preserve">Layer</w:t>
            </w:r>
          </w:p>
        </w:tc>
      </w:tr>
      <w:tr>
        <w:tc>
          <w:tcPr>
            <w:tcW w:type="dxa" w:w="1750"/>
            <w:shd w:fill="EEF2F8" w:val="clear"/>
            <w:tcMar>
              <w:top w:type="dxa" w:w="70"/>
              <w:left w:type="dxa" w:w="110"/>
              <w:bottom w:type="dxa" w:w="70"/>
              <w:right w:type="dxa" w:w="110"/>
            </w:tcMar>
            <w:vAlign w:val="center"/>
          </w:tcPr>
          <w:p>
            <w:pPr>
              <w:spacing w:after="0" w:line="264"/>
            </w:pPr>
            <w:r>
              <w:rPr>
                <w:rFonts w:ascii="Arial" w:cs="Arial" w:eastAsia="Arial" w:hAnsi="Arial"/>
                <w:b/>
                <w:bCs/>
                <w:i w:val="false"/>
                <w:iCs w:val="false"/>
              </w:rPr>
              <w:t xml:space="preserve">ANARCI</w:t>
            </w:r>
          </w:p>
        </w:tc>
        <w:tc>
          <w:tcPr>
            <w:tcW w:type="dxa" w:w="1500"/>
            <w:shd w:fill="EEF2F8" w:val="clear"/>
            <w:tcMar>
              <w:top w:type="dxa" w:w="70"/>
              <w:left w:type="dxa" w:w="110"/>
              <w:bottom w:type="dxa" w:w="70"/>
              <w:right w:type="dxa" w:w="110"/>
            </w:tcMar>
            <w:vAlign w:val="center"/>
          </w:tcPr>
          <w:p>
            <w:pPr>
              <w:spacing w:after="0" w:line="264"/>
            </w:pPr>
            <w:r>
              <w:t xml:space="preserve">Antibody numbering</w:t>
            </w:r>
          </w:p>
        </w:tc>
        <w:tc>
          <w:tcPr>
            <w:tcW w:type="dxa" w:w="1500"/>
            <w:shd w:fill="EEF2F8" w:val="clear"/>
            <w:tcMar>
              <w:top w:type="dxa" w:w="70"/>
              <w:left w:type="dxa" w:w="110"/>
              <w:bottom w:type="dxa" w:w="70"/>
              <w:right w:type="dxa" w:w="110"/>
            </w:tcMar>
            <w:vAlign w:val="center"/>
          </w:tcPr>
          <w:p>
            <w:pPr>
              <w:spacing w:after="0" w:line="264"/>
            </w:pPr>
            <w:r>
              <w:t xml:space="preserve">BSD-3</w:t>
            </w:r>
          </w:p>
        </w:tc>
        <w:tc>
          <w:tcPr>
            <w:tcW w:type="dxa" w:w="3360"/>
            <w:shd w:fill="EEF2F8" w:val="clear"/>
            <w:tcMar>
              <w:top w:type="dxa" w:w="70"/>
              <w:left w:type="dxa" w:w="110"/>
              <w:bottom w:type="dxa" w:w="70"/>
              <w:right w:type="dxa" w:w="110"/>
            </w:tcMar>
            <w:vAlign w:val="center"/>
          </w:tcPr>
          <w:p>
            <w:pPr>
              <w:spacing w:after="0" w:line="264"/>
            </w:pPr>
            <w:r>
              <w:t xml:space="preserve">IMGT / Kabat / Chothia numbering and CDR extraction — the foundation of the antibody L1 panel.</w:t>
            </w:r>
          </w:p>
        </w:tc>
        <w:tc>
          <w:tcPr>
            <w:tcW w:type="dxa" w:w="1250"/>
            <w:shd w:fill="EEF2F8" w:val="clear"/>
            <w:tcMar>
              <w:top w:type="dxa" w:w="70"/>
              <w:left w:type="dxa" w:w="110"/>
              <w:bottom w:type="dxa" w:w="70"/>
              <w:right w:type="dxa" w:w="110"/>
            </w:tcMar>
            <w:vAlign w:val="center"/>
          </w:tcPr>
          <w:p>
            <w:pPr>
              <w:spacing w:after="0" w:line="264"/>
            </w:pPr>
            <w:r>
              <w:t xml:space="preserve">L1</w:t>
            </w:r>
          </w:p>
        </w:tc>
      </w:tr>
      <w:tr>
        <w:tc>
          <w:tcPr>
            <w:tcW w:type="dxa" w:w="1750"/>
            <w:shd w:fill="FFFFFF" w:val="clear"/>
            <w:tcMar>
              <w:top w:type="dxa" w:w="70"/>
              <w:left w:type="dxa" w:w="110"/>
              <w:bottom w:type="dxa" w:w="70"/>
              <w:right w:type="dxa" w:w="110"/>
            </w:tcMar>
            <w:vAlign w:val="center"/>
          </w:tcPr>
          <w:p>
            <w:pPr>
              <w:spacing w:after="0" w:line="264"/>
            </w:pPr>
            <w:r>
              <w:t xml:space="preserve">seqfold</w:t>
            </w:r>
          </w:p>
        </w:tc>
        <w:tc>
          <w:tcPr>
            <w:tcW w:type="dxa" w:w="1500"/>
            <w:shd w:fill="FFFFFF" w:val="clear"/>
            <w:tcMar>
              <w:top w:type="dxa" w:w="70"/>
              <w:left w:type="dxa" w:w="110"/>
              <w:bottom w:type="dxa" w:w="70"/>
              <w:right w:type="dxa" w:w="110"/>
            </w:tcMar>
            <w:vAlign w:val="center"/>
          </w:tcPr>
          <w:p>
            <w:pPr>
              <w:spacing w:after="0" w:line="264"/>
            </w:pPr>
            <w:r>
              <w:t xml:space="preserve">Nucleic-acid secondary structure</w:t>
            </w:r>
          </w:p>
        </w:tc>
        <w:tc>
          <w:tcPr>
            <w:tcW w:type="dxa" w:w="1500"/>
            <w:shd w:fill="FFFFFF" w:val="clear"/>
            <w:tcMar>
              <w:top w:type="dxa" w:w="70"/>
              <w:left w:type="dxa" w:w="110"/>
              <w:bottom w:type="dxa" w:w="70"/>
              <w:right w:type="dxa" w:w="110"/>
            </w:tcMar>
            <w:vAlign w:val="center"/>
          </w:tcPr>
          <w:p>
            <w:pPr>
              <w:spacing w:after="0" w:line="264"/>
            </w:pPr>
            <w:r>
              <w:t xml:space="preserve">MIT</w:t>
            </w:r>
          </w:p>
        </w:tc>
        <w:tc>
          <w:tcPr>
            <w:tcW w:type="dxa" w:w="3360"/>
            <w:shd w:fill="FFFFFF" w:val="clear"/>
            <w:tcMar>
              <w:top w:type="dxa" w:w="70"/>
              <w:left w:type="dxa" w:w="110"/>
              <w:bottom w:type="dxa" w:w="70"/>
              <w:right w:type="dxa" w:w="110"/>
            </w:tcMar>
            <w:vAlign w:val="center"/>
          </w:tcPr>
          <w:p>
            <w:pPr>
              <w:spacing w:after="0" w:line="264"/>
            </w:pPr>
            <w:r>
              <w:t xml:space="preserve">Minimum-free-energy folding for oligonucleotide descriptors. Use this, not ViennaRNA (GPL).</w:t>
            </w:r>
          </w:p>
        </w:tc>
        <w:tc>
          <w:tcPr>
            <w:tcW w:type="dxa" w:w="1250"/>
            <w:shd w:fill="FFFFFF" w:val="clear"/>
            <w:tcMar>
              <w:top w:type="dxa" w:w="70"/>
              <w:left w:type="dxa" w:w="110"/>
              <w:bottom w:type="dxa" w:w="70"/>
              <w:right w:type="dxa" w:w="110"/>
            </w:tcMar>
            <w:vAlign w:val="center"/>
          </w:tcPr>
          <w:p>
            <w:pPr>
              <w:spacing w:after="0" w:line="264"/>
            </w:pPr>
            <w:r>
              <w:t xml:space="preserve">L1</w:t>
            </w:r>
          </w:p>
        </w:tc>
      </w:tr>
      <w:tr>
        <w:tc>
          <w:tcPr>
            <w:tcW w:type="dxa" w:w="1750"/>
            <w:shd w:fill="EEF2F8" w:val="clear"/>
            <w:tcMar>
              <w:top w:type="dxa" w:w="70"/>
              <w:left w:type="dxa" w:w="110"/>
              <w:bottom w:type="dxa" w:w="70"/>
              <w:right w:type="dxa" w:w="110"/>
            </w:tcMar>
            <w:vAlign w:val="center"/>
          </w:tcPr>
          <w:p>
            <w:pPr>
              <w:spacing w:after="0" w:line="264"/>
            </w:pPr>
            <w:r>
              <w:t xml:space="preserve">freeSASA</w:t>
            </w:r>
          </w:p>
        </w:tc>
        <w:tc>
          <w:tcPr>
            <w:tcW w:type="dxa" w:w="1500"/>
            <w:shd w:fill="EEF2F8" w:val="clear"/>
            <w:tcMar>
              <w:top w:type="dxa" w:w="70"/>
              <w:left w:type="dxa" w:w="110"/>
              <w:bottom w:type="dxa" w:w="70"/>
              <w:right w:type="dxa" w:w="110"/>
            </w:tcMar>
            <w:vAlign w:val="center"/>
          </w:tcPr>
          <w:p>
            <w:pPr>
              <w:spacing w:after="0" w:line="264"/>
            </w:pPr>
            <w:r>
              <w:t xml:space="preserve">Solvent-accessible surface area</w:t>
            </w:r>
          </w:p>
        </w:tc>
        <w:tc>
          <w:tcPr>
            <w:tcW w:type="dxa" w:w="1500"/>
            <w:shd w:fill="EEF2F8" w:val="clear"/>
            <w:tcMar>
              <w:top w:type="dxa" w:w="70"/>
              <w:left w:type="dxa" w:w="110"/>
              <w:bottom w:type="dxa" w:w="70"/>
              <w:right w:type="dxa" w:w="110"/>
            </w:tcMar>
            <w:vAlign w:val="center"/>
          </w:tcPr>
          <w:p>
            <w:pPr>
              <w:spacing w:after="0" w:line="264"/>
            </w:pPr>
            <w:r>
              <w:t xml:space="preserve">MIT / LGPL</w:t>
            </w:r>
          </w:p>
        </w:tc>
        <w:tc>
          <w:tcPr>
            <w:tcW w:type="dxa" w:w="3360"/>
            <w:shd w:fill="EEF2F8" w:val="clear"/>
            <w:tcMar>
              <w:top w:type="dxa" w:w="70"/>
              <w:left w:type="dxa" w:w="110"/>
              <w:bottom w:type="dxa" w:w="70"/>
              <w:right w:type="dxa" w:w="110"/>
            </w:tcMar>
            <w:vAlign w:val="center"/>
          </w:tcPr>
          <w:p>
            <w:pPr>
              <w:spacing w:after="0" w:line="264"/>
            </w:pPr>
            <w:r>
              <w:t xml:space="preserve">Surface hydrophobic / charge patch analysis for antibody developability from the Boltz-2 structure.</w:t>
            </w:r>
          </w:p>
        </w:tc>
        <w:tc>
          <w:tcPr>
            <w:tcW w:type="dxa" w:w="1250"/>
            <w:shd w:fill="EEF2F8" w:val="clear"/>
            <w:tcMar>
              <w:top w:type="dxa" w:w="70"/>
              <w:left w:type="dxa" w:w="110"/>
              <w:bottom w:type="dxa" w:w="70"/>
              <w:right w:type="dxa" w:w="110"/>
            </w:tcMar>
            <w:vAlign w:val="center"/>
          </w:tcPr>
          <w:p>
            <w:pPr>
              <w:spacing w:after="0" w:line="264"/>
            </w:pPr>
            <w:r>
              <w:t xml:space="preserve">L1</w:t>
            </w:r>
          </w:p>
        </w:tc>
      </w:tr>
      <w:tr>
        <w:tc>
          <w:tcPr>
            <w:tcW w:type="dxa" w:w="1750"/>
            <w:shd w:fill="FFFFFF" w:val="clear"/>
            <w:tcMar>
              <w:top w:type="dxa" w:w="70"/>
              <w:left w:type="dxa" w:w="110"/>
              <w:bottom w:type="dxa" w:w="70"/>
              <w:right w:type="dxa" w:w="110"/>
            </w:tcMar>
            <w:vAlign w:val="center"/>
          </w:tcPr>
          <w:p>
            <w:pPr>
              <w:spacing w:after="0" w:line="264"/>
            </w:pPr>
            <w:r>
              <w:t xml:space="preserve">propka / pdb2pqr</w:t>
            </w:r>
          </w:p>
        </w:tc>
        <w:tc>
          <w:tcPr>
            <w:tcW w:type="dxa" w:w="1500"/>
            <w:shd w:fill="FFFFFF" w:val="clear"/>
            <w:tcMar>
              <w:top w:type="dxa" w:w="70"/>
              <w:left w:type="dxa" w:w="110"/>
              <w:bottom w:type="dxa" w:w="70"/>
              <w:right w:type="dxa" w:w="110"/>
            </w:tcMar>
            <w:vAlign w:val="center"/>
          </w:tcPr>
          <w:p>
            <w:pPr>
              <w:spacing w:after="0" w:line="264"/>
            </w:pPr>
            <w:r>
              <w:t xml:space="preserve">pKa / protonation</w:t>
            </w:r>
          </w:p>
        </w:tc>
        <w:tc>
          <w:tcPr>
            <w:tcW w:type="dxa" w:w="1500"/>
            <w:shd w:fill="FFFFFF" w:val="clear"/>
            <w:tcMar>
              <w:top w:type="dxa" w:w="70"/>
              <w:left w:type="dxa" w:w="110"/>
              <w:bottom w:type="dxa" w:w="70"/>
              <w:right w:type="dxa" w:w="110"/>
            </w:tcMar>
            <w:vAlign w:val="center"/>
          </w:tcPr>
          <w:p>
            <w:pPr>
              <w:spacing w:after="0" w:line="264"/>
            </w:pPr>
            <w:r>
              <w:t xml:space="preserve">permissive open-source</w:t>
            </w:r>
          </w:p>
        </w:tc>
        <w:tc>
          <w:tcPr>
            <w:tcW w:type="dxa" w:w="3360"/>
            <w:shd w:fill="FFFFFF" w:val="clear"/>
            <w:tcMar>
              <w:top w:type="dxa" w:w="70"/>
              <w:left w:type="dxa" w:w="110"/>
              <w:bottom w:type="dxa" w:w="70"/>
              <w:right w:type="dxa" w:w="110"/>
            </w:tcMar>
            <w:vAlign w:val="center"/>
          </w:tcPr>
          <w:p>
            <w:pPr>
              <w:spacing w:after="0" w:line="264"/>
            </w:pPr>
            <w:r>
              <w:t xml:space="preserve">pI and charge-state calculations for peptide and antibody descriptors.</w:t>
            </w:r>
          </w:p>
        </w:tc>
        <w:tc>
          <w:tcPr>
            <w:tcW w:type="dxa" w:w="1250"/>
            <w:shd w:fill="FFFFFF" w:val="clear"/>
            <w:tcMar>
              <w:top w:type="dxa" w:w="70"/>
              <w:left w:type="dxa" w:w="110"/>
              <w:bottom w:type="dxa" w:w="70"/>
              <w:right w:type="dxa" w:w="110"/>
            </w:tcMar>
            <w:vAlign w:val="center"/>
          </w:tcPr>
          <w:p>
            <w:pPr>
              <w:spacing w:after="0" w:line="264"/>
            </w:pPr>
            <w:r>
              <w:t xml:space="preserve">L1</w:t>
            </w:r>
          </w:p>
        </w:tc>
      </w:tr>
      <w:tr>
        <w:tc>
          <w:tcPr>
            <w:tcW w:type="dxa" w:w="1750"/>
            <w:shd w:fill="EEF2F8" w:val="clear"/>
            <w:tcMar>
              <w:top w:type="dxa" w:w="70"/>
              <w:left w:type="dxa" w:w="110"/>
              <w:bottom w:type="dxa" w:w="70"/>
              <w:right w:type="dxa" w:w="110"/>
            </w:tcMar>
            <w:vAlign w:val="center"/>
          </w:tcPr>
          <w:p>
            <w:pPr>
              <w:spacing w:after="0" w:line="264"/>
            </w:pPr>
            <w:r>
              <w:t xml:space="preserve">MHCflurry 2.0</w:t>
            </w:r>
          </w:p>
        </w:tc>
        <w:tc>
          <w:tcPr>
            <w:tcW w:type="dxa" w:w="1500"/>
            <w:shd w:fill="EEF2F8" w:val="clear"/>
            <w:tcMar>
              <w:top w:type="dxa" w:w="70"/>
              <w:left w:type="dxa" w:w="110"/>
              <w:bottom w:type="dxa" w:w="70"/>
              <w:right w:type="dxa" w:w="110"/>
            </w:tcMar>
            <w:vAlign w:val="center"/>
          </w:tcPr>
          <w:p>
            <w:pPr>
              <w:spacing w:after="0" w:line="264"/>
            </w:pPr>
            <w:r>
              <w:t xml:space="preserve">MHC class-I binding</w:t>
            </w:r>
          </w:p>
        </w:tc>
        <w:tc>
          <w:tcPr>
            <w:tcW w:type="dxa" w:w="1500"/>
            <w:shd w:fill="EEF2F8" w:val="clear"/>
            <w:tcMar>
              <w:top w:type="dxa" w:w="70"/>
              <w:left w:type="dxa" w:w="110"/>
              <w:bottom w:type="dxa" w:w="70"/>
              <w:right w:type="dxa" w:w="110"/>
            </w:tcMar>
            <w:vAlign w:val="center"/>
          </w:tcPr>
          <w:p>
            <w:pPr>
              <w:spacing w:after="0" w:line="264"/>
            </w:pPr>
            <w:r>
              <w:t xml:space="preserve">Apache 2.0</w:t>
            </w:r>
          </w:p>
        </w:tc>
        <w:tc>
          <w:tcPr>
            <w:tcW w:type="dxa" w:w="3360"/>
            <w:shd w:fill="EEF2F8" w:val="clear"/>
            <w:tcMar>
              <w:top w:type="dxa" w:w="70"/>
              <w:left w:type="dxa" w:w="110"/>
              <w:bottom w:type="dxa" w:w="70"/>
              <w:right w:type="dxa" w:w="110"/>
            </w:tcMar>
            <w:vAlign w:val="center"/>
          </w:tcPr>
          <w:p>
            <w:pPr>
              <w:spacing w:after="0" w:line="264"/>
            </w:pPr>
            <w:r>
              <w:t xml:space="preserve">CD8 epitope screen. Note: class I only — for biologics immunogenicity you need class II (see 6.3).</w:t>
            </w:r>
          </w:p>
        </w:tc>
        <w:tc>
          <w:tcPr>
            <w:tcW w:type="dxa" w:w="1250"/>
            <w:shd w:fill="EEF2F8" w:val="clear"/>
            <w:tcMar>
              <w:top w:type="dxa" w:w="70"/>
              <w:left w:type="dxa" w:w="110"/>
              <w:bottom w:type="dxa" w:w="70"/>
              <w:right w:type="dxa" w:w="110"/>
            </w:tcMar>
            <w:vAlign w:val="center"/>
          </w:tcPr>
          <w:p>
            <w:pPr>
              <w:spacing w:after="0" w:line="264"/>
            </w:pPr>
            <w:r>
              <w:t xml:space="preserve">L1</w:t>
            </w:r>
          </w:p>
        </w:tc>
      </w:tr>
    </w:tbl>
    <w:p>
      <w:pPr>
        <w:pStyle w:val="Heading2"/>
        <w:spacing w:after="120" w:before="240"/>
      </w:pPr>
      <w:r>
        <w:t xml:space="preserve">6.3  Open data sources</w:t>
      </w:r>
    </w:p>
    <w:tbl>
      <w:tblPr>
        <w:tblW w:type="dxa" w:w="9360"/>
        <w:tblBorders>
          <w:top w:val="single" w:color="BFBFBF" w:sz="1"/>
          <w:left w:val="single" w:color="BFBFBF" w:sz="1"/>
          <w:bottom w:val="single" w:color="BFBFBF" w:sz="1"/>
          <w:right w:val="single" w:color="BFBFBF" w:sz="1"/>
          <w:insideH w:val="single" w:color="BFBFBF" w:sz="1"/>
          <w:insideV w:val="single" w:color="BFBFBF" w:sz="1"/>
        </w:tblBorders>
      </w:tblPr>
      <w:tblGrid>
        <w:gridCol w:w="1750"/>
        <w:gridCol w:w="1550"/>
        <w:gridCol w:w="1450"/>
        <w:gridCol w:w="3360"/>
        <w:gridCol w:w="1250"/>
      </w:tblGrid>
      <w:tr>
        <w:trPr>
          <w:tblHeader/>
        </w:trPr>
        <w:tc>
          <w:tcPr>
            <w:tcW w:type="dxa" w:w="1750"/>
            <w:shd w:fill="1F3864" w:val="clear"/>
            <w:tcMar>
              <w:top w:type="dxa" w:w="70"/>
              <w:left w:type="dxa" w:w="110"/>
              <w:bottom w:type="dxa" w:w="70"/>
              <w:right w:type="dxa" w:w="110"/>
            </w:tcMar>
            <w:vAlign w:val="center"/>
          </w:tcPr>
          <w:p>
            <w:pPr>
              <w:spacing w:after="0" w:line="264"/>
            </w:pPr>
            <w:r>
              <w:rPr>
                <w:rFonts w:ascii="Arial" w:cs="Arial" w:eastAsia="Arial" w:hAnsi="Arial"/>
                <w:b/>
                <w:bCs/>
                <w:i w:val="false"/>
                <w:iCs w:val="false"/>
                <w:color w:val="FFFFFF"/>
              </w:rPr>
              <w:t xml:space="preserve">Source</w:t>
            </w:r>
          </w:p>
        </w:tc>
        <w:tc>
          <w:tcPr>
            <w:tcW w:type="dxa" w:w="1550"/>
            <w:shd w:fill="1F3864" w:val="clear"/>
            <w:tcMar>
              <w:top w:type="dxa" w:w="70"/>
              <w:left w:type="dxa" w:w="110"/>
              <w:bottom w:type="dxa" w:w="70"/>
              <w:right w:type="dxa" w:w="110"/>
            </w:tcMar>
            <w:vAlign w:val="center"/>
          </w:tcPr>
          <w:p>
            <w:pPr>
              <w:spacing w:after="0" w:line="264"/>
            </w:pPr>
            <w:r>
              <w:rPr>
                <w:rFonts w:ascii="Arial" w:cs="Arial" w:eastAsia="Arial" w:hAnsi="Arial"/>
                <w:b/>
                <w:bCs/>
                <w:i w:val="false"/>
                <w:iCs w:val="false"/>
                <w:color w:val="FFFFFF"/>
              </w:rPr>
              <w:t xml:space="preserve">Type</w:t>
            </w:r>
          </w:p>
        </w:tc>
        <w:tc>
          <w:tcPr>
            <w:tcW w:type="dxa" w:w="1450"/>
            <w:shd w:fill="1F3864" w:val="clear"/>
            <w:tcMar>
              <w:top w:type="dxa" w:w="70"/>
              <w:left w:type="dxa" w:w="110"/>
              <w:bottom w:type="dxa" w:w="70"/>
              <w:right w:type="dxa" w:w="110"/>
            </w:tcMar>
            <w:vAlign w:val="center"/>
          </w:tcPr>
          <w:p>
            <w:pPr>
              <w:spacing w:after="0" w:line="264"/>
            </w:pPr>
            <w:r>
              <w:rPr>
                <w:rFonts w:ascii="Arial" w:cs="Arial" w:eastAsia="Arial" w:hAnsi="Arial"/>
                <w:b/>
                <w:bCs/>
                <w:i w:val="false"/>
                <w:iCs w:val="false"/>
                <w:color w:val="FFFFFF"/>
              </w:rPr>
              <w:t xml:space="preserve">License</w:t>
            </w:r>
          </w:p>
        </w:tc>
        <w:tc>
          <w:tcPr>
            <w:tcW w:type="dxa" w:w="3360"/>
            <w:shd w:fill="1F3864" w:val="clear"/>
            <w:tcMar>
              <w:top w:type="dxa" w:w="70"/>
              <w:left w:type="dxa" w:w="110"/>
              <w:bottom w:type="dxa" w:w="70"/>
              <w:right w:type="dxa" w:w="110"/>
            </w:tcMar>
            <w:vAlign w:val="center"/>
          </w:tcPr>
          <w:p>
            <w:pPr>
              <w:spacing w:after="0" w:line="264"/>
            </w:pPr>
            <w:r>
              <w:rPr>
                <w:rFonts w:ascii="Arial" w:cs="Arial" w:eastAsia="Arial" w:hAnsi="Arial"/>
                <w:b/>
                <w:bCs/>
                <w:i w:val="false"/>
                <w:iCs w:val="false"/>
                <w:color w:val="FFFFFF"/>
              </w:rPr>
              <w:t xml:space="preserve">Use in Hakase</w:t>
            </w:r>
          </w:p>
        </w:tc>
        <w:tc>
          <w:tcPr>
            <w:tcW w:type="dxa" w:w="1250"/>
            <w:shd w:fill="1F3864" w:val="clear"/>
            <w:tcMar>
              <w:top w:type="dxa" w:w="70"/>
              <w:left w:type="dxa" w:w="110"/>
              <w:bottom w:type="dxa" w:w="70"/>
              <w:right w:type="dxa" w:w="110"/>
            </w:tcMar>
            <w:vAlign w:val="center"/>
          </w:tcPr>
          <w:p>
            <w:pPr>
              <w:spacing w:after="0" w:line="264"/>
            </w:pPr>
            <w:r>
              <w:rPr>
                <w:rFonts w:ascii="Arial" w:cs="Arial" w:eastAsia="Arial" w:hAnsi="Arial"/>
                <w:b/>
                <w:bCs/>
                <w:i w:val="false"/>
                <w:iCs w:val="false"/>
                <w:color w:val="FFFFFF"/>
              </w:rPr>
              <w:t xml:space="preserve">Layer</w:t>
            </w:r>
          </w:p>
        </w:tc>
      </w:tr>
      <w:tr>
        <w:tc>
          <w:tcPr>
            <w:tcW w:type="dxa" w:w="1750"/>
            <w:shd w:fill="EEF2F8" w:val="clear"/>
            <w:tcMar>
              <w:top w:type="dxa" w:w="70"/>
              <w:left w:type="dxa" w:w="110"/>
              <w:bottom w:type="dxa" w:w="70"/>
              <w:right w:type="dxa" w:w="110"/>
            </w:tcMar>
            <w:vAlign w:val="center"/>
          </w:tcPr>
          <w:p>
            <w:pPr>
              <w:spacing w:after="0" w:line="264"/>
            </w:pPr>
            <w:r>
              <w:t xml:space="preserve">RCSB PDB API</w:t>
            </w:r>
          </w:p>
        </w:tc>
        <w:tc>
          <w:tcPr>
            <w:tcW w:type="dxa" w:w="1550"/>
            <w:shd w:fill="EEF2F8" w:val="clear"/>
            <w:tcMar>
              <w:top w:type="dxa" w:w="70"/>
              <w:left w:type="dxa" w:w="110"/>
              <w:bottom w:type="dxa" w:w="70"/>
              <w:right w:type="dxa" w:w="110"/>
            </w:tcMar>
            <w:vAlign w:val="center"/>
          </w:tcPr>
          <w:p>
            <w:pPr>
              <w:spacing w:after="0" w:line="264"/>
            </w:pPr>
            <w:r>
              <w:t xml:space="preserve">Experimental structures</w:t>
            </w:r>
          </w:p>
        </w:tc>
        <w:tc>
          <w:tcPr>
            <w:tcW w:type="dxa" w:w="1450"/>
            <w:shd w:fill="EEF2F8" w:val="clear"/>
            <w:tcMar>
              <w:top w:type="dxa" w:w="70"/>
              <w:left w:type="dxa" w:w="110"/>
              <w:bottom w:type="dxa" w:w="70"/>
              <w:right w:type="dxa" w:w="110"/>
            </w:tcMar>
            <w:vAlign w:val="center"/>
          </w:tcPr>
          <w:p>
            <w:pPr>
              <w:spacing w:after="0" w:line="264"/>
            </w:pPr>
            <w:r>
              <w:t xml:space="preserve">Public domain</w:t>
            </w:r>
          </w:p>
        </w:tc>
        <w:tc>
          <w:tcPr>
            <w:tcW w:type="dxa" w:w="3360"/>
            <w:shd w:fill="EEF2F8" w:val="clear"/>
            <w:tcMar>
              <w:top w:type="dxa" w:w="70"/>
              <w:left w:type="dxa" w:w="110"/>
              <w:bottom w:type="dxa" w:w="70"/>
              <w:right w:type="dxa" w:w="110"/>
            </w:tcMar>
            <w:vAlign w:val="center"/>
          </w:tcPr>
          <w:p>
            <w:pPr>
              <w:spacing w:after="0" w:line="264"/>
            </w:pPr>
            <w:r>
              <w:t xml:space="preserve">Already wired. Extend to antibody / complex structures and Boltz-2 templates.</w:t>
            </w:r>
          </w:p>
        </w:tc>
        <w:tc>
          <w:tcPr>
            <w:tcW w:type="dxa" w:w="1250"/>
            <w:shd w:fill="EEF2F8" w:val="clear"/>
            <w:tcMar>
              <w:top w:type="dxa" w:w="70"/>
              <w:left w:type="dxa" w:w="110"/>
              <w:bottom w:type="dxa" w:w="70"/>
              <w:right w:type="dxa" w:w="110"/>
            </w:tcMar>
            <w:vAlign w:val="center"/>
          </w:tcPr>
          <w:p>
            <w:pPr>
              <w:spacing w:after="0" w:line="264"/>
            </w:pPr>
            <w:r>
              <w:t xml:space="preserve">L1 + L2</w:t>
            </w:r>
          </w:p>
        </w:tc>
      </w:tr>
      <w:tr>
        <w:tc>
          <w:tcPr>
            <w:tcW w:type="dxa" w:w="1750"/>
            <w:shd w:fill="FFFFFF" w:val="clear"/>
            <w:tcMar>
              <w:top w:type="dxa" w:w="70"/>
              <w:left w:type="dxa" w:w="110"/>
              <w:bottom w:type="dxa" w:w="70"/>
              <w:right w:type="dxa" w:w="110"/>
            </w:tcMar>
            <w:vAlign w:val="center"/>
          </w:tcPr>
          <w:p>
            <w:pPr>
              <w:spacing w:after="0" w:line="264"/>
            </w:pPr>
            <w:r>
              <w:t xml:space="preserve">AlphaFold DB API</w:t>
            </w:r>
          </w:p>
        </w:tc>
        <w:tc>
          <w:tcPr>
            <w:tcW w:type="dxa" w:w="1550"/>
            <w:shd w:fill="FFFFFF" w:val="clear"/>
            <w:tcMar>
              <w:top w:type="dxa" w:w="70"/>
              <w:left w:type="dxa" w:w="110"/>
              <w:bottom w:type="dxa" w:w="70"/>
              <w:right w:type="dxa" w:w="110"/>
            </w:tcMar>
            <w:vAlign w:val="center"/>
          </w:tcPr>
          <w:p>
            <w:pPr>
              <w:spacing w:after="0" w:line="264"/>
            </w:pPr>
            <w:r>
              <w:t xml:space="preserve">Predicted structures</w:t>
            </w:r>
          </w:p>
        </w:tc>
        <w:tc>
          <w:tcPr>
            <w:tcW w:type="dxa" w:w="1450"/>
            <w:shd w:fill="FFFFFF" w:val="clear"/>
            <w:tcMar>
              <w:top w:type="dxa" w:w="70"/>
              <w:left w:type="dxa" w:w="110"/>
              <w:bottom w:type="dxa" w:w="70"/>
              <w:right w:type="dxa" w:w="110"/>
            </w:tcMar>
            <w:vAlign w:val="center"/>
          </w:tcPr>
          <w:p>
            <w:pPr>
              <w:spacing w:after="0" w:line="264"/>
            </w:pPr>
            <w:r>
              <w:t xml:space="preserve">CC-BY 4.0</w:t>
            </w:r>
          </w:p>
        </w:tc>
        <w:tc>
          <w:tcPr>
            <w:tcW w:type="dxa" w:w="3360"/>
            <w:shd w:fill="FFFFFF" w:val="clear"/>
            <w:tcMar>
              <w:top w:type="dxa" w:w="70"/>
              <w:left w:type="dxa" w:w="110"/>
              <w:bottom w:type="dxa" w:w="70"/>
              <w:right w:type="dxa" w:w="110"/>
            </w:tcMar>
            <w:vAlign w:val="center"/>
          </w:tcPr>
          <w:p>
            <w:pPr>
              <w:spacing w:after="0" w:line="264"/>
            </w:pPr>
            <w:r>
              <w:t xml:space="preserve">Already wired. Apo-target structures as Boltz-2 templates.</w:t>
            </w:r>
          </w:p>
        </w:tc>
        <w:tc>
          <w:tcPr>
            <w:tcW w:type="dxa" w:w="1250"/>
            <w:shd w:fill="FFFFFF" w:val="clear"/>
            <w:tcMar>
              <w:top w:type="dxa" w:w="70"/>
              <w:left w:type="dxa" w:w="110"/>
              <w:bottom w:type="dxa" w:w="70"/>
              <w:right w:type="dxa" w:w="110"/>
            </w:tcMar>
            <w:vAlign w:val="center"/>
          </w:tcPr>
          <w:p>
            <w:pPr>
              <w:spacing w:after="0" w:line="264"/>
            </w:pPr>
            <w:r>
              <w:t xml:space="preserve">L1 + L2</w:t>
            </w:r>
          </w:p>
        </w:tc>
      </w:tr>
      <w:tr>
        <w:tc>
          <w:tcPr>
            <w:tcW w:type="dxa" w:w="1750"/>
            <w:shd w:fill="EEF2F8" w:val="clear"/>
            <w:tcMar>
              <w:top w:type="dxa" w:w="70"/>
              <w:left w:type="dxa" w:w="110"/>
              <w:bottom w:type="dxa" w:w="70"/>
              <w:right w:type="dxa" w:w="110"/>
            </w:tcMar>
            <w:vAlign w:val="center"/>
          </w:tcPr>
          <w:p>
            <w:pPr>
              <w:spacing w:after="0" w:line="264"/>
            </w:pPr>
            <w:r>
              <w:t xml:space="preserve">UniProt</w:t>
            </w:r>
          </w:p>
        </w:tc>
        <w:tc>
          <w:tcPr>
            <w:tcW w:type="dxa" w:w="1550"/>
            <w:shd w:fill="EEF2F8" w:val="clear"/>
            <w:tcMar>
              <w:top w:type="dxa" w:w="70"/>
              <w:left w:type="dxa" w:w="110"/>
              <w:bottom w:type="dxa" w:w="70"/>
              <w:right w:type="dxa" w:w="110"/>
            </w:tcMar>
            <w:vAlign w:val="center"/>
          </w:tcPr>
          <w:p>
            <w:pPr>
              <w:spacing w:after="0" w:line="264"/>
            </w:pPr>
            <w:r>
              <w:t xml:space="preserve">Protein annotation</w:t>
            </w:r>
          </w:p>
        </w:tc>
        <w:tc>
          <w:tcPr>
            <w:tcW w:type="dxa" w:w="1450"/>
            <w:shd w:fill="EEF2F8" w:val="clear"/>
            <w:tcMar>
              <w:top w:type="dxa" w:w="70"/>
              <w:left w:type="dxa" w:w="110"/>
              <w:bottom w:type="dxa" w:w="70"/>
              <w:right w:type="dxa" w:w="110"/>
            </w:tcMar>
            <w:vAlign w:val="center"/>
          </w:tcPr>
          <w:p>
            <w:pPr>
              <w:spacing w:after="0" w:line="264"/>
            </w:pPr>
            <w:r>
              <w:t xml:space="preserve">CC-BY 4.0</w:t>
            </w:r>
          </w:p>
        </w:tc>
        <w:tc>
          <w:tcPr>
            <w:tcW w:type="dxa" w:w="3360"/>
            <w:shd w:fill="EEF2F8" w:val="clear"/>
            <w:tcMar>
              <w:top w:type="dxa" w:w="70"/>
              <w:left w:type="dxa" w:w="110"/>
              <w:bottom w:type="dxa" w:w="70"/>
              <w:right w:type="dxa" w:w="110"/>
            </w:tcMar>
            <w:vAlign w:val="center"/>
          </w:tcPr>
          <w:p>
            <w:pPr>
              <w:spacing w:after="0" w:line="264"/>
            </w:pPr>
            <w:r>
              <w:t xml:space="preserve">Already wired. Target metadata across all modalities.</w:t>
            </w:r>
          </w:p>
        </w:tc>
        <w:tc>
          <w:tcPr>
            <w:tcW w:type="dxa" w:w="1250"/>
            <w:shd w:fill="EEF2F8" w:val="clear"/>
            <w:tcMar>
              <w:top w:type="dxa" w:w="70"/>
              <w:left w:type="dxa" w:w="110"/>
              <w:bottom w:type="dxa" w:w="70"/>
              <w:right w:type="dxa" w:w="110"/>
            </w:tcMar>
            <w:vAlign w:val="center"/>
          </w:tcPr>
          <w:p>
            <w:pPr>
              <w:spacing w:after="0" w:line="264"/>
            </w:pPr>
            <w:r>
              <w:t xml:space="preserve">L1 + L2</w:t>
            </w:r>
          </w:p>
        </w:tc>
      </w:tr>
      <w:tr>
        <w:tc>
          <w:tcPr>
            <w:tcW w:type="dxa" w:w="1750"/>
            <w:shd w:fill="FFFFFF" w:val="clear"/>
            <w:tcMar>
              <w:top w:type="dxa" w:w="70"/>
              <w:left w:type="dxa" w:w="110"/>
              <w:bottom w:type="dxa" w:w="70"/>
              <w:right w:type="dxa" w:w="110"/>
            </w:tcMar>
            <w:vAlign w:val="center"/>
          </w:tcPr>
          <w:p>
            <w:pPr>
              <w:spacing w:after="0" w:line="264"/>
            </w:pPr>
            <w:r>
              <w:t xml:space="preserve">ChEMBL / BindingDB</w:t>
            </w:r>
          </w:p>
        </w:tc>
        <w:tc>
          <w:tcPr>
            <w:tcW w:type="dxa" w:w="1550"/>
            <w:shd w:fill="FFFFFF" w:val="clear"/>
            <w:tcMar>
              <w:top w:type="dxa" w:w="70"/>
              <w:left w:type="dxa" w:w="110"/>
              <w:bottom w:type="dxa" w:w="70"/>
              <w:right w:type="dxa" w:w="110"/>
            </w:tcMar>
            <w:vAlign w:val="center"/>
          </w:tcPr>
          <w:p>
            <w:pPr>
              <w:spacing w:after="0" w:line="264"/>
            </w:pPr>
            <w:r>
              <w:t xml:space="preserve">Bioactivity / affinity</w:t>
            </w:r>
          </w:p>
        </w:tc>
        <w:tc>
          <w:tcPr>
            <w:tcW w:type="dxa" w:w="1450"/>
            <w:shd w:fill="FFFFFF" w:val="clear"/>
            <w:tcMar>
              <w:top w:type="dxa" w:w="70"/>
              <w:left w:type="dxa" w:w="110"/>
              <w:bottom w:type="dxa" w:w="70"/>
              <w:right w:type="dxa" w:w="110"/>
            </w:tcMar>
            <w:vAlign w:val="center"/>
          </w:tcPr>
          <w:p>
            <w:pPr>
              <w:spacing w:after="0" w:line="264"/>
            </w:pPr>
            <w:r>
              <w:t xml:space="preserve">CC-BY-SA / free</w:t>
            </w:r>
          </w:p>
        </w:tc>
        <w:tc>
          <w:tcPr>
            <w:tcW w:type="dxa" w:w="3360"/>
            <w:shd w:fill="FFFFFF" w:val="clear"/>
            <w:tcMar>
              <w:top w:type="dxa" w:w="70"/>
              <w:left w:type="dxa" w:w="110"/>
              <w:bottom w:type="dxa" w:w="70"/>
              <w:right w:type="dxa" w:w="110"/>
            </w:tcMar>
            <w:vAlign w:val="center"/>
          </w:tcPr>
          <w:p>
            <w:pPr>
              <w:spacing w:after="0" w:line="264"/>
            </w:pPr>
            <w:r>
              <w:t xml:space="preserve">Already wired. Affinity ground-truth and Boltz-2 affinity benchmarking.</w:t>
            </w:r>
          </w:p>
        </w:tc>
        <w:tc>
          <w:tcPr>
            <w:tcW w:type="dxa" w:w="1250"/>
            <w:shd w:fill="FFFFFF" w:val="clear"/>
            <w:tcMar>
              <w:top w:type="dxa" w:w="70"/>
              <w:left w:type="dxa" w:w="110"/>
              <w:bottom w:type="dxa" w:w="70"/>
              <w:right w:type="dxa" w:w="110"/>
            </w:tcMar>
            <w:vAlign w:val="center"/>
          </w:tcPr>
          <w:p>
            <w:pPr>
              <w:spacing w:after="0" w:line="264"/>
            </w:pPr>
            <w:r>
              <w:t xml:space="preserve">L1 + L2</w:t>
            </w:r>
          </w:p>
        </w:tc>
      </w:tr>
      <w:tr>
        <w:tc>
          <w:tcPr>
            <w:tcW w:type="dxa" w:w="1750"/>
            <w:shd w:fill="EEF2F8" w:val="clear"/>
            <w:tcMar>
              <w:top w:type="dxa" w:w="70"/>
              <w:left w:type="dxa" w:w="110"/>
              <w:bottom w:type="dxa" w:w="70"/>
              <w:right w:type="dxa" w:w="110"/>
            </w:tcMar>
            <w:vAlign w:val="center"/>
          </w:tcPr>
          <w:p>
            <w:pPr>
              <w:spacing w:after="0" w:line="264"/>
            </w:pPr>
            <w:r>
              <w:t xml:space="preserve">IEDB</w:t>
            </w:r>
          </w:p>
        </w:tc>
        <w:tc>
          <w:tcPr>
            <w:tcW w:type="dxa" w:w="1550"/>
            <w:shd w:fill="EEF2F8" w:val="clear"/>
            <w:tcMar>
              <w:top w:type="dxa" w:w="70"/>
              <w:left w:type="dxa" w:w="110"/>
              <w:bottom w:type="dxa" w:w="70"/>
              <w:right w:type="dxa" w:w="110"/>
            </w:tcMar>
            <w:vAlign w:val="center"/>
          </w:tcPr>
          <w:p>
            <w:pPr>
              <w:spacing w:after="0" w:line="264"/>
            </w:pPr>
            <w:r>
              <w:t xml:space="preserve">Immune epitopes</w:t>
            </w:r>
          </w:p>
        </w:tc>
        <w:tc>
          <w:tcPr>
            <w:tcW w:type="dxa" w:w="1450"/>
            <w:shd w:fill="EEF2F8" w:val="clear"/>
            <w:tcMar>
              <w:top w:type="dxa" w:w="70"/>
              <w:left w:type="dxa" w:w="110"/>
              <w:bottom w:type="dxa" w:w="70"/>
              <w:right w:type="dxa" w:w="110"/>
            </w:tcMar>
            <w:vAlign w:val="center"/>
          </w:tcPr>
          <w:p>
            <w:pPr>
              <w:spacing w:after="0" w:line="264"/>
            </w:pPr>
            <w:r>
              <w:t xml:space="preserve">Free (citation)</w:t>
            </w:r>
          </w:p>
        </w:tc>
        <w:tc>
          <w:tcPr>
            <w:tcW w:type="dxa" w:w="3360"/>
            <w:shd w:fill="EEF2F8" w:val="clear"/>
            <w:tcMar>
              <w:top w:type="dxa" w:w="70"/>
              <w:left w:type="dxa" w:w="110"/>
              <w:bottom w:type="dxa" w:w="70"/>
              <w:right w:type="dxa" w:w="110"/>
            </w:tcMar>
            <w:vAlign w:val="center"/>
          </w:tcPr>
          <w:p>
            <w:pPr>
              <w:spacing w:after="0" w:line="264"/>
            </w:pPr>
            <w:r>
              <w:t xml:space="preserve">Public training data for a commercial-safe MHC-II / T-cell-epitope immunogenicity model.</w:t>
            </w:r>
          </w:p>
        </w:tc>
        <w:tc>
          <w:tcPr>
            <w:tcW w:type="dxa" w:w="1250"/>
            <w:shd w:fill="EEF2F8" w:val="clear"/>
            <w:tcMar>
              <w:top w:type="dxa" w:w="70"/>
              <w:left w:type="dxa" w:w="110"/>
              <w:bottom w:type="dxa" w:w="70"/>
              <w:right w:type="dxa" w:w="110"/>
            </w:tcMar>
            <w:vAlign w:val="center"/>
          </w:tcPr>
          <w:p>
            <w:pPr>
              <w:spacing w:after="0" w:line="264"/>
            </w:pPr>
            <w:r>
              <w:t xml:space="preserve">L1</w:t>
            </w:r>
          </w:p>
        </w:tc>
      </w:tr>
      <w:tr>
        <w:tc>
          <w:tcPr>
            <w:tcW w:type="dxa" w:w="1750"/>
            <w:shd w:fill="FFFFFF" w:val="clear"/>
            <w:tcMar>
              <w:top w:type="dxa" w:w="70"/>
              <w:left w:type="dxa" w:w="110"/>
              <w:bottom w:type="dxa" w:w="70"/>
              <w:right w:type="dxa" w:w="110"/>
            </w:tcMar>
            <w:vAlign w:val="center"/>
          </w:tcPr>
          <w:p>
            <w:pPr>
              <w:spacing w:after="0" w:line="264"/>
            </w:pPr>
            <w:r>
              <w:t xml:space="preserve">Ensembl / RefSeq</w:t>
            </w:r>
          </w:p>
        </w:tc>
        <w:tc>
          <w:tcPr>
            <w:tcW w:type="dxa" w:w="1550"/>
            <w:shd w:fill="FFFFFF" w:val="clear"/>
            <w:tcMar>
              <w:top w:type="dxa" w:w="70"/>
              <w:left w:type="dxa" w:w="110"/>
              <w:bottom w:type="dxa" w:w="70"/>
              <w:right w:type="dxa" w:w="110"/>
            </w:tcMar>
            <w:vAlign w:val="center"/>
          </w:tcPr>
          <w:p>
            <w:pPr>
              <w:spacing w:after="0" w:line="264"/>
            </w:pPr>
            <w:r>
              <w:t xml:space="preserve">Transcriptome</w:t>
            </w:r>
          </w:p>
        </w:tc>
        <w:tc>
          <w:tcPr>
            <w:tcW w:type="dxa" w:w="1450"/>
            <w:shd w:fill="FFFFFF" w:val="clear"/>
            <w:tcMar>
              <w:top w:type="dxa" w:w="70"/>
              <w:left w:type="dxa" w:w="110"/>
              <w:bottom w:type="dxa" w:w="70"/>
              <w:right w:type="dxa" w:w="110"/>
            </w:tcMar>
            <w:vAlign w:val="center"/>
          </w:tcPr>
          <w:p>
            <w:pPr>
              <w:spacing w:after="0" w:line="264"/>
            </w:pPr>
            <w:r>
              <w:t xml:space="preserve">Open</w:t>
            </w:r>
          </w:p>
        </w:tc>
        <w:tc>
          <w:tcPr>
            <w:tcW w:type="dxa" w:w="3360"/>
            <w:shd w:fill="FFFFFF" w:val="clear"/>
            <w:tcMar>
              <w:top w:type="dxa" w:w="70"/>
              <w:left w:type="dxa" w:w="110"/>
              <w:bottom w:type="dxa" w:w="70"/>
              <w:right w:type="dxa" w:w="110"/>
            </w:tcMar>
            <w:vAlign w:val="center"/>
          </w:tcPr>
          <w:p>
            <w:pPr>
              <w:spacing w:after="0" w:line="264"/>
            </w:pPr>
            <w:r>
              <w:t xml:space="preserve">Off-target hybridisation search for antisense / siRNA oligonucleotides.</w:t>
            </w:r>
          </w:p>
        </w:tc>
        <w:tc>
          <w:tcPr>
            <w:tcW w:type="dxa" w:w="1250"/>
            <w:shd w:fill="FFFFFF" w:val="clear"/>
            <w:tcMar>
              <w:top w:type="dxa" w:w="70"/>
              <w:left w:type="dxa" w:w="110"/>
              <w:bottom w:type="dxa" w:w="70"/>
              <w:right w:type="dxa" w:w="110"/>
            </w:tcMar>
            <w:vAlign w:val="center"/>
          </w:tcPr>
          <w:p>
            <w:pPr>
              <w:spacing w:after="0" w:line="264"/>
            </w:pPr>
            <w:r>
              <w:t xml:space="preserve">L1</w:t>
            </w:r>
          </w:p>
        </w:tc>
      </w:tr>
      <w:tr>
        <w:tc>
          <w:tcPr>
            <w:tcW w:type="dxa" w:w="1750"/>
            <w:shd w:fill="EEF2F8" w:val="clear"/>
            <w:tcMar>
              <w:top w:type="dxa" w:w="70"/>
              <w:left w:type="dxa" w:w="110"/>
              <w:bottom w:type="dxa" w:w="70"/>
              <w:right w:type="dxa" w:w="110"/>
            </w:tcMar>
            <w:vAlign w:val="center"/>
          </w:tcPr>
          <w:p>
            <w:pPr>
              <w:spacing w:after="0" w:line="264"/>
            </w:pPr>
            <w:r>
              <w:t xml:space="preserve">PDB Chemical Component Dictionary</w:t>
            </w:r>
          </w:p>
        </w:tc>
        <w:tc>
          <w:tcPr>
            <w:tcW w:type="dxa" w:w="1550"/>
            <w:shd w:fill="EEF2F8" w:val="clear"/>
            <w:tcMar>
              <w:top w:type="dxa" w:w="70"/>
              <w:left w:type="dxa" w:w="110"/>
              <w:bottom w:type="dxa" w:w="70"/>
              <w:right w:type="dxa" w:w="110"/>
            </w:tcMar>
            <w:vAlign w:val="center"/>
          </w:tcPr>
          <w:p>
            <w:pPr>
              <w:spacing w:after="0" w:line="264"/>
            </w:pPr>
            <w:r>
              <w:t xml:space="preserve">Residue / ligand defs</w:t>
            </w:r>
          </w:p>
        </w:tc>
        <w:tc>
          <w:tcPr>
            <w:tcW w:type="dxa" w:w="1450"/>
            <w:shd w:fill="EEF2F8" w:val="clear"/>
            <w:tcMar>
              <w:top w:type="dxa" w:w="70"/>
              <w:left w:type="dxa" w:w="110"/>
              <w:bottom w:type="dxa" w:w="70"/>
              <w:right w:type="dxa" w:w="110"/>
            </w:tcMar>
            <w:vAlign w:val="center"/>
          </w:tcPr>
          <w:p>
            <w:pPr>
              <w:spacing w:after="0" w:line="264"/>
            </w:pPr>
            <w:r>
              <w:t xml:space="preserve">Public domain</w:t>
            </w:r>
          </w:p>
        </w:tc>
        <w:tc>
          <w:tcPr>
            <w:tcW w:type="dxa" w:w="3360"/>
            <w:shd w:fill="EEF2F8" w:val="clear"/>
            <w:tcMar>
              <w:top w:type="dxa" w:w="70"/>
              <w:left w:type="dxa" w:w="110"/>
              <w:bottom w:type="dxa" w:w="70"/>
              <w:right w:type="dxa" w:w="110"/>
            </w:tcMar>
            <w:vAlign w:val="center"/>
          </w:tcPr>
          <w:p>
            <w:pPr>
              <w:spacing w:after="0" w:line="264"/>
            </w:pPr>
            <w:r>
              <w:t xml:space="preserve">CCD codes for modified residues and ions — already used by Boltz-2 inputs.</w:t>
            </w:r>
          </w:p>
        </w:tc>
        <w:tc>
          <w:tcPr>
            <w:tcW w:type="dxa" w:w="1250"/>
            <w:shd w:fill="EEF2F8" w:val="clear"/>
            <w:tcMar>
              <w:top w:type="dxa" w:w="70"/>
              <w:left w:type="dxa" w:w="110"/>
              <w:bottom w:type="dxa" w:w="70"/>
              <w:right w:type="dxa" w:w="110"/>
            </w:tcMar>
            <w:vAlign w:val="center"/>
          </w:tcPr>
          <w:p>
            <w:pPr>
              <w:spacing w:after="0" w:line="264"/>
            </w:pPr>
            <w:r>
              <w:t xml:space="preserve">L1 + L2</w:t>
            </w:r>
          </w:p>
        </w:tc>
      </w:tr>
      <w:tr>
        <w:tc>
          <w:tcPr>
            <w:tcW w:type="dxa" w:w="1750"/>
            <w:shd w:fill="FFFFFF" w:val="clear"/>
            <w:tcMar>
              <w:top w:type="dxa" w:w="70"/>
              <w:left w:type="dxa" w:w="110"/>
              <w:bottom w:type="dxa" w:w="70"/>
              <w:right w:type="dxa" w:w="110"/>
            </w:tcMar>
            <w:vAlign w:val="center"/>
          </w:tcPr>
          <w:p>
            <w:pPr>
              <w:spacing w:after="0" w:line="264"/>
            </w:pPr>
            <w:r>
              <w:t xml:space="preserve">WHO INN lists</w:t>
            </w:r>
          </w:p>
        </w:tc>
        <w:tc>
          <w:tcPr>
            <w:tcW w:type="dxa" w:w="1550"/>
            <w:shd w:fill="FFFFFF" w:val="clear"/>
            <w:tcMar>
              <w:top w:type="dxa" w:w="70"/>
              <w:left w:type="dxa" w:w="110"/>
              <w:bottom w:type="dxa" w:w="70"/>
              <w:right w:type="dxa" w:w="110"/>
            </w:tcMar>
            <w:vAlign w:val="center"/>
          </w:tcPr>
          <w:p>
            <w:pPr>
              <w:spacing w:after="0" w:line="264"/>
            </w:pPr>
            <w:r>
              <w:t xml:space="preserve">Approved-drug names</w:t>
            </w:r>
          </w:p>
        </w:tc>
        <w:tc>
          <w:tcPr>
            <w:tcW w:type="dxa" w:w="1450"/>
            <w:shd w:fill="FFFFFF" w:val="clear"/>
            <w:tcMar>
              <w:top w:type="dxa" w:w="70"/>
              <w:left w:type="dxa" w:w="110"/>
              <w:bottom w:type="dxa" w:w="70"/>
              <w:right w:type="dxa" w:w="110"/>
            </w:tcMar>
            <w:vAlign w:val="center"/>
          </w:tcPr>
          <w:p>
            <w:pPr>
              <w:spacing w:after="0" w:line="264"/>
            </w:pPr>
            <w:r>
              <w:t xml:space="preserve">Public</w:t>
            </w:r>
          </w:p>
        </w:tc>
        <w:tc>
          <w:tcPr>
            <w:tcW w:type="dxa" w:w="3360"/>
            <w:shd w:fill="FFFFFF" w:val="clear"/>
            <w:tcMar>
              <w:top w:type="dxa" w:w="70"/>
              <w:left w:type="dxa" w:w="110"/>
              <w:bottom w:type="dxa" w:w="70"/>
              <w:right w:type="dxa" w:w="110"/>
            </w:tcMar>
            <w:vAlign w:val="center"/>
          </w:tcPr>
          <w:p>
            <w:pPr>
              <w:spacing w:after="0" w:line="264"/>
            </w:pPr>
            <w:r>
              <w:t xml:space="preserve">Therapeutic-precedent matching for biologics (“similar drugs”, all modalities).</w:t>
            </w:r>
          </w:p>
        </w:tc>
        <w:tc>
          <w:tcPr>
            <w:tcW w:type="dxa" w:w="1250"/>
            <w:shd w:fill="FFFFFF" w:val="clear"/>
            <w:tcMar>
              <w:top w:type="dxa" w:w="70"/>
              <w:left w:type="dxa" w:w="110"/>
              <w:bottom w:type="dxa" w:w="70"/>
              <w:right w:type="dxa" w:w="110"/>
            </w:tcMar>
            <w:vAlign w:val="center"/>
          </w:tcPr>
          <w:p>
            <w:pPr>
              <w:spacing w:after="0" w:line="264"/>
            </w:pPr>
            <w:r>
              <w:t xml:space="preserve">L1</w:t>
            </w:r>
          </w:p>
        </w:tc>
      </w:tr>
      <w:tr>
        <w:tc>
          <w:tcPr>
            <w:tcW w:type="dxa" w:w="1750"/>
            <w:shd w:fill="EEF2F8" w:val="clear"/>
            <w:tcMar>
              <w:top w:type="dxa" w:w="70"/>
              <w:left w:type="dxa" w:w="110"/>
              <w:bottom w:type="dxa" w:w="70"/>
              <w:right w:type="dxa" w:w="110"/>
            </w:tcMar>
            <w:vAlign w:val="center"/>
          </w:tcPr>
          <w:p>
            <w:pPr>
              <w:spacing w:after="0" w:line="264"/>
            </w:pPr>
            <w:r>
              <w:rPr>
                <w:rFonts w:ascii="Arial" w:cs="Arial" w:eastAsia="Arial" w:hAnsi="Arial"/>
                <w:b/>
                <w:bCs/>
                <w:i w:val="false"/>
                <w:iCs w:val="false"/>
              </w:rPr>
              <w:t xml:space="preserve">SAbDab / Thera-SAbDab</w:t>
            </w:r>
          </w:p>
        </w:tc>
        <w:tc>
          <w:tcPr>
            <w:tcW w:type="dxa" w:w="1550"/>
            <w:shd w:fill="EEF2F8" w:val="clear"/>
            <w:tcMar>
              <w:top w:type="dxa" w:w="70"/>
              <w:left w:type="dxa" w:w="110"/>
              <w:bottom w:type="dxa" w:w="70"/>
              <w:right w:type="dxa" w:w="110"/>
            </w:tcMar>
            <w:vAlign w:val="center"/>
          </w:tcPr>
          <w:p>
            <w:pPr>
              <w:spacing w:after="0" w:line="264"/>
            </w:pPr>
            <w:r>
              <w:t xml:space="preserve">Antibody structures + therapeutics</w:t>
            </w:r>
          </w:p>
        </w:tc>
        <w:tc>
          <w:tcPr>
            <w:tcW w:type="dxa" w:w="1450"/>
            <w:shd w:fill="EEF2F8" w:val="clear"/>
            <w:tcMar>
              <w:top w:type="dxa" w:w="70"/>
              <w:left w:type="dxa" w:w="110"/>
              <w:bottom w:type="dxa" w:w="70"/>
              <w:right w:type="dxa" w:w="110"/>
            </w:tcMar>
            <w:vAlign w:val="center"/>
          </w:tcPr>
          <w:p>
            <w:pPr>
              <w:spacing w:after="0" w:line="264"/>
            </w:pPr>
            <w:r>
              <w:rPr>
                <w:rFonts w:ascii="Arial" w:cs="Arial" w:eastAsia="Arial" w:hAnsi="Arial"/>
                <w:b/>
                <w:bCs/>
                <w:i w:val="false"/>
                <w:iCs w:val="false"/>
                <w:color w:val="B45309"/>
              </w:rPr>
              <w:t xml:space="preserve">VERIFY</w:t>
            </w:r>
          </w:p>
        </w:tc>
        <w:tc>
          <w:tcPr>
            <w:tcW w:type="dxa" w:w="3360"/>
            <w:shd w:fill="EEF2F8" w:val="clear"/>
            <w:tcMar>
              <w:top w:type="dxa" w:w="70"/>
              <w:left w:type="dxa" w:w="110"/>
              <w:bottom w:type="dxa" w:w="70"/>
              <w:right w:type="dxa" w:w="110"/>
            </w:tcMar>
            <w:vAlign w:val="center"/>
          </w:tcPr>
          <w:p>
            <w:pPr>
              <w:spacing w:after="0" w:line="264"/>
            </w:pPr>
            <w:r>
              <w:t xml:space="preserve">Antibody structures and approved-therapeutic precedents. Underlying data is PDB-derived; confirm OPIG commercial terms or derive equivalently from PDB + WHO INN.</w:t>
            </w:r>
          </w:p>
        </w:tc>
        <w:tc>
          <w:tcPr>
            <w:tcW w:type="dxa" w:w="1250"/>
            <w:shd w:fill="EEF2F8" w:val="clear"/>
            <w:tcMar>
              <w:top w:type="dxa" w:w="70"/>
              <w:left w:type="dxa" w:w="110"/>
              <w:bottom w:type="dxa" w:w="70"/>
              <w:right w:type="dxa" w:w="110"/>
            </w:tcMar>
            <w:vAlign w:val="center"/>
          </w:tcPr>
          <w:p>
            <w:pPr>
              <w:spacing w:after="0" w:line="264"/>
            </w:pPr>
            <w:r>
              <w:t xml:space="preserve">L1</w:t>
            </w:r>
          </w:p>
        </w:tc>
      </w:tr>
      <w:tr>
        <w:tc>
          <w:tcPr>
            <w:tcW w:type="dxa" w:w="1750"/>
            <w:shd w:fill="FFFFFF" w:val="clear"/>
            <w:tcMar>
              <w:top w:type="dxa" w:w="70"/>
              <w:left w:type="dxa" w:w="110"/>
              <w:bottom w:type="dxa" w:w="70"/>
              <w:right w:type="dxa" w:w="110"/>
            </w:tcMar>
            <w:vAlign w:val="center"/>
          </w:tcPr>
          <w:p>
            <w:pPr>
              <w:spacing w:after="0" w:line="264"/>
            </w:pPr>
            <w:r>
              <w:rPr>
                <w:rFonts w:ascii="Arial" w:cs="Arial" w:eastAsia="Arial" w:hAnsi="Arial"/>
                <w:b/>
                <w:bCs/>
                <w:i w:val="false"/>
                <w:iCs w:val="false"/>
              </w:rPr>
              <w:t xml:space="preserve">OAS (Observed Antibody Space)</w:t>
            </w:r>
          </w:p>
        </w:tc>
        <w:tc>
          <w:tcPr>
            <w:tcW w:type="dxa" w:w="1550"/>
            <w:shd w:fill="FFFFFF" w:val="clear"/>
            <w:tcMar>
              <w:top w:type="dxa" w:w="70"/>
              <w:left w:type="dxa" w:w="110"/>
              <w:bottom w:type="dxa" w:w="70"/>
              <w:right w:type="dxa" w:w="110"/>
            </w:tcMar>
            <w:vAlign w:val="center"/>
          </w:tcPr>
          <w:p>
            <w:pPr>
              <w:spacing w:after="0" w:line="264"/>
            </w:pPr>
            <w:r>
              <w:t xml:space="preserve">Natural antibody repertoires</w:t>
            </w:r>
          </w:p>
        </w:tc>
        <w:tc>
          <w:tcPr>
            <w:tcW w:type="dxa" w:w="1450"/>
            <w:shd w:fill="FFFFFF" w:val="clear"/>
            <w:tcMar>
              <w:top w:type="dxa" w:w="70"/>
              <w:left w:type="dxa" w:w="110"/>
              <w:bottom w:type="dxa" w:w="70"/>
              <w:right w:type="dxa" w:w="110"/>
            </w:tcMar>
            <w:vAlign w:val="center"/>
          </w:tcPr>
          <w:p>
            <w:pPr>
              <w:spacing w:after="0" w:line="264"/>
            </w:pPr>
            <w:r>
              <w:rPr>
                <w:rFonts w:ascii="Arial" w:cs="Arial" w:eastAsia="Arial" w:hAnsi="Arial"/>
                <w:b/>
                <w:bCs/>
                <w:i w:val="false"/>
                <w:iCs w:val="false"/>
                <w:color w:val="B45309"/>
              </w:rPr>
              <w:t xml:space="preserve">VERIFY</w:t>
            </w:r>
          </w:p>
        </w:tc>
        <w:tc>
          <w:tcPr>
            <w:tcW w:type="dxa" w:w="3360"/>
            <w:shd w:fill="FFFFFF" w:val="clear"/>
            <w:tcMar>
              <w:top w:type="dxa" w:w="70"/>
              <w:left w:type="dxa" w:w="110"/>
              <w:bottom w:type="dxa" w:w="70"/>
              <w:right w:type="dxa" w:w="110"/>
            </w:tcMar>
            <w:vAlign w:val="center"/>
          </w:tcPr>
          <w:p>
            <w:pPr>
              <w:spacing w:after="0" w:line="264"/>
            </w:pPr>
            <w:r>
              <w:t xml:space="preserve">~10^9 natural antibody sequences for humanness scoring. Confirm CC terms for commercial training use.</w:t>
            </w:r>
          </w:p>
        </w:tc>
        <w:tc>
          <w:tcPr>
            <w:tcW w:type="dxa" w:w="1250"/>
            <w:shd w:fill="FFFFFF" w:val="clear"/>
            <w:tcMar>
              <w:top w:type="dxa" w:w="70"/>
              <w:left w:type="dxa" w:w="110"/>
              <w:bottom w:type="dxa" w:w="70"/>
              <w:right w:type="dxa" w:w="110"/>
            </w:tcMar>
            <w:vAlign w:val="center"/>
          </w:tcPr>
          <w:p>
            <w:pPr>
              <w:spacing w:after="0" w:line="264"/>
            </w:pPr>
            <w:r>
              <w:t xml:space="preserve">L1</w:t>
            </w:r>
          </w:p>
        </w:tc>
      </w:tr>
      <w:tr>
        <w:tc>
          <w:tcPr>
            <w:tcW w:type="dxa" w:w="1750"/>
            <w:shd w:fill="EEF2F8" w:val="clear"/>
            <w:tcMar>
              <w:top w:type="dxa" w:w="70"/>
              <w:left w:type="dxa" w:w="110"/>
              <w:bottom w:type="dxa" w:w="70"/>
              <w:right w:type="dxa" w:w="110"/>
            </w:tcMar>
            <w:vAlign w:val="center"/>
          </w:tcPr>
          <w:p>
            <w:pPr>
              <w:spacing w:after="0" w:line="264"/>
            </w:pPr>
            <w:r>
              <w:rPr>
                <w:rFonts w:ascii="Arial" w:cs="Arial" w:eastAsia="Arial" w:hAnsi="Arial"/>
                <w:b/>
                <w:bCs/>
                <w:i w:val="false"/>
                <w:iCs w:val="false"/>
              </w:rPr>
              <w:t xml:space="preserve">OGRDB germline sets</w:t>
            </w:r>
          </w:p>
        </w:tc>
        <w:tc>
          <w:tcPr>
            <w:tcW w:type="dxa" w:w="1550"/>
            <w:shd w:fill="EEF2F8" w:val="clear"/>
            <w:tcMar>
              <w:top w:type="dxa" w:w="70"/>
              <w:left w:type="dxa" w:w="110"/>
              <w:bottom w:type="dxa" w:w="70"/>
              <w:right w:type="dxa" w:w="110"/>
            </w:tcMar>
            <w:vAlign w:val="center"/>
          </w:tcPr>
          <w:p>
            <w:pPr>
              <w:spacing w:after="0" w:line="264"/>
            </w:pPr>
            <w:r>
              <w:t xml:space="preserve">Ig germline reference</w:t>
            </w:r>
          </w:p>
        </w:tc>
        <w:tc>
          <w:tcPr>
            <w:tcW w:type="dxa" w:w="1450"/>
            <w:shd w:fill="EEF2F8" w:val="clear"/>
            <w:tcMar>
              <w:top w:type="dxa" w:w="70"/>
              <w:left w:type="dxa" w:w="110"/>
              <w:bottom w:type="dxa" w:w="70"/>
              <w:right w:type="dxa" w:w="110"/>
            </w:tcMar>
            <w:vAlign w:val="center"/>
          </w:tcPr>
          <w:p>
            <w:pPr>
              <w:spacing w:after="0" w:line="264"/>
            </w:pPr>
            <w:r>
              <w:t xml:space="preserve">Open / CC</w:t>
            </w:r>
          </w:p>
        </w:tc>
        <w:tc>
          <w:tcPr>
            <w:tcW w:type="dxa" w:w="3360"/>
            <w:shd w:fill="EEF2F8" w:val="clear"/>
            <w:tcMar>
              <w:top w:type="dxa" w:w="70"/>
              <w:left w:type="dxa" w:w="110"/>
              <w:bottom w:type="dxa" w:w="70"/>
              <w:right w:type="dxa" w:w="110"/>
            </w:tcMar>
            <w:vAlign w:val="center"/>
          </w:tcPr>
          <w:p>
            <w:pPr>
              <w:spacing w:after="0" w:line="264"/>
            </w:pPr>
            <w:r>
              <w:t xml:space="preserve">Germline-similarity humanness scoring — a commercial-safe substitute for IMGT germline data.</w:t>
            </w:r>
          </w:p>
        </w:tc>
        <w:tc>
          <w:tcPr>
            <w:tcW w:type="dxa" w:w="1250"/>
            <w:shd w:fill="EEF2F8" w:val="clear"/>
            <w:tcMar>
              <w:top w:type="dxa" w:w="70"/>
              <w:left w:type="dxa" w:w="110"/>
              <w:bottom w:type="dxa" w:w="70"/>
              <w:right w:type="dxa" w:w="110"/>
            </w:tcMar>
            <w:vAlign w:val="center"/>
          </w:tcPr>
          <w:p>
            <w:pPr>
              <w:spacing w:after="0" w:line="264"/>
            </w:pPr>
            <w:r>
              <w:t xml:space="preserve">L1</w:t>
            </w:r>
          </w:p>
        </w:tc>
      </w:tr>
    </w:tbl>
    <w:p>
      <w:pPr>
        <w:pStyle w:val="Heading2"/>
        <w:spacing w:after="120" w:before="240"/>
      </w:pPr>
      <w:r>
        <w:t xml:space="preserve">6.4  Tools to avoid (licensing)</w:t>
      </w:r>
    </w:p>
    <w:p>
      <w:pPr>
        <w:pStyle w:val="ListParagraph"/>
        <w:numPr>
          <w:ilvl w:val="0"/>
          <w:numId w:val="2"/>
        </w:numPr>
        <w:spacing w:after="80" w:line="276"/>
      </w:pPr>
      <w:r>
        <w:rPr>
          <w:rFonts w:ascii="Arial" w:cs="Arial" w:eastAsia="Arial" w:hAnsi="Arial"/>
          <w:b/>
          <w:bCs/>
          <w:i w:val="false"/>
          <w:iCs w:val="false"/>
        </w:rPr>
        <w:t xml:space="preserve">AlphaFold 3 weights </w:t>
      </w:r>
      <w:r>
        <w:t xml:space="preserve">— non-commercial, gated. You already correctly chose Boltz-2 instead; keep it that way.</w:t>
      </w:r>
    </w:p>
    <w:p>
      <w:pPr>
        <w:pStyle w:val="ListParagraph"/>
        <w:numPr>
          <w:ilvl w:val="0"/>
          <w:numId w:val="2"/>
        </w:numPr>
        <w:spacing w:after="80" w:line="276"/>
      </w:pPr>
      <w:r>
        <w:rPr>
          <w:rFonts w:ascii="Arial" w:cs="Arial" w:eastAsia="Arial" w:hAnsi="Arial"/>
          <w:b/>
          <w:bCs/>
          <w:i w:val="false"/>
          <w:iCs w:val="false"/>
        </w:rPr>
        <w:t xml:space="preserve">ESM-3 </w:t>
      </w:r>
      <w:r>
        <w:t xml:space="preserve">— its community licence explicitly prohibits use in drug development or discovery. Do not adopt it. (ESM-2, which you already use, is MIT and fine.)</w:t>
      </w:r>
    </w:p>
    <w:p>
      <w:pPr>
        <w:pStyle w:val="ListParagraph"/>
        <w:numPr>
          <w:ilvl w:val="0"/>
          <w:numId w:val="2"/>
        </w:numPr>
        <w:spacing w:after="80" w:line="276"/>
      </w:pPr>
      <w:r>
        <w:rPr>
          <w:rFonts w:ascii="Arial" w:cs="Arial" w:eastAsia="Arial" w:hAnsi="Arial"/>
          <w:b/>
          <w:bCs/>
          <w:i w:val="false"/>
          <w:iCs w:val="false"/>
        </w:rPr>
        <w:t xml:space="preserve">NetMHCIIpan / NetMHCpan </w:t>
      </w:r>
      <w:r>
        <w:t xml:space="preserve">— academic-use-only. Do not call them in a commercial product; train your own MHC-II model on IEDB data instead (Section 5.1).</w:t>
      </w:r>
    </w:p>
    <w:p>
      <w:pPr>
        <w:pStyle w:val="ListParagraph"/>
        <w:numPr>
          <w:ilvl w:val="0"/>
          <w:numId w:val="2"/>
        </w:numPr>
        <w:spacing w:after="80" w:line="276"/>
      </w:pPr>
      <w:r>
        <w:rPr>
          <w:rFonts w:ascii="Arial" w:cs="Arial" w:eastAsia="Arial" w:hAnsi="Arial"/>
          <w:b/>
          <w:bCs/>
          <w:i w:val="false"/>
          <w:iCs w:val="false"/>
        </w:rPr>
        <w:t xml:space="preserve">ViennaRNA </w:t>
      </w:r>
      <w:r>
        <w:t xml:space="preserve">— GPL; awkward to embed in a proprietary product. Use seqfold (MIT) for nucleic-acid folding.</w:t>
      </w:r>
    </w:p>
    <w:p>
      <w:pPr>
        <w:pStyle w:val="ListParagraph"/>
        <w:numPr>
          <w:ilvl w:val="0"/>
          <w:numId w:val="2"/>
        </w:numPr>
        <w:spacing w:after="80" w:line="276"/>
      </w:pPr>
      <w:r>
        <w:rPr>
          <w:rFonts w:ascii="Arial" w:cs="Arial" w:eastAsia="Arial" w:hAnsi="Arial"/>
          <w:b/>
          <w:bCs/>
          <w:i w:val="false"/>
          <w:iCs w:val="false"/>
        </w:rPr>
        <w:t xml:space="preserve">IMGT data/tools </w:t>
      </w:r>
      <w:r>
        <w:t xml:space="preserve">— academic-use restrictions. Use ANARCI (BSD) for numbering and OGRDB for germline reference.</w:t>
      </w:r>
    </w:p>
    <w:p>
      <w:pPr>
        <w:pStyle w:val="ListParagraph"/>
        <w:numPr>
          <w:ilvl w:val="0"/>
          <w:numId w:val="2"/>
        </w:numPr>
        <w:spacing w:after="80" w:line="276"/>
      </w:pPr>
      <w:r>
        <w:rPr>
          <w:rFonts w:ascii="Arial" w:cs="Arial" w:eastAsia="Arial" w:hAnsi="Arial"/>
          <w:b/>
          <w:bCs/>
          <w:i w:val="false"/>
          <w:iCs w:val="false"/>
        </w:rPr>
        <w:t xml:space="preserve">OPIG webservers (TAP, Hu-mAb, ABodyBuilder, etc.) </w:t>
      </w:r>
      <w:r>
        <w:t xml:space="preserve">— excellent science, but academic open-innovation terms. Re-implement the published metrics from public data rather than calling the servers.</w:t>
      </w:r>
    </w:p>
    <w:p>
      <w:r>
        <w:br w:type="page"/>
      </w:r>
    </w:p>
    <w:p>
      <w:pPr>
        <w:pStyle w:val="Heading1"/>
        <w:spacing w:after="160" w:before="320"/>
      </w:pPr>
      <w:r>
        <w:t xml:space="preserve">7.  Cross-Cutting Upgrades</w:t>
      </w:r>
    </w:p>
    <w:p>
      <w:pPr>
        <w:spacing w:after="120" w:before="0" w:line="276"/>
      </w:pPr>
      <w:r>
        <w:t xml:space="preserve">These apply across modalities and should be threaded through the phases rather than done as a separate block.</w:t>
      </w:r>
    </w:p>
    <w:p>
      <w:pPr>
        <w:pStyle w:val="Heading2"/>
        <w:spacing w:after="120" w:before="240"/>
      </w:pPr>
      <w:r>
        <w:t xml:space="preserve">7.1  Hard modality guards on small-molecule-only modules</w:t>
      </w:r>
    </w:p>
    <w:p>
      <w:pPr>
        <w:spacing w:after="120" w:before="0" w:line="276"/>
      </w:pPr>
      <w:r>
        <w:t xml:space="preserve">The 2-compartment PBPK (pbpk.ts), the Lipinski / Veber rules, the heuristic ADMET engine and the RDKit descriptor foundation are correct for small molecules and </w:t>
      </w:r>
      <w:r>
        <w:rPr>
          <w:rFonts w:ascii="Arial" w:cs="Arial" w:eastAsia="Arial" w:hAnsi="Arial"/>
          <w:b/>
          <w:bCs/>
          <w:i w:val="false"/>
          <w:iCs w:val="false"/>
        </w:rPr>
        <w:t xml:space="preserve">wrong</w:t>
      </w:r>
      <w:r>
        <w:t xml:space="preserve"> for biologics. Once the modality router exists, every one of these must check the modality and refuse — returning an explicit out-of-scope status — rather than silently producing a number. An antibody half-life from a small-molecule PBPK would be off by orders of magnitude; under your honesty contract, silent nonsense is the worst possible outcome.</w:t>
      </w:r>
    </w:p>
    <w:p>
      <w:pPr>
        <w:pStyle w:val="Heading2"/>
        <w:spacing w:after="120" w:before="240"/>
      </w:pPr>
      <w:r>
        <w:t xml:space="preserve">7.2  Extend the confirmation engine's falsifier registry</w:t>
      </w:r>
    </w:p>
    <w:p>
      <w:pPr>
        <w:spacing w:after="120" w:before="0" w:line="276"/>
      </w:pPr>
      <w:r>
        <w:t xml:space="preserve">The confirmation engine is modality-agnostic governance and should be reused as-is — but its falsifier registry and tolerance bands are currently small-molecule-shaped (CYP, clearance, hERG-PBPK). Add per-modality falsifier classes: peptide proteolytic stability and immunogenicity; antibody Tm, SPR KD, ADA incidence and aggregation; oligo knockdown efficacy and off-target count; PROTAC DC50 / Dmax. The framework already supports the comparators (lt/lte/gt/gte/eq/fold) — this is registry content, not new machinery.</w:t>
      </w:r>
    </w:p>
    <w:p>
      <w:pPr>
        <w:pStyle w:val="Heading2"/>
        <w:spacing w:after="120" w:before="240"/>
      </w:pPr>
      <w:r>
        <w:t xml:space="preserve">7.3  Version the PreClinicalPackage schema</w:t>
      </w:r>
    </w:p>
    <w:p>
      <w:pPr>
        <w:spacing w:after="120" w:before="0" w:line="276"/>
      </w:pPr>
      <w:r>
        <w:t xml:space="preserve">Adding modalities changes the shape of the sealed evidence block. Version the package schema now (e.g. an explicit schema-version field and a modality field) so the seal chain stays verifiable across the transition and older packages remain readable.</w:t>
      </w:r>
    </w:p>
    <w:p>
      <w:pPr>
        <w:pStyle w:val="Heading2"/>
        <w:spacing w:after="120" w:before="240"/>
      </w:pPr>
      <w:r>
        <w:t xml:space="preserve">7.4  Self-hosted MSA option for privacy</w:t>
      </w:r>
    </w:p>
    <w:p>
      <w:pPr>
        <w:spacing w:after="120" w:before="0" w:line="276"/>
      </w:pPr>
      <w:r>
        <w:t xml:space="preserve">See 2.3-E. Offer an mmseqs2-based self-hosted MSA (or single-sequence mode) so a client's proprietary target sequence never has to leave your infrastructure. For a platform whose pitch includes “privacy-first” this is not optional polish — it is consistency between the product and its promise.</w:t>
      </w:r>
    </w:p>
    <w:p>
      <w:pPr>
        <w:pStyle w:val="Heading2"/>
        <w:spacing w:after="120" w:before="240"/>
      </w:pPr>
      <w:r>
        <w:t xml:space="preserve">7.5  Model cards for every model</w:t>
      </w:r>
    </w:p>
    <w:p>
      <w:pPr>
        <w:spacing w:after="120" w:before="0" w:line="276"/>
      </w:pPr>
      <w:r>
        <w:t xml:space="preserve">HAIOps pillar 1 promises a model card per ML prediction. Today Boltz-2 is not named anywhere user- or regulator-facing. Produce a model card for Boltz-2 (version, training data class, license, validation, applicability domain) and, while you are there, for the six existing ML models and the eleven calibrated QSPR models. This is also a natural place to record the structure-confidence gating policy from 3.3.</w:t>
      </w:r>
    </w:p>
    <w:p>
      <w:pPr>
        <w:pStyle w:val="Heading2"/>
        <w:spacing w:after="120" w:before="240"/>
      </w:pPr>
      <w:r>
        <w:t xml:space="preserve">7.6  Caching, batching and structure storage</w:t>
      </w:r>
    </w:p>
    <w:p>
      <w:pPr>
        <w:spacing w:after="120" w:before="0" w:line="276"/>
      </w:pPr>
      <w:r>
        <w:t xml:space="preserve">Carry the Phase-0 reliability items (2.3-F, G, I) forward: MSA cache keyed by sequence hash, apo-structure reuse as a template, a batch co-folding endpoint against a shared receptor, and content-hashed structure storage in object storage. These compound in value as biologics and lead-optimisation workflows arrive.</w:t>
      </w:r>
    </w:p>
    <w:p>
      <w:r>
        <w:br w:type="page"/>
      </w:r>
    </w:p>
    <w:p>
      <w:pPr>
        <w:pStyle w:val="Heading1"/>
        <w:spacing w:after="160" w:before="320"/>
      </w:pPr>
      <w:r>
        <w:t xml:space="preserve">8.  Phased Roadmap</w:t>
      </w:r>
    </w:p>
    <w:p>
      <w:pPr>
        <w:spacing w:after="120" w:before="0" w:line="276"/>
      </w:pPr>
      <w:r>
        <w:t xml:space="preserve">Effort estimates assume one engineer familiar with the codebase; they are relative sizing, not commitments. The ordering is deliberate: prove the wiring (Phase 0), add the cheapest modality (Phase 1), then the highest-value one (Phase 2), then the specialist modalities (Phase 3), then the composite (Phase 4).</w:t>
      </w:r>
    </w:p>
    <w:tbl>
      <w:tblPr>
        <w:tblW w:type="dxa" w:w="9360"/>
        <w:tblBorders>
          <w:top w:val="single" w:color="BFBFBF" w:sz="1"/>
          <w:left w:val="single" w:color="BFBFBF" w:sz="1"/>
          <w:bottom w:val="single" w:color="BFBFBF" w:sz="1"/>
          <w:right w:val="single" w:color="BFBFBF" w:sz="1"/>
          <w:insideH w:val="single" w:color="BFBFBF" w:sz="1"/>
          <w:insideV w:val="single" w:color="BFBFBF" w:sz="1"/>
        </w:tblBorders>
      </w:tblPr>
      <w:tblGrid>
        <w:gridCol w:w="900"/>
        <w:gridCol w:w="2700"/>
        <w:gridCol w:w="4360"/>
        <w:gridCol w:w="1400"/>
      </w:tblGrid>
      <w:tr>
        <w:trPr>
          <w:tblHeader/>
        </w:trPr>
        <w:tc>
          <w:tcPr>
            <w:tcW w:type="dxa" w:w="900"/>
            <w:shd w:fill="1F3864" w:val="clear"/>
            <w:tcMar>
              <w:top w:type="dxa" w:w="70"/>
              <w:left w:type="dxa" w:w="110"/>
              <w:bottom w:type="dxa" w:w="70"/>
              <w:right w:type="dxa" w:w="110"/>
            </w:tcMar>
            <w:vAlign w:val="center"/>
          </w:tcPr>
          <w:p>
            <w:pPr>
              <w:spacing w:after="0" w:line="264"/>
            </w:pPr>
            <w:r>
              <w:rPr>
                <w:rFonts w:ascii="Arial" w:cs="Arial" w:eastAsia="Arial" w:hAnsi="Arial"/>
                <w:b/>
                <w:bCs/>
                <w:i w:val="false"/>
                <w:iCs w:val="false"/>
                <w:color w:val="FFFFFF"/>
              </w:rPr>
              <w:t xml:space="preserve">Phase</w:t>
            </w:r>
          </w:p>
        </w:tc>
        <w:tc>
          <w:tcPr>
            <w:tcW w:type="dxa" w:w="2700"/>
            <w:shd w:fill="1F3864" w:val="clear"/>
            <w:tcMar>
              <w:top w:type="dxa" w:w="70"/>
              <w:left w:type="dxa" w:w="110"/>
              <w:bottom w:type="dxa" w:w="70"/>
              <w:right w:type="dxa" w:w="110"/>
            </w:tcMar>
            <w:vAlign w:val="center"/>
          </w:tcPr>
          <w:p>
            <w:pPr>
              <w:spacing w:after="0" w:line="264"/>
            </w:pPr>
            <w:r>
              <w:rPr>
                <w:rFonts w:ascii="Arial" w:cs="Arial" w:eastAsia="Arial" w:hAnsi="Arial"/>
                <w:b/>
                <w:bCs/>
                <w:i w:val="false"/>
                <w:iCs w:val="false"/>
                <w:color w:val="FFFFFF"/>
              </w:rPr>
              <w:t xml:space="preserve">Scope</w:t>
            </w:r>
          </w:p>
        </w:tc>
        <w:tc>
          <w:tcPr>
            <w:tcW w:type="dxa" w:w="4360"/>
            <w:shd w:fill="1F3864" w:val="clear"/>
            <w:tcMar>
              <w:top w:type="dxa" w:w="70"/>
              <w:left w:type="dxa" w:w="110"/>
              <w:bottom w:type="dxa" w:w="70"/>
              <w:right w:type="dxa" w:w="110"/>
            </w:tcMar>
            <w:vAlign w:val="center"/>
          </w:tcPr>
          <w:p>
            <w:pPr>
              <w:spacing w:after="0" w:line="264"/>
            </w:pPr>
            <w:r>
              <w:rPr>
                <w:rFonts w:ascii="Arial" w:cs="Arial" w:eastAsia="Arial" w:hAnsi="Arial"/>
                <w:b/>
                <w:bCs/>
                <w:i w:val="false"/>
                <w:iCs w:val="false"/>
                <w:color w:val="FFFFFF"/>
              </w:rPr>
              <w:t xml:space="preserve">Key deliverables</w:t>
            </w:r>
          </w:p>
        </w:tc>
        <w:tc>
          <w:tcPr>
            <w:tcW w:type="dxa" w:w="1400"/>
            <w:shd w:fill="1F3864" w:val="clear"/>
            <w:tcMar>
              <w:top w:type="dxa" w:w="70"/>
              <w:left w:type="dxa" w:w="110"/>
              <w:bottom w:type="dxa" w:w="70"/>
              <w:right w:type="dxa" w:w="110"/>
            </w:tcMar>
            <w:vAlign w:val="center"/>
          </w:tcPr>
          <w:p>
            <w:pPr>
              <w:spacing w:after="0" w:line="264"/>
            </w:pPr>
            <w:r>
              <w:rPr>
                <w:rFonts w:ascii="Arial" w:cs="Arial" w:eastAsia="Arial" w:hAnsi="Arial"/>
                <w:b/>
                <w:bCs/>
                <w:i w:val="false"/>
                <w:iCs w:val="false"/>
                <w:color w:val="FFFFFF"/>
              </w:rPr>
              <w:t xml:space="preserve">Effort</w:t>
            </w:r>
          </w:p>
        </w:tc>
      </w:tr>
      <w:tr>
        <w:tc>
          <w:tcPr>
            <w:tcW w:type="dxa" w:w="900"/>
            <w:shd w:fill="EEF2F8" w:val="clear"/>
            <w:tcMar>
              <w:top w:type="dxa" w:w="70"/>
              <w:left w:type="dxa" w:w="110"/>
              <w:bottom w:type="dxa" w:w="70"/>
              <w:right w:type="dxa" w:w="110"/>
            </w:tcMar>
            <w:vAlign w:val="center"/>
          </w:tcPr>
          <w:p>
            <w:pPr>
              <w:spacing w:after="0" w:line="264"/>
            </w:pPr>
            <w:r>
              <w:rPr>
                <w:rFonts w:ascii="Arial" w:cs="Arial" w:eastAsia="Arial" w:hAnsi="Arial"/>
                <w:b/>
                <w:bCs/>
                <w:i w:val="false"/>
                <w:iCs w:val="false"/>
              </w:rPr>
              <w:t xml:space="preserve">0</w:t>
            </w:r>
          </w:p>
        </w:tc>
        <w:tc>
          <w:tcPr>
            <w:tcW w:type="dxa" w:w="2700"/>
            <w:shd w:fill="EEF2F8" w:val="clear"/>
            <w:tcMar>
              <w:top w:type="dxa" w:w="70"/>
              <w:left w:type="dxa" w:w="110"/>
              <w:bottom w:type="dxa" w:w="70"/>
              <w:right w:type="dxa" w:w="110"/>
            </w:tcMar>
            <w:vAlign w:val="center"/>
          </w:tcPr>
          <w:p>
            <w:pPr>
              <w:spacing w:after="0" w:line="264"/>
            </w:pPr>
            <w:r>
              <w:rPr>
                <w:rFonts w:ascii="Arial" w:cs="Arial" w:eastAsia="Arial" w:hAnsi="Arial"/>
                <w:b/>
                <w:bCs/>
                <w:i w:val="false"/>
                <w:iCs w:val="false"/>
              </w:rPr>
              <w:t xml:space="preserve">Wire Boltz-2 into L1 / L2</w:t>
            </w:r>
          </w:p>
        </w:tc>
        <w:tc>
          <w:tcPr>
            <w:tcW w:type="dxa" w:w="4360"/>
            <w:shd w:fill="EEF2F8" w:val="clear"/>
            <w:tcMar>
              <w:top w:type="dxa" w:w="70"/>
              <w:left w:type="dxa" w:w="110"/>
              <w:bottom w:type="dxa" w:w="70"/>
              <w:right w:type="dxa" w:w="110"/>
            </w:tcMar>
            <w:vAlign w:val="center"/>
          </w:tcPr>
          <w:p>
            <w:pPr>
              <w:spacing w:after="0" w:line="264"/>
            </w:pPr>
            <w:r>
              <w:t xml:space="preserve">Co-folding as L2 Stage 2b; affinity into L1 binding panel + L2 Stages 3 and 8; structure-confidence gate; cofolded provenance tier; job + structure persistence; honest model naming.</w:t>
            </w:r>
          </w:p>
        </w:tc>
        <w:tc>
          <w:tcPr>
            <w:tcW w:type="dxa" w:w="1400"/>
            <w:shd w:fill="EEF2F8" w:val="clear"/>
            <w:tcMar>
              <w:top w:type="dxa" w:w="70"/>
              <w:left w:type="dxa" w:w="110"/>
              <w:bottom w:type="dxa" w:w="70"/>
              <w:right w:type="dxa" w:w="110"/>
            </w:tcMar>
            <w:vAlign w:val="center"/>
          </w:tcPr>
          <w:p>
            <w:pPr>
              <w:spacing w:after="0" w:line="264"/>
            </w:pPr>
            <w:r>
              <w:t xml:space="preserve">S–M</w:t>
            </w:r>
          </w:p>
        </w:tc>
      </w:tr>
      <w:tr>
        <w:tc>
          <w:tcPr>
            <w:tcW w:type="dxa" w:w="900"/>
            <w:shd w:fill="FFFFFF" w:val="clear"/>
            <w:tcMar>
              <w:top w:type="dxa" w:w="70"/>
              <w:left w:type="dxa" w:w="110"/>
              <w:bottom w:type="dxa" w:w="70"/>
              <w:right w:type="dxa" w:w="110"/>
            </w:tcMar>
            <w:vAlign w:val="center"/>
          </w:tcPr>
          <w:p>
            <w:pPr>
              <w:spacing w:after="0" w:line="264"/>
            </w:pPr>
            <w:r>
              <w:rPr>
                <w:rFonts w:ascii="Arial" w:cs="Arial" w:eastAsia="Arial" w:hAnsi="Arial"/>
                <w:b/>
                <w:bCs/>
                <w:i w:val="false"/>
                <w:iCs w:val="false"/>
              </w:rPr>
              <w:t xml:space="preserve">1</w:t>
            </w:r>
          </w:p>
        </w:tc>
        <w:tc>
          <w:tcPr>
            <w:tcW w:type="dxa" w:w="2700"/>
            <w:shd w:fill="FFFFFF" w:val="clear"/>
            <w:tcMar>
              <w:top w:type="dxa" w:w="70"/>
              <w:left w:type="dxa" w:w="110"/>
              <w:bottom w:type="dxa" w:w="70"/>
              <w:right w:type="dxa" w:w="110"/>
            </w:tcMar>
            <w:vAlign w:val="center"/>
          </w:tcPr>
          <w:p>
            <w:pPr>
              <w:spacing w:after="0" w:line="264"/>
            </w:pPr>
            <w:r>
              <w:t xml:space="preserve">Modality router + Peptides</w:t>
            </w:r>
          </w:p>
        </w:tc>
        <w:tc>
          <w:tcPr>
            <w:tcW w:type="dxa" w:w="4360"/>
            <w:shd w:fill="FFFFFF" w:val="clear"/>
            <w:tcMar>
              <w:top w:type="dxa" w:w="70"/>
              <w:left w:type="dxa" w:w="110"/>
              <w:bottom w:type="dxa" w:w="70"/>
              <w:right w:type="dxa" w:w="110"/>
            </w:tcMar>
            <w:vAlign w:val="center"/>
          </w:tcPr>
          <w:p>
            <w:pPr>
              <w:spacing w:after="0" w:line="264"/>
            </w:pPr>
            <w:r>
              <w:t xml:space="preserve">Modality router architecture; peptide L1 descriptors / ADMET / liabilities; IEDB-trained MHC-II immunogenicity model; peptide L2 (co-folding, PK branch, falsifiers).</w:t>
            </w:r>
          </w:p>
        </w:tc>
        <w:tc>
          <w:tcPr>
            <w:tcW w:type="dxa" w:w="1400"/>
            <w:shd w:fill="FFFFFF" w:val="clear"/>
            <w:tcMar>
              <w:top w:type="dxa" w:w="70"/>
              <w:left w:type="dxa" w:w="110"/>
              <w:bottom w:type="dxa" w:w="70"/>
              <w:right w:type="dxa" w:w="110"/>
            </w:tcMar>
            <w:vAlign w:val="center"/>
          </w:tcPr>
          <w:p>
            <w:pPr>
              <w:spacing w:after="0" w:line="264"/>
            </w:pPr>
            <w:r>
              <w:t xml:space="preserve">M</w:t>
            </w:r>
          </w:p>
        </w:tc>
      </w:tr>
      <w:tr>
        <w:tc>
          <w:tcPr>
            <w:tcW w:type="dxa" w:w="900"/>
            <w:shd w:fill="EEF2F8" w:val="clear"/>
            <w:tcMar>
              <w:top w:type="dxa" w:w="70"/>
              <w:left w:type="dxa" w:w="110"/>
              <w:bottom w:type="dxa" w:w="70"/>
              <w:right w:type="dxa" w:w="110"/>
            </w:tcMar>
            <w:vAlign w:val="center"/>
          </w:tcPr>
          <w:p>
            <w:pPr>
              <w:spacing w:after="0" w:line="264"/>
            </w:pPr>
            <w:r>
              <w:rPr>
                <w:rFonts w:ascii="Arial" w:cs="Arial" w:eastAsia="Arial" w:hAnsi="Arial"/>
                <w:b/>
                <w:bCs/>
                <w:i w:val="false"/>
                <w:iCs w:val="false"/>
              </w:rPr>
              <w:t xml:space="preserve">2</w:t>
            </w:r>
          </w:p>
        </w:tc>
        <w:tc>
          <w:tcPr>
            <w:tcW w:type="dxa" w:w="2700"/>
            <w:shd w:fill="EEF2F8" w:val="clear"/>
            <w:tcMar>
              <w:top w:type="dxa" w:w="70"/>
              <w:left w:type="dxa" w:w="110"/>
              <w:bottom w:type="dxa" w:w="70"/>
              <w:right w:type="dxa" w:w="110"/>
            </w:tcMar>
            <w:vAlign w:val="center"/>
          </w:tcPr>
          <w:p>
            <w:pPr>
              <w:spacing w:after="0" w:line="264"/>
            </w:pPr>
            <w:r>
              <w:t xml:space="preserve">Antibodies / nanobodies / bispecifics</w:t>
            </w:r>
          </w:p>
        </w:tc>
        <w:tc>
          <w:tcPr>
            <w:tcW w:type="dxa" w:w="4360"/>
            <w:shd w:fill="EEF2F8" w:val="clear"/>
            <w:tcMar>
              <w:top w:type="dxa" w:w="70"/>
              <w:left w:type="dxa" w:w="110"/>
              <w:bottom w:type="dxa" w:w="70"/>
              <w:right w:type="dxa" w:w="110"/>
            </w:tcMar>
            <w:vAlign w:val="center"/>
          </w:tcPr>
          <w:p>
            <w:pPr>
              <w:spacing w:after="0" w:line="264"/>
            </w:pPr>
            <w:r>
              <w:t xml:space="preserve">ANARCI numbering; developability profile; CDR liability scan; humanness / immunogenicity; antibody–antigen co-folding + epitope mapping; TMDD/FcRn PK model; biologics falsifiers.</w:t>
            </w:r>
          </w:p>
        </w:tc>
        <w:tc>
          <w:tcPr>
            <w:tcW w:type="dxa" w:w="1400"/>
            <w:shd w:fill="EEF2F8" w:val="clear"/>
            <w:tcMar>
              <w:top w:type="dxa" w:w="70"/>
              <w:left w:type="dxa" w:w="110"/>
              <w:bottom w:type="dxa" w:w="70"/>
              <w:right w:type="dxa" w:w="110"/>
            </w:tcMar>
            <w:vAlign w:val="center"/>
          </w:tcPr>
          <w:p>
            <w:pPr>
              <w:spacing w:after="0" w:line="264"/>
            </w:pPr>
            <w:r>
              <w:t xml:space="preserve">L</w:t>
            </w:r>
          </w:p>
        </w:tc>
      </w:tr>
      <w:tr>
        <w:tc>
          <w:tcPr>
            <w:tcW w:type="dxa" w:w="900"/>
            <w:shd w:fill="FFFFFF" w:val="clear"/>
            <w:tcMar>
              <w:top w:type="dxa" w:w="70"/>
              <w:left w:type="dxa" w:w="110"/>
              <w:bottom w:type="dxa" w:w="70"/>
              <w:right w:type="dxa" w:w="110"/>
            </w:tcMar>
            <w:vAlign w:val="center"/>
          </w:tcPr>
          <w:p>
            <w:pPr>
              <w:spacing w:after="0" w:line="264"/>
            </w:pPr>
            <w:r>
              <w:rPr>
                <w:rFonts w:ascii="Arial" w:cs="Arial" w:eastAsia="Arial" w:hAnsi="Arial"/>
                <w:b/>
                <w:bCs/>
                <w:i w:val="false"/>
                <w:iCs w:val="false"/>
              </w:rPr>
              <w:t xml:space="preserve">3</w:t>
            </w:r>
          </w:p>
        </w:tc>
        <w:tc>
          <w:tcPr>
            <w:tcW w:type="dxa" w:w="2700"/>
            <w:shd w:fill="FFFFFF" w:val="clear"/>
            <w:tcMar>
              <w:top w:type="dxa" w:w="70"/>
              <w:left w:type="dxa" w:w="110"/>
              <w:bottom w:type="dxa" w:w="70"/>
              <w:right w:type="dxa" w:w="110"/>
            </w:tcMar>
            <w:vAlign w:val="center"/>
          </w:tcPr>
          <w:p>
            <w:pPr>
              <w:spacing w:after="0" w:line="264"/>
            </w:pPr>
            <w:r>
              <w:t xml:space="preserve">Oligonucleotides + PROTACs</w:t>
            </w:r>
          </w:p>
        </w:tc>
        <w:tc>
          <w:tcPr>
            <w:tcW w:type="dxa" w:w="4360"/>
            <w:shd w:fill="FFFFFF" w:val="clear"/>
            <w:tcMar>
              <w:top w:type="dxa" w:w="70"/>
              <w:left w:type="dxa" w:w="110"/>
              <w:bottom w:type="dxa" w:w="70"/>
              <w:right w:type="dxa" w:w="110"/>
            </w:tcMar>
            <w:vAlign w:val="center"/>
          </w:tcPr>
          <w:p>
            <w:pPr>
              <w:spacing w:after="0" w:line="264"/>
            </w:pPr>
            <w:r>
              <w:t xml:space="preserve">Oligo descriptors + off-target hybridisation + oligo safety; ternary-complex co-folding for PROTACs; beyond-Ro5 handling; oligo / degrader falsifiers.</w:t>
            </w:r>
          </w:p>
        </w:tc>
        <w:tc>
          <w:tcPr>
            <w:tcW w:type="dxa" w:w="1400"/>
            <w:shd w:fill="FFFFFF" w:val="clear"/>
            <w:tcMar>
              <w:top w:type="dxa" w:w="70"/>
              <w:left w:type="dxa" w:w="110"/>
              <w:bottom w:type="dxa" w:w="70"/>
              <w:right w:type="dxa" w:w="110"/>
            </w:tcMar>
            <w:vAlign w:val="center"/>
          </w:tcPr>
          <w:p>
            <w:pPr>
              <w:spacing w:after="0" w:line="264"/>
            </w:pPr>
            <w:r>
              <w:t xml:space="preserve">L</w:t>
            </w:r>
          </w:p>
        </w:tc>
      </w:tr>
      <w:tr>
        <w:tc>
          <w:tcPr>
            <w:tcW w:type="dxa" w:w="900"/>
            <w:shd w:fill="EEF2F8" w:val="clear"/>
            <w:tcMar>
              <w:top w:type="dxa" w:w="70"/>
              <w:left w:type="dxa" w:w="110"/>
              <w:bottom w:type="dxa" w:w="70"/>
              <w:right w:type="dxa" w:w="110"/>
            </w:tcMar>
            <w:vAlign w:val="center"/>
          </w:tcPr>
          <w:p>
            <w:pPr>
              <w:spacing w:after="0" w:line="264"/>
            </w:pPr>
            <w:r>
              <w:rPr>
                <w:rFonts w:ascii="Arial" w:cs="Arial" w:eastAsia="Arial" w:hAnsi="Arial"/>
                <w:b/>
                <w:bCs/>
                <w:i w:val="false"/>
                <w:iCs w:val="false"/>
              </w:rPr>
              <w:t xml:space="preserve">4</w:t>
            </w:r>
          </w:p>
        </w:tc>
        <w:tc>
          <w:tcPr>
            <w:tcW w:type="dxa" w:w="2700"/>
            <w:shd w:fill="EEF2F8" w:val="clear"/>
            <w:tcMar>
              <w:top w:type="dxa" w:w="70"/>
              <w:left w:type="dxa" w:w="110"/>
              <w:bottom w:type="dxa" w:w="70"/>
              <w:right w:type="dxa" w:w="110"/>
            </w:tcMar>
            <w:vAlign w:val="center"/>
          </w:tcPr>
          <w:p>
            <w:pPr>
              <w:spacing w:after="0" w:line="264"/>
            </w:pPr>
            <w:r>
              <w:t xml:space="preserve">ADCs + consensus &amp; hardening</w:t>
            </w:r>
          </w:p>
        </w:tc>
        <w:tc>
          <w:tcPr>
            <w:tcW w:type="dxa" w:w="4360"/>
            <w:shd w:fill="EEF2F8" w:val="clear"/>
            <w:tcMar>
              <w:top w:type="dxa" w:w="70"/>
              <w:left w:type="dxa" w:w="110"/>
              <w:bottom w:type="dxa" w:w="70"/>
              <w:right w:type="dxa" w:w="110"/>
            </w:tcMar>
            <w:vAlign w:val="center"/>
          </w:tcPr>
          <w:p>
            <w:pPr>
              <w:spacing w:after="0" w:line="264"/>
            </w:pPr>
            <w:r>
              <w:t xml:space="preserve">ADC composite pipeline; Protenix / OpenFold3 consensus structure; DiffDock; self-hosted MSA; batch co-folding; full model-card set.</w:t>
            </w:r>
          </w:p>
        </w:tc>
        <w:tc>
          <w:tcPr>
            <w:tcW w:type="dxa" w:w="1400"/>
            <w:shd w:fill="EEF2F8" w:val="clear"/>
            <w:tcMar>
              <w:top w:type="dxa" w:w="70"/>
              <w:left w:type="dxa" w:w="110"/>
              <w:bottom w:type="dxa" w:w="70"/>
              <w:right w:type="dxa" w:w="110"/>
            </w:tcMar>
            <w:vAlign w:val="center"/>
          </w:tcPr>
          <w:p>
            <w:pPr>
              <w:spacing w:after="0" w:line="264"/>
            </w:pPr>
            <w:r>
              <w:t xml:space="preserve">M–L</w:t>
            </w:r>
          </w:p>
        </w:tc>
      </w:tr>
    </w:tbl>
    <w:p>
      <w:pPr>
        <w:spacing w:after="60"/>
      </w:pPr>
    </w:p>
    <w:p>
      <w:pPr>
        <w:spacing w:after="120" w:before="0" w:line="276"/>
      </w:pPr>
      <w:r>
        <w:rPr>
          <w:rFonts w:ascii="Arial" w:cs="Arial" w:eastAsia="Arial" w:hAnsi="Arial"/>
          <w:b/>
          <w:bCs/>
          <w:i w:val="false"/>
          <w:iCs w:val="false"/>
        </w:rPr>
        <w:t xml:space="preserve">Cross-cutting work </w:t>
      </w:r>
      <w:r>
        <w:t xml:space="preserve">(Section 7) threads through all phases: modality guards land with the router in Phase 1; falsifier-registry extensions land with each modality; schema versioning lands in Phase 1; model cards complete in Phase 4.</w:t>
      </w:r>
    </w:p>
    <w:p>
      <w:r>
        <w:br w:type="page"/>
      </w:r>
    </w:p>
    <w:p>
      <w:pPr>
        <w:pStyle w:val="Heading1"/>
        <w:spacing w:after="160" w:before="320"/>
      </w:pPr>
      <w:r>
        <w:t xml:space="preserve">9.  What to Remove, Replace or De-Risk — Summary</w:t>
      </w:r>
    </w:p>
    <w:tbl>
      <w:tblPr>
        <w:tblW w:type="dxa" w:w="9360"/>
        <w:tblBorders>
          <w:top w:val="single" w:color="BFBFBF" w:sz="1"/>
          <w:left w:val="single" w:color="BFBFBF" w:sz="1"/>
          <w:bottom w:val="single" w:color="BFBFBF" w:sz="1"/>
          <w:right w:val="single" w:color="BFBFBF" w:sz="1"/>
          <w:insideH w:val="single" w:color="BFBFBF" w:sz="1"/>
          <w:insideV w:val="single" w:color="BFBFBF" w:sz="1"/>
        </w:tblBorders>
      </w:tblPr>
      <w:tblGrid>
        <w:gridCol w:w="2500"/>
        <w:gridCol w:w="1550"/>
        <w:gridCol w:w="5310"/>
      </w:tblGrid>
      <w:tr>
        <w:trPr>
          <w:tblHeader/>
        </w:trPr>
        <w:tc>
          <w:tcPr>
            <w:tcW w:type="dxa" w:w="2500"/>
            <w:shd w:fill="1F3864" w:val="clear"/>
            <w:tcMar>
              <w:top w:type="dxa" w:w="70"/>
              <w:left w:type="dxa" w:w="110"/>
              <w:bottom w:type="dxa" w:w="70"/>
              <w:right w:type="dxa" w:w="110"/>
            </w:tcMar>
            <w:vAlign w:val="center"/>
          </w:tcPr>
          <w:p>
            <w:pPr>
              <w:spacing w:after="0" w:line="264"/>
            </w:pPr>
            <w:r>
              <w:rPr>
                <w:rFonts w:ascii="Arial" w:cs="Arial" w:eastAsia="Arial" w:hAnsi="Arial"/>
                <w:b/>
                <w:bCs/>
                <w:i w:val="false"/>
                <w:iCs w:val="false"/>
                <w:color w:val="FFFFFF"/>
              </w:rPr>
              <w:t xml:space="preserve">Item</w:t>
            </w:r>
          </w:p>
        </w:tc>
        <w:tc>
          <w:tcPr>
            <w:tcW w:type="dxa" w:w="1550"/>
            <w:shd w:fill="1F3864" w:val="clear"/>
            <w:tcMar>
              <w:top w:type="dxa" w:w="70"/>
              <w:left w:type="dxa" w:w="110"/>
              <w:bottom w:type="dxa" w:w="70"/>
              <w:right w:type="dxa" w:w="110"/>
            </w:tcMar>
            <w:vAlign w:val="center"/>
          </w:tcPr>
          <w:p>
            <w:pPr>
              <w:spacing w:after="0" w:line="264"/>
            </w:pPr>
            <w:r>
              <w:rPr>
                <w:rFonts w:ascii="Arial" w:cs="Arial" w:eastAsia="Arial" w:hAnsi="Arial"/>
                <w:b/>
                <w:bCs/>
                <w:i w:val="false"/>
                <w:iCs w:val="false"/>
                <w:color w:val="FFFFFF"/>
              </w:rPr>
              <w:t xml:space="preserve">Action</w:t>
            </w:r>
          </w:p>
        </w:tc>
        <w:tc>
          <w:tcPr>
            <w:tcW w:type="dxa" w:w="5310"/>
            <w:shd w:fill="1F3864" w:val="clear"/>
            <w:tcMar>
              <w:top w:type="dxa" w:w="70"/>
              <w:left w:type="dxa" w:w="110"/>
              <w:bottom w:type="dxa" w:w="70"/>
              <w:right w:type="dxa" w:w="110"/>
            </w:tcMar>
            <w:vAlign w:val="center"/>
          </w:tcPr>
          <w:p>
            <w:pPr>
              <w:spacing w:after="0" w:line="264"/>
            </w:pPr>
            <w:r>
              <w:rPr>
                <w:rFonts w:ascii="Arial" w:cs="Arial" w:eastAsia="Arial" w:hAnsi="Arial"/>
                <w:b/>
                <w:bCs/>
                <w:i w:val="false"/>
                <w:iCs w:val="false"/>
                <w:color w:val="FFFFFF"/>
              </w:rPr>
              <w:t xml:space="preserve">Detail</w:t>
            </w:r>
          </w:p>
        </w:tc>
      </w:tr>
      <w:tr>
        <w:tc>
          <w:tcPr>
            <w:tcW w:type="dxa" w:w="2500"/>
            <w:shd w:fill="EEF2F8" w:val="clear"/>
            <w:tcMar>
              <w:top w:type="dxa" w:w="70"/>
              <w:left w:type="dxa" w:w="110"/>
              <w:bottom w:type="dxa" w:w="70"/>
              <w:right w:type="dxa" w:w="110"/>
            </w:tcMar>
            <w:vAlign w:val="center"/>
          </w:tcPr>
          <w:p>
            <w:pPr>
              <w:spacing w:after="0" w:line="264"/>
            </w:pPr>
            <w:r>
              <w:t xml:space="preserve">Boltz-2 integration code</w:t>
            </w:r>
          </w:p>
        </w:tc>
        <w:tc>
          <w:tcPr>
            <w:tcW w:type="dxa" w:w="1550"/>
            <w:shd w:fill="EEF2F8" w:val="clear"/>
            <w:tcMar>
              <w:top w:type="dxa" w:w="70"/>
              <w:left w:type="dxa" w:w="110"/>
              <w:bottom w:type="dxa" w:w="70"/>
              <w:right w:type="dxa" w:w="110"/>
            </w:tcMar>
            <w:vAlign w:val="center"/>
          </w:tcPr>
          <w:p>
            <w:pPr>
              <w:spacing w:after="0" w:line="264"/>
            </w:pPr>
            <w:r>
              <w:rPr>
                <w:rFonts w:ascii="Arial" w:cs="Arial" w:eastAsia="Arial" w:hAnsi="Arial"/>
                <w:b/>
                <w:bCs/>
                <w:i w:val="false"/>
                <w:iCs w:val="false"/>
                <w:color w:val="15803D"/>
              </w:rPr>
              <w:t xml:space="preserve">Keep</w:t>
            </w:r>
          </w:p>
        </w:tc>
        <w:tc>
          <w:tcPr>
            <w:tcW w:type="dxa" w:w="5310"/>
            <w:shd w:fill="EEF2F8" w:val="clear"/>
            <w:tcMar>
              <w:top w:type="dxa" w:w="70"/>
              <w:left w:type="dxa" w:w="110"/>
              <w:bottom w:type="dxa" w:w="70"/>
              <w:right w:type="dxa" w:w="110"/>
            </w:tcMar>
            <w:vAlign w:val="center"/>
          </w:tcPr>
          <w:p>
            <w:pPr>
              <w:spacing w:after="0" w:line="264"/>
            </w:pPr>
            <w:r>
              <w:t xml:space="preserve">Well-engineered. It needs wiring (Phase 0), not changes. No code to remove.</w:t>
            </w:r>
          </w:p>
        </w:tc>
      </w:tr>
      <w:tr>
        <w:tc>
          <w:tcPr>
            <w:tcW w:type="dxa" w:w="2500"/>
            <w:shd w:fill="FFFFFF" w:val="clear"/>
            <w:tcMar>
              <w:top w:type="dxa" w:w="70"/>
              <w:left w:type="dxa" w:w="110"/>
              <w:bottom w:type="dxa" w:w="70"/>
              <w:right w:type="dxa" w:w="110"/>
            </w:tcMar>
            <w:vAlign w:val="center"/>
          </w:tcPr>
          <w:p>
            <w:pPr>
              <w:spacing w:after="0" w:line="264"/>
            </w:pPr>
            <w:r>
              <w:t xml:space="preserve">L1 heuristic on-target IC50 (4/10)</w:t>
            </w:r>
          </w:p>
        </w:tc>
        <w:tc>
          <w:tcPr>
            <w:tcW w:type="dxa" w:w="1550"/>
            <w:shd w:fill="FFFFFF" w:val="clear"/>
            <w:tcMar>
              <w:top w:type="dxa" w:w="70"/>
              <w:left w:type="dxa" w:w="110"/>
              <w:bottom w:type="dxa" w:w="70"/>
              <w:right w:type="dxa" w:w="110"/>
            </w:tcMar>
            <w:vAlign w:val="center"/>
          </w:tcPr>
          <w:p>
            <w:pPr>
              <w:spacing w:after="0" w:line="264"/>
            </w:pPr>
            <w:r>
              <w:rPr>
                <w:rFonts w:ascii="Arial" w:cs="Arial" w:eastAsia="Arial" w:hAnsi="Arial"/>
                <w:b/>
                <w:bCs/>
                <w:i w:val="false"/>
                <w:iCs w:val="false"/>
                <w:color w:val="B45309"/>
              </w:rPr>
              <w:t xml:space="preserve">Demote</w:t>
            </w:r>
          </w:p>
        </w:tc>
        <w:tc>
          <w:tcPr>
            <w:tcW w:type="dxa" w:w="5310"/>
            <w:shd w:fill="FFFFFF" w:val="clear"/>
            <w:tcMar>
              <w:top w:type="dxa" w:w="70"/>
              <w:left w:type="dxa" w:w="110"/>
              <w:bottom w:type="dxa" w:w="70"/>
              <w:right w:type="dxa" w:w="110"/>
            </w:tcMar>
            <w:vAlign w:val="center"/>
          </w:tcPr>
          <w:p>
            <w:pPr>
              <w:spacing w:after="0" w:line="264"/>
            </w:pPr>
            <w:r>
              <w:t xml:space="preserve">Keep as last-resort fallback; make Boltz-2 affinity + Binding-ML the primary binding paths. Do not delete.</w:t>
            </w:r>
          </w:p>
        </w:tc>
      </w:tr>
      <w:tr>
        <w:tc>
          <w:tcPr>
            <w:tcW w:type="dxa" w:w="2500"/>
            <w:shd w:fill="EEF2F8" w:val="clear"/>
            <w:tcMar>
              <w:top w:type="dxa" w:w="70"/>
              <w:left w:type="dxa" w:w="110"/>
              <w:bottom w:type="dxa" w:w="70"/>
              <w:right w:type="dxa" w:w="110"/>
            </w:tcMar>
            <w:vAlign w:val="center"/>
          </w:tcPr>
          <w:p>
            <w:pPr>
              <w:spacing w:after="0" w:line="264"/>
            </w:pPr>
            <w:r>
              <w:t xml:space="preserve">engine = "hakase_structural_engine" alias</w:t>
            </w:r>
          </w:p>
        </w:tc>
        <w:tc>
          <w:tcPr>
            <w:tcW w:type="dxa" w:w="1550"/>
            <w:shd w:fill="EEF2F8" w:val="clear"/>
            <w:tcMar>
              <w:top w:type="dxa" w:w="70"/>
              <w:left w:type="dxa" w:w="110"/>
              <w:bottom w:type="dxa" w:w="70"/>
              <w:right w:type="dxa" w:w="110"/>
            </w:tcMar>
            <w:vAlign w:val="center"/>
          </w:tcPr>
          <w:p>
            <w:pPr>
              <w:spacing w:after="0" w:line="264"/>
            </w:pPr>
            <w:r>
              <w:rPr>
                <w:rFonts w:ascii="Arial" w:cs="Arial" w:eastAsia="Arial" w:hAnsi="Arial"/>
                <w:b/>
                <w:bCs/>
                <w:i w:val="false"/>
                <w:iCs w:val="false"/>
                <w:color w:val="B45309"/>
              </w:rPr>
              <w:t xml:space="preserve">Disclose</w:t>
            </w:r>
          </w:p>
        </w:tc>
        <w:tc>
          <w:tcPr>
            <w:tcW w:type="dxa" w:w="5310"/>
            <w:shd w:fill="EEF2F8" w:val="clear"/>
            <w:tcMar>
              <w:top w:type="dxa" w:w="70"/>
              <w:left w:type="dxa" w:w="110"/>
              <w:bottom w:type="dxa" w:w="70"/>
              <w:right w:type="dxa" w:w="110"/>
            </w:tcMar>
            <w:vAlign w:val="center"/>
          </w:tcPr>
          <w:p>
            <w:pPr>
              <w:spacing w:after="0" w:line="264"/>
            </w:pPr>
            <w:r>
              <w:t xml:space="preserve">Fine as a UI name; the model card and sealed package must name Boltz-2, its version and MIT license.</w:t>
            </w:r>
          </w:p>
        </w:tc>
      </w:tr>
      <w:tr>
        <w:tc>
          <w:tcPr>
            <w:tcW w:type="dxa" w:w="2500"/>
            <w:shd w:fill="FFFFFF" w:val="clear"/>
            <w:tcMar>
              <w:top w:type="dxa" w:w="70"/>
              <w:left w:type="dxa" w:w="110"/>
              <w:bottom w:type="dxa" w:w="70"/>
              <w:right w:type="dxa" w:w="110"/>
            </w:tcMar>
            <w:vAlign w:val="center"/>
          </w:tcPr>
          <w:p>
            <w:pPr>
              <w:spacing w:after="0" w:line="264"/>
            </w:pPr>
            <w:r>
              <w:t xml:space="preserve">2-compartment PBPK (pbpk.ts)</w:t>
            </w:r>
          </w:p>
        </w:tc>
        <w:tc>
          <w:tcPr>
            <w:tcW w:type="dxa" w:w="1550"/>
            <w:shd w:fill="FFFFFF" w:val="clear"/>
            <w:tcMar>
              <w:top w:type="dxa" w:w="70"/>
              <w:left w:type="dxa" w:w="110"/>
              <w:bottom w:type="dxa" w:w="70"/>
              <w:right w:type="dxa" w:w="110"/>
            </w:tcMar>
            <w:vAlign w:val="center"/>
          </w:tcPr>
          <w:p>
            <w:pPr>
              <w:spacing w:after="0" w:line="264"/>
            </w:pPr>
            <w:r>
              <w:rPr>
                <w:rFonts w:ascii="Arial" w:cs="Arial" w:eastAsia="Arial" w:hAnsi="Arial"/>
                <w:b/>
                <w:bCs/>
                <w:i w:val="false"/>
                <w:iCs w:val="false"/>
                <w:color w:val="B45309"/>
              </w:rPr>
              <w:t xml:space="preserve">Guard</w:t>
            </w:r>
          </w:p>
        </w:tc>
        <w:tc>
          <w:tcPr>
            <w:tcW w:type="dxa" w:w="5310"/>
            <w:shd w:fill="FFFFFF" w:val="clear"/>
            <w:tcMar>
              <w:top w:type="dxa" w:w="70"/>
              <w:left w:type="dxa" w:w="110"/>
              <w:bottom w:type="dxa" w:w="70"/>
              <w:right w:type="dxa" w:w="110"/>
            </w:tcMar>
            <w:vAlign w:val="center"/>
          </w:tcPr>
          <w:p>
            <w:pPr>
              <w:spacing w:after="0" w:line="264"/>
            </w:pPr>
            <w:r>
              <w:t xml:space="preserve">Correct for small molecules. Add a hard modality guard so it never runs on a biologic. Replace with TMDD/FcRn for antibodies.</w:t>
            </w:r>
          </w:p>
        </w:tc>
      </w:tr>
      <w:tr>
        <w:tc>
          <w:tcPr>
            <w:tcW w:type="dxa" w:w="2500"/>
            <w:shd w:fill="EEF2F8" w:val="clear"/>
            <w:tcMar>
              <w:top w:type="dxa" w:w="70"/>
              <w:left w:type="dxa" w:w="110"/>
              <w:bottom w:type="dxa" w:w="70"/>
              <w:right w:type="dxa" w:w="110"/>
            </w:tcMar>
            <w:vAlign w:val="center"/>
          </w:tcPr>
          <w:p>
            <w:pPr>
              <w:spacing w:after="0" w:line="264"/>
            </w:pPr>
            <w:r>
              <w:t xml:space="preserve">Lipinski / Veber drug-likeness</w:t>
            </w:r>
          </w:p>
        </w:tc>
        <w:tc>
          <w:tcPr>
            <w:tcW w:type="dxa" w:w="1550"/>
            <w:shd w:fill="EEF2F8" w:val="clear"/>
            <w:tcMar>
              <w:top w:type="dxa" w:w="70"/>
              <w:left w:type="dxa" w:w="110"/>
              <w:bottom w:type="dxa" w:w="70"/>
              <w:right w:type="dxa" w:w="110"/>
            </w:tcMar>
            <w:vAlign w:val="center"/>
          </w:tcPr>
          <w:p>
            <w:pPr>
              <w:spacing w:after="0" w:line="264"/>
            </w:pPr>
            <w:r>
              <w:rPr>
                <w:rFonts w:ascii="Arial" w:cs="Arial" w:eastAsia="Arial" w:hAnsi="Arial"/>
                <w:b/>
                <w:bCs/>
                <w:i w:val="false"/>
                <w:iCs w:val="false"/>
                <w:color w:val="B45309"/>
              </w:rPr>
              <w:t xml:space="preserve">Guard</w:t>
            </w:r>
          </w:p>
        </w:tc>
        <w:tc>
          <w:tcPr>
            <w:tcW w:type="dxa" w:w="5310"/>
            <w:shd w:fill="EEF2F8" w:val="clear"/>
            <w:tcMar>
              <w:top w:type="dxa" w:w="70"/>
              <w:left w:type="dxa" w:w="110"/>
              <w:bottom w:type="dxa" w:w="70"/>
              <w:right w:type="dxa" w:w="110"/>
            </w:tcMar>
            <w:vAlign w:val="center"/>
          </w:tcPr>
          <w:p>
            <w:pPr>
              <w:spacing w:after="0" w:line="264"/>
            </w:pPr>
            <w:r>
              <w:t xml:space="preserve">Meaningless for biologics and beyond-Ro5 PROTACs. Branch by modality; do not penalise PROTACs as failed oral small molecules.</w:t>
            </w:r>
          </w:p>
        </w:tc>
      </w:tr>
      <w:tr>
        <w:tc>
          <w:tcPr>
            <w:tcW w:type="dxa" w:w="2500"/>
            <w:shd w:fill="FFFFFF" w:val="clear"/>
            <w:tcMar>
              <w:top w:type="dxa" w:w="70"/>
              <w:left w:type="dxa" w:w="110"/>
              <w:bottom w:type="dxa" w:w="70"/>
              <w:right w:type="dxa" w:w="110"/>
            </w:tcMar>
            <w:vAlign w:val="center"/>
          </w:tcPr>
          <w:p>
            <w:pPr>
              <w:spacing w:after="0" w:line="264"/>
            </w:pPr>
            <w:r>
              <w:t xml:space="preserve">In-memory job store (_JOBS dict)</w:t>
            </w:r>
          </w:p>
        </w:tc>
        <w:tc>
          <w:tcPr>
            <w:tcW w:type="dxa" w:w="1550"/>
            <w:shd w:fill="FFFFFF" w:val="clear"/>
            <w:tcMar>
              <w:top w:type="dxa" w:w="70"/>
              <w:left w:type="dxa" w:w="110"/>
              <w:bottom w:type="dxa" w:w="70"/>
              <w:right w:type="dxa" w:w="110"/>
            </w:tcMar>
            <w:vAlign w:val="center"/>
          </w:tcPr>
          <w:p>
            <w:pPr>
              <w:spacing w:after="0" w:line="264"/>
            </w:pPr>
            <w:r>
              <w:rPr>
                <w:rFonts w:ascii="Arial" w:cs="Arial" w:eastAsia="Arial" w:hAnsi="Arial"/>
                <w:b/>
                <w:bCs/>
                <w:i w:val="false"/>
                <w:iCs w:val="false"/>
                <w:color w:val="B91C1C"/>
              </w:rPr>
              <w:t xml:space="preserve">Replace</w:t>
            </w:r>
          </w:p>
        </w:tc>
        <w:tc>
          <w:tcPr>
            <w:tcW w:type="dxa" w:w="5310"/>
            <w:shd w:fill="FFFFFF" w:val="clear"/>
            <w:tcMar>
              <w:top w:type="dxa" w:w="70"/>
              <w:left w:type="dxa" w:w="110"/>
              <w:bottom w:type="dxa" w:w="70"/>
              <w:right w:type="dxa" w:w="110"/>
            </w:tcMar>
            <w:vAlign w:val="center"/>
          </w:tcPr>
          <w:p>
            <w:pPr>
              <w:spacing w:after="0" w:line="264"/>
            </w:pPr>
            <w:r>
              <w:t xml:space="preserve">Replace with SQLite-backed persistence so a service restart does not orphan a paid 2-hour GPU job.</w:t>
            </w:r>
          </w:p>
        </w:tc>
      </w:tr>
      <w:tr>
        <w:tc>
          <w:tcPr>
            <w:tcW w:type="dxa" w:w="2500"/>
            <w:shd w:fill="EEF2F8" w:val="clear"/>
            <w:tcMar>
              <w:top w:type="dxa" w:w="70"/>
              <w:left w:type="dxa" w:w="110"/>
              <w:bottom w:type="dxa" w:w="70"/>
              <w:right w:type="dxa" w:w="110"/>
            </w:tcMar>
            <w:vAlign w:val="center"/>
          </w:tcPr>
          <w:p>
            <w:pPr>
              <w:spacing w:after="0" w:line="264"/>
            </w:pPr>
            <w:r>
              <w:t xml:space="preserve">Public ColabFold MSA dependency</w:t>
            </w:r>
          </w:p>
        </w:tc>
        <w:tc>
          <w:tcPr>
            <w:tcW w:type="dxa" w:w="1550"/>
            <w:shd w:fill="EEF2F8" w:val="clear"/>
            <w:tcMar>
              <w:top w:type="dxa" w:w="70"/>
              <w:left w:type="dxa" w:w="110"/>
              <w:bottom w:type="dxa" w:w="70"/>
              <w:right w:type="dxa" w:w="110"/>
            </w:tcMar>
            <w:vAlign w:val="center"/>
          </w:tcPr>
          <w:p>
            <w:pPr>
              <w:spacing w:after="0" w:line="264"/>
            </w:pPr>
            <w:r>
              <w:rPr>
                <w:rFonts w:ascii="Arial" w:cs="Arial" w:eastAsia="Arial" w:hAnsi="Arial"/>
                <w:b/>
                <w:bCs/>
                <w:i w:val="false"/>
                <w:iCs w:val="false"/>
                <w:color w:val="B91C1C"/>
              </w:rPr>
              <w:t xml:space="preserve">Replace</w:t>
            </w:r>
          </w:p>
        </w:tc>
        <w:tc>
          <w:tcPr>
            <w:tcW w:type="dxa" w:w="5310"/>
            <w:shd w:fill="EEF2F8" w:val="clear"/>
            <w:tcMar>
              <w:top w:type="dxa" w:w="70"/>
              <w:left w:type="dxa" w:w="110"/>
              <w:bottom w:type="dxa" w:w="70"/>
              <w:right w:type="dxa" w:w="110"/>
            </w:tcMar>
            <w:vAlign w:val="center"/>
          </w:tcPr>
          <w:p>
            <w:pPr>
              <w:spacing w:after="0" w:line="264"/>
            </w:pPr>
            <w:r>
              <w:t xml:space="preserve">Add a self-hosted MSA / single-sequence default for proprietary targets — required for the privacy claim.</w:t>
            </w:r>
          </w:p>
        </w:tc>
      </w:tr>
      <w:tr>
        <w:tc>
          <w:tcPr>
            <w:tcW w:type="dxa" w:w="2500"/>
            <w:shd w:fill="FFFFFF" w:val="clear"/>
            <w:tcMar>
              <w:top w:type="dxa" w:w="70"/>
              <w:left w:type="dxa" w:w="110"/>
              <w:bottom w:type="dxa" w:w="70"/>
              <w:right w:type="dxa" w:w="110"/>
            </w:tcMar>
            <w:vAlign w:val="center"/>
          </w:tcPr>
          <w:p>
            <w:pPr>
              <w:spacing w:after="0" w:line="264"/>
            </w:pPr>
            <w:r>
              <w:t xml:space="preserve">Cascade gate / confirmation engine / seal chain</w:t>
            </w:r>
          </w:p>
        </w:tc>
        <w:tc>
          <w:tcPr>
            <w:tcW w:type="dxa" w:w="1550"/>
            <w:shd w:fill="FFFFFF" w:val="clear"/>
            <w:tcMar>
              <w:top w:type="dxa" w:w="70"/>
              <w:left w:type="dxa" w:w="110"/>
              <w:bottom w:type="dxa" w:w="70"/>
              <w:right w:type="dxa" w:w="110"/>
            </w:tcMar>
            <w:vAlign w:val="center"/>
          </w:tcPr>
          <w:p>
            <w:pPr>
              <w:spacing w:after="0" w:line="264"/>
            </w:pPr>
            <w:r>
              <w:rPr>
                <w:rFonts w:ascii="Arial" w:cs="Arial" w:eastAsia="Arial" w:hAnsi="Arial"/>
                <w:b/>
                <w:bCs/>
                <w:i w:val="false"/>
                <w:iCs w:val="false"/>
                <w:color w:val="15803D"/>
              </w:rPr>
              <w:t xml:space="preserve">Keep + extend</w:t>
            </w:r>
          </w:p>
        </w:tc>
        <w:tc>
          <w:tcPr>
            <w:tcW w:type="dxa" w:w="5310"/>
            <w:shd w:fill="FFFFFF" w:val="clear"/>
            <w:tcMar>
              <w:top w:type="dxa" w:w="70"/>
              <w:left w:type="dxa" w:w="110"/>
              <w:bottom w:type="dxa" w:w="70"/>
              <w:right w:type="dxa" w:w="110"/>
            </w:tcMar>
            <w:vAlign w:val="center"/>
          </w:tcPr>
          <w:p>
            <w:pPr>
              <w:spacing w:after="0" w:line="264"/>
            </w:pPr>
            <w:r>
              <w:t xml:space="preserve">Modality-agnostic governance — the strongest part of the platform. Reuse verbatim; only extend the falsifier registry.</w:t>
            </w:r>
          </w:p>
        </w:tc>
      </w:tr>
    </w:tbl>
    <w:p>
      <w:r>
        <w:br w:type="page"/>
      </w:r>
    </w:p>
    <w:p>
      <w:pPr>
        <w:pStyle w:val="Heading1"/>
        <w:spacing w:after="160" w:before="320"/>
      </w:pPr>
      <w:r>
        <w:t xml:space="preserve">Appendix A — Boltz-2 Feature Coverage Matrix</w:t>
      </w:r>
    </w:p>
    <w:p>
      <w:pPr>
        <w:spacing w:after="120" w:before="0" w:line="276"/>
      </w:pPr>
      <w:r>
        <w:t xml:space="preserve">Whether each Boltz-2 capability is exposed by the current integration, and what remains.</w:t>
      </w:r>
    </w:p>
    <w:tbl>
      <w:tblPr>
        <w:tblW w:type="dxa" w:w="9360"/>
        <w:tblBorders>
          <w:top w:val="single" w:color="BFBFBF" w:sz="1"/>
          <w:left w:val="single" w:color="BFBFBF" w:sz="1"/>
          <w:bottom w:val="single" w:color="BFBFBF" w:sz="1"/>
          <w:right w:val="single" w:color="BFBFBF" w:sz="1"/>
          <w:insideH w:val="single" w:color="BFBFBF" w:sz="1"/>
          <w:insideV w:val="single" w:color="BFBFBF" w:sz="1"/>
        </w:tblBorders>
      </w:tblPr>
      <w:tblGrid>
        <w:gridCol w:w="3000"/>
        <w:gridCol w:w="1500"/>
        <w:gridCol w:w="4860"/>
      </w:tblGrid>
      <w:tr>
        <w:trPr>
          <w:tblHeader/>
        </w:trPr>
        <w:tc>
          <w:tcPr>
            <w:tcW w:type="dxa" w:w="3000"/>
            <w:shd w:fill="1F3864" w:val="clear"/>
            <w:tcMar>
              <w:top w:type="dxa" w:w="70"/>
              <w:left w:type="dxa" w:w="110"/>
              <w:bottom w:type="dxa" w:w="70"/>
              <w:right w:type="dxa" w:w="110"/>
            </w:tcMar>
            <w:vAlign w:val="center"/>
          </w:tcPr>
          <w:p>
            <w:pPr>
              <w:spacing w:after="0" w:line="264"/>
            </w:pPr>
            <w:r>
              <w:rPr>
                <w:rFonts w:ascii="Arial" w:cs="Arial" w:eastAsia="Arial" w:hAnsi="Arial"/>
                <w:b/>
                <w:bCs/>
                <w:i w:val="false"/>
                <w:iCs w:val="false"/>
                <w:color w:val="FFFFFF"/>
              </w:rPr>
              <w:t xml:space="preserve">Boltz-2 capability</w:t>
            </w:r>
          </w:p>
        </w:tc>
        <w:tc>
          <w:tcPr>
            <w:tcW w:type="dxa" w:w="1500"/>
            <w:shd w:fill="1F3864" w:val="clear"/>
            <w:tcMar>
              <w:top w:type="dxa" w:w="70"/>
              <w:left w:type="dxa" w:w="110"/>
              <w:bottom w:type="dxa" w:w="70"/>
              <w:right w:type="dxa" w:w="110"/>
            </w:tcMar>
            <w:vAlign w:val="center"/>
          </w:tcPr>
          <w:p>
            <w:pPr>
              <w:spacing w:after="0" w:line="264"/>
            </w:pPr>
            <w:r>
              <w:rPr>
                <w:rFonts w:ascii="Arial" w:cs="Arial" w:eastAsia="Arial" w:hAnsi="Arial"/>
                <w:b/>
                <w:bCs/>
                <w:i w:val="false"/>
                <w:iCs w:val="false"/>
                <w:color w:val="FFFFFF"/>
              </w:rPr>
              <w:t xml:space="preserve">Exposed?</w:t>
            </w:r>
          </w:p>
        </w:tc>
        <w:tc>
          <w:tcPr>
            <w:tcW w:type="dxa" w:w="4860"/>
            <w:shd w:fill="1F3864" w:val="clear"/>
            <w:tcMar>
              <w:top w:type="dxa" w:w="70"/>
              <w:left w:type="dxa" w:w="110"/>
              <w:bottom w:type="dxa" w:w="70"/>
              <w:right w:type="dxa" w:w="110"/>
            </w:tcMar>
            <w:vAlign w:val="center"/>
          </w:tcPr>
          <w:p>
            <w:pPr>
              <w:spacing w:after="0" w:line="264"/>
            </w:pPr>
            <w:r>
              <w:rPr>
                <w:rFonts w:ascii="Arial" w:cs="Arial" w:eastAsia="Arial" w:hAnsi="Arial"/>
                <w:b/>
                <w:bCs/>
                <w:i w:val="false"/>
                <w:iCs w:val="false"/>
                <w:color w:val="FFFFFF"/>
              </w:rPr>
              <w:t xml:space="preserve">Notes</w:t>
            </w:r>
          </w:p>
        </w:tc>
      </w:tr>
      <w:tr>
        <w:tc>
          <w:tcPr>
            <w:tcW w:type="dxa" w:w="3000"/>
            <w:shd w:fill="EEF2F8" w:val="clear"/>
            <w:tcMar>
              <w:top w:type="dxa" w:w="70"/>
              <w:left w:type="dxa" w:w="110"/>
              <w:bottom w:type="dxa" w:w="70"/>
              <w:right w:type="dxa" w:w="110"/>
            </w:tcMar>
            <w:vAlign w:val="center"/>
          </w:tcPr>
          <w:p>
            <w:pPr>
              <w:spacing w:after="0" w:line="264"/>
            </w:pPr>
            <w:r>
              <w:t xml:space="preserve">Protein / peptide / DNA / RNA / ligand / ion entities</w:t>
            </w:r>
          </w:p>
        </w:tc>
        <w:tc>
          <w:tcPr>
            <w:tcW w:type="dxa" w:w="1500"/>
            <w:shd w:fill="EEF2F8" w:val="clear"/>
            <w:tcMar>
              <w:top w:type="dxa" w:w="70"/>
              <w:left w:type="dxa" w:w="110"/>
              <w:bottom w:type="dxa" w:w="70"/>
              <w:right w:type="dxa" w:w="110"/>
            </w:tcMar>
            <w:vAlign w:val="center"/>
          </w:tcPr>
          <w:p>
            <w:pPr>
              <w:spacing w:after="0" w:line="264"/>
            </w:pPr>
            <w:r>
              <w:t xml:space="preserve">Yes</w:t>
            </w:r>
          </w:p>
        </w:tc>
        <w:tc>
          <w:tcPr>
            <w:tcW w:type="dxa" w:w="4860"/>
            <w:shd w:fill="EEF2F8" w:val="clear"/>
            <w:tcMar>
              <w:top w:type="dxa" w:w="70"/>
              <w:left w:type="dxa" w:w="110"/>
              <w:bottom w:type="dxa" w:w="70"/>
              <w:right w:type="dxa" w:w="110"/>
            </w:tcMar>
            <w:vAlign w:val="center"/>
          </w:tcPr>
          <w:p>
            <w:pPr>
              <w:spacing w:after="0" w:line="264"/>
            </w:pPr>
            <w:r>
              <w:t xml:space="preserve">All six entity types parsed and validated in cofolding.py.</w:t>
            </w:r>
          </w:p>
        </w:tc>
      </w:tr>
      <w:tr>
        <w:tc>
          <w:tcPr>
            <w:tcW w:type="dxa" w:w="3000"/>
            <w:shd w:fill="FFFFFF" w:val="clear"/>
            <w:tcMar>
              <w:top w:type="dxa" w:w="70"/>
              <w:left w:type="dxa" w:w="110"/>
              <w:bottom w:type="dxa" w:w="70"/>
              <w:right w:type="dxa" w:w="110"/>
            </w:tcMar>
            <w:vAlign w:val="center"/>
          </w:tcPr>
          <w:p>
            <w:pPr>
              <w:spacing w:after="0" w:line="264"/>
            </w:pPr>
            <w:r>
              <w:t xml:space="preserve">Modified residues (proteins + nucleic acids)</w:t>
            </w:r>
          </w:p>
        </w:tc>
        <w:tc>
          <w:tcPr>
            <w:tcW w:type="dxa" w:w="1500"/>
            <w:shd w:fill="FFFFFF" w:val="clear"/>
            <w:tcMar>
              <w:top w:type="dxa" w:w="70"/>
              <w:left w:type="dxa" w:w="110"/>
              <w:bottom w:type="dxa" w:w="70"/>
              <w:right w:type="dxa" w:w="110"/>
            </w:tcMar>
            <w:vAlign w:val="center"/>
          </w:tcPr>
          <w:p>
            <w:pPr>
              <w:spacing w:after="0" w:line="264"/>
            </w:pPr>
            <w:r>
              <w:t xml:space="preserve">Yes</w:t>
            </w:r>
          </w:p>
        </w:tc>
        <w:tc>
          <w:tcPr>
            <w:tcW w:type="dxa" w:w="4860"/>
            <w:shd w:fill="FFFFFF" w:val="clear"/>
            <w:tcMar>
              <w:top w:type="dxa" w:w="70"/>
              <w:left w:type="dxa" w:w="110"/>
              <w:bottom w:type="dxa" w:w="70"/>
              <w:right w:type="dxa" w:w="110"/>
            </w:tcMar>
            <w:vAlign w:val="center"/>
          </w:tcPr>
          <w:p>
            <w:pPr>
              <w:spacing w:after="0" w:line="264"/>
            </w:pPr>
            <w:r>
              <w:t xml:space="preserve">CCD-code modifications validated and rendered into YAML.</w:t>
            </w:r>
          </w:p>
        </w:tc>
      </w:tr>
      <w:tr>
        <w:tc>
          <w:tcPr>
            <w:tcW w:type="dxa" w:w="3000"/>
            <w:shd w:fill="EEF2F8" w:val="clear"/>
            <w:tcMar>
              <w:top w:type="dxa" w:w="70"/>
              <w:left w:type="dxa" w:w="110"/>
              <w:bottom w:type="dxa" w:w="70"/>
              <w:right w:type="dxa" w:w="110"/>
            </w:tcMar>
            <w:vAlign w:val="center"/>
          </w:tcPr>
          <w:p>
            <w:pPr>
              <w:spacing w:after="0" w:line="264"/>
            </w:pPr>
            <w:r>
              <w:t xml:space="preserve">Covalent bonds</w:t>
            </w:r>
          </w:p>
        </w:tc>
        <w:tc>
          <w:tcPr>
            <w:tcW w:type="dxa" w:w="1500"/>
            <w:shd w:fill="EEF2F8" w:val="clear"/>
            <w:tcMar>
              <w:top w:type="dxa" w:w="70"/>
              <w:left w:type="dxa" w:w="110"/>
              <w:bottom w:type="dxa" w:w="70"/>
              <w:right w:type="dxa" w:w="110"/>
            </w:tcMar>
            <w:vAlign w:val="center"/>
          </w:tcPr>
          <w:p>
            <w:pPr>
              <w:spacing w:after="0" w:line="264"/>
            </w:pPr>
            <w:r>
              <w:t xml:space="preserve">Yes</w:t>
            </w:r>
          </w:p>
        </w:tc>
        <w:tc>
          <w:tcPr>
            <w:tcW w:type="dxa" w:w="4860"/>
            <w:shd w:fill="EEF2F8" w:val="clear"/>
            <w:tcMar>
              <w:top w:type="dxa" w:w="70"/>
              <w:left w:type="dxa" w:w="110"/>
              <w:bottom w:type="dxa" w:w="70"/>
              <w:right w:type="dxa" w:w="110"/>
            </w:tcMar>
            <w:vAlign w:val="center"/>
          </w:tcPr>
          <w:p>
            <w:pPr>
              <w:spacing w:after="0" w:line="264"/>
            </w:pPr>
            <w:r>
              <w:t xml:space="preserve">Bond constraints fully supported.</w:t>
            </w:r>
          </w:p>
        </w:tc>
      </w:tr>
      <w:tr>
        <w:tc>
          <w:tcPr>
            <w:tcW w:type="dxa" w:w="3000"/>
            <w:shd w:fill="FFFFFF" w:val="clear"/>
            <w:tcMar>
              <w:top w:type="dxa" w:w="70"/>
              <w:left w:type="dxa" w:w="110"/>
              <w:bottom w:type="dxa" w:w="70"/>
              <w:right w:type="dxa" w:w="110"/>
            </w:tcMar>
            <w:vAlign w:val="center"/>
          </w:tcPr>
          <w:p>
            <w:pPr>
              <w:spacing w:after="0" w:line="264"/>
            </w:pPr>
            <w:r>
              <w:t xml:space="preserve">Pocket conditioning</w:t>
            </w:r>
          </w:p>
        </w:tc>
        <w:tc>
          <w:tcPr>
            <w:tcW w:type="dxa" w:w="1500"/>
            <w:shd w:fill="FFFFFF" w:val="clear"/>
            <w:tcMar>
              <w:top w:type="dxa" w:w="70"/>
              <w:left w:type="dxa" w:w="110"/>
              <w:bottom w:type="dxa" w:w="70"/>
              <w:right w:type="dxa" w:w="110"/>
            </w:tcMar>
            <w:vAlign w:val="center"/>
          </w:tcPr>
          <w:p>
            <w:pPr>
              <w:spacing w:after="0" w:line="264"/>
            </w:pPr>
            <w:r>
              <w:t xml:space="preserve">Yes</w:t>
            </w:r>
          </w:p>
        </w:tc>
        <w:tc>
          <w:tcPr>
            <w:tcW w:type="dxa" w:w="4860"/>
            <w:shd w:fill="FFFFFF" w:val="clear"/>
            <w:tcMar>
              <w:top w:type="dxa" w:w="70"/>
              <w:left w:type="dxa" w:w="110"/>
              <w:bottom w:type="dxa" w:w="70"/>
              <w:right w:type="dxa" w:w="110"/>
            </w:tcMar>
            <w:vAlign w:val="center"/>
          </w:tcPr>
          <w:p>
            <w:pPr>
              <w:spacing w:after="0" w:line="264"/>
            </w:pPr>
            <w:r>
              <w:t xml:space="preserve">With max_distance and the force potential.</w:t>
            </w:r>
          </w:p>
        </w:tc>
      </w:tr>
      <w:tr>
        <w:tc>
          <w:tcPr>
            <w:tcW w:type="dxa" w:w="3000"/>
            <w:shd w:fill="EEF2F8" w:val="clear"/>
            <w:tcMar>
              <w:top w:type="dxa" w:w="70"/>
              <w:left w:type="dxa" w:w="110"/>
              <w:bottom w:type="dxa" w:w="70"/>
              <w:right w:type="dxa" w:w="110"/>
            </w:tcMar>
            <w:vAlign w:val="center"/>
          </w:tcPr>
          <w:p>
            <w:pPr>
              <w:spacing w:after="0" w:line="264"/>
            </w:pPr>
            <w:r>
              <w:t xml:space="preserve">Contact constraints</w:t>
            </w:r>
          </w:p>
        </w:tc>
        <w:tc>
          <w:tcPr>
            <w:tcW w:type="dxa" w:w="1500"/>
            <w:shd w:fill="EEF2F8" w:val="clear"/>
            <w:tcMar>
              <w:top w:type="dxa" w:w="70"/>
              <w:left w:type="dxa" w:w="110"/>
              <w:bottom w:type="dxa" w:w="70"/>
              <w:right w:type="dxa" w:w="110"/>
            </w:tcMar>
            <w:vAlign w:val="center"/>
          </w:tcPr>
          <w:p>
            <w:pPr>
              <w:spacing w:after="0" w:line="264"/>
            </w:pPr>
            <w:r>
              <w:t xml:space="preserve">Yes</w:t>
            </w:r>
          </w:p>
        </w:tc>
        <w:tc>
          <w:tcPr>
            <w:tcW w:type="dxa" w:w="4860"/>
            <w:shd w:fill="EEF2F8" w:val="clear"/>
            <w:tcMar>
              <w:top w:type="dxa" w:w="70"/>
              <w:left w:type="dxa" w:w="110"/>
              <w:bottom w:type="dxa" w:w="70"/>
              <w:right w:type="dxa" w:w="110"/>
            </w:tcMar>
            <w:vAlign w:val="center"/>
          </w:tcPr>
          <w:p>
            <w:pPr>
              <w:spacing w:after="0" w:line="264"/>
            </w:pPr>
            <w:r>
              <w:t xml:space="preserve">Top-level contacts, residue- or atom-level.</w:t>
            </w:r>
          </w:p>
        </w:tc>
      </w:tr>
      <w:tr>
        <w:tc>
          <w:tcPr>
            <w:tcW w:type="dxa" w:w="3000"/>
            <w:shd w:fill="FFFFFF" w:val="clear"/>
            <w:tcMar>
              <w:top w:type="dxa" w:w="70"/>
              <w:left w:type="dxa" w:w="110"/>
              <w:bottom w:type="dxa" w:w="70"/>
              <w:right w:type="dxa" w:w="110"/>
            </w:tcMar>
            <w:vAlign w:val="center"/>
          </w:tcPr>
          <w:p>
            <w:pPr>
              <w:spacing w:after="0" w:line="264"/>
            </w:pPr>
            <w:r>
              <w:t xml:space="preserve">Structural templates (CIF / PDB)</w:t>
            </w:r>
          </w:p>
        </w:tc>
        <w:tc>
          <w:tcPr>
            <w:tcW w:type="dxa" w:w="1500"/>
            <w:shd w:fill="FFFFFF" w:val="clear"/>
            <w:tcMar>
              <w:top w:type="dxa" w:w="70"/>
              <w:left w:type="dxa" w:w="110"/>
              <w:bottom w:type="dxa" w:w="70"/>
              <w:right w:type="dxa" w:w="110"/>
            </w:tcMar>
            <w:vAlign w:val="center"/>
          </w:tcPr>
          <w:p>
            <w:pPr>
              <w:spacing w:after="0" w:line="264"/>
            </w:pPr>
            <w:r>
              <w:t xml:space="preserve">Yes</w:t>
            </w:r>
          </w:p>
        </w:tc>
        <w:tc>
          <w:tcPr>
            <w:tcW w:type="dxa" w:w="4860"/>
            <w:shd w:fill="FFFFFF" w:val="clear"/>
            <w:tcMar>
              <w:top w:type="dxa" w:w="70"/>
              <w:left w:type="dxa" w:w="110"/>
              <w:bottom w:type="dxa" w:w="70"/>
              <w:right w:type="dxa" w:w="110"/>
            </w:tcMar>
            <w:vAlign w:val="center"/>
          </w:tcPr>
          <w:p>
            <w:pPr>
              <w:spacing w:after="0" w:line="264"/>
            </w:pPr>
            <w:r>
              <w:t xml:space="preserve">Via URL; worker downloads and rewrites the YAML. Inline base64 declared but not implemented.</w:t>
            </w:r>
          </w:p>
        </w:tc>
      </w:tr>
      <w:tr>
        <w:tc>
          <w:tcPr>
            <w:tcW w:type="dxa" w:w="3000"/>
            <w:shd w:fill="EEF2F8" w:val="clear"/>
            <w:tcMar>
              <w:top w:type="dxa" w:w="70"/>
              <w:left w:type="dxa" w:w="110"/>
              <w:bottom w:type="dxa" w:w="70"/>
              <w:right w:type="dxa" w:w="110"/>
            </w:tcMar>
            <w:vAlign w:val="center"/>
          </w:tcPr>
          <w:p>
            <w:pPr>
              <w:spacing w:after="0" w:line="264"/>
            </w:pPr>
            <w:r>
              <w:t xml:space="preserve">Affinity head</w:t>
            </w:r>
          </w:p>
        </w:tc>
        <w:tc>
          <w:tcPr>
            <w:tcW w:type="dxa" w:w="1500"/>
            <w:shd w:fill="EEF2F8" w:val="clear"/>
            <w:tcMar>
              <w:top w:type="dxa" w:w="70"/>
              <w:left w:type="dxa" w:w="110"/>
              <w:bottom w:type="dxa" w:w="70"/>
              <w:right w:type="dxa" w:w="110"/>
            </w:tcMar>
            <w:vAlign w:val="center"/>
          </w:tcPr>
          <w:p>
            <w:pPr>
              <w:spacing w:after="0" w:line="264"/>
            </w:pPr>
            <w:r>
              <w:t xml:space="preserve">Yes (API)</w:t>
            </w:r>
          </w:p>
        </w:tc>
        <w:tc>
          <w:tcPr>
            <w:tcW w:type="dxa" w:w="4860"/>
            <w:shd w:fill="EEF2F8" w:val="clear"/>
            <w:tcMar>
              <w:top w:type="dxa" w:w="70"/>
              <w:left w:type="dxa" w:w="110"/>
              <w:bottom w:type="dxa" w:w="70"/>
              <w:right w:type="dxa" w:w="110"/>
            </w:tcMar>
            <w:vAlign w:val="center"/>
          </w:tcPr>
          <w:p>
            <w:pPr>
              <w:spacing w:after="0" w:line="264"/>
            </w:pPr>
            <w:r>
              <w:t xml:space="preserve">Parsed and returned — but not consumed by L1/L2. Phase 0 fixes this.</w:t>
            </w:r>
          </w:p>
        </w:tc>
      </w:tr>
      <w:tr>
        <w:tc>
          <w:tcPr>
            <w:tcW w:type="dxa" w:w="3000"/>
            <w:shd w:fill="FFFFFF" w:val="clear"/>
            <w:tcMar>
              <w:top w:type="dxa" w:w="70"/>
              <w:left w:type="dxa" w:w="110"/>
              <w:bottom w:type="dxa" w:w="70"/>
              <w:right w:type="dxa" w:w="110"/>
            </w:tcMar>
            <w:vAlign w:val="center"/>
          </w:tcPr>
          <w:p>
            <w:pPr>
              <w:spacing w:after="0" w:line="264"/>
            </w:pPr>
            <w:r>
              <w:t xml:space="preserve">Confidence: pLDDT / pTM / ipTM / PAE / PDE</w:t>
            </w:r>
          </w:p>
        </w:tc>
        <w:tc>
          <w:tcPr>
            <w:tcW w:type="dxa" w:w="1500"/>
            <w:shd w:fill="FFFFFF" w:val="clear"/>
            <w:tcMar>
              <w:top w:type="dxa" w:w="70"/>
              <w:left w:type="dxa" w:w="110"/>
              <w:bottom w:type="dxa" w:w="70"/>
              <w:right w:type="dxa" w:w="110"/>
            </w:tcMar>
            <w:vAlign w:val="center"/>
          </w:tcPr>
          <w:p>
            <w:pPr>
              <w:spacing w:after="0" w:line="264"/>
            </w:pPr>
            <w:r>
              <w:t xml:space="preserve">Yes (API)</w:t>
            </w:r>
          </w:p>
        </w:tc>
        <w:tc>
          <w:tcPr>
            <w:tcW w:type="dxa" w:w="4860"/>
            <w:shd w:fill="FFFFFF" w:val="clear"/>
            <w:tcMar>
              <w:top w:type="dxa" w:w="70"/>
              <w:left w:type="dxa" w:w="110"/>
              <w:bottom w:type="dxa" w:w="70"/>
              <w:right w:type="dxa" w:w="110"/>
            </w:tcMar>
            <w:vAlign w:val="center"/>
          </w:tcPr>
          <w:p>
            <w:pPr>
              <w:spacing w:after="0" w:line="264"/>
            </w:pPr>
            <w:r>
              <w:t xml:space="preserve">All parsed; PAE/PDE block-averaged. Not yet used to gate anything downstream.</w:t>
            </w:r>
          </w:p>
        </w:tc>
      </w:tr>
      <w:tr>
        <w:tc>
          <w:tcPr>
            <w:tcW w:type="dxa" w:w="3000"/>
            <w:shd w:fill="EEF2F8" w:val="clear"/>
            <w:tcMar>
              <w:top w:type="dxa" w:w="70"/>
              <w:left w:type="dxa" w:w="110"/>
              <w:bottom w:type="dxa" w:w="70"/>
              <w:right w:type="dxa" w:w="110"/>
            </w:tcMar>
            <w:vAlign w:val="center"/>
          </w:tcPr>
          <w:p>
            <w:pPr>
              <w:spacing w:after="0" w:line="264"/>
            </w:pPr>
            <w:r>
              <w:t xml:space="preserve">Diffusion / sampling / MSA / kernel options</w:t>
            </w:r>
          </w:p>
        </w:tc>
        <w:tc>
          <w:tcPr>
            <w:tcW w:type="dxa" w:w="1500"/>
            <w:shd w:fill="EEF2F8" w:val="clear"/>
            <w:tcMar>
              <w:top w:type="dxa" w:w="70"/>
              <w:left w:type="dxa" w:w="110"/>
              <w:bottom w:type="dxa" w:w="70"/>
              <w:right w:type="dxa" w:w="110"/>
            </w:tcMar>
            <w:vAlign w:val="center"/>
          </w:tcPr>
          <w:p>
            <w:pPr>
              <w:spacing w:after="0" w:line="264"/>
            </w:pPr>
            <w:r>
              <w:t xml:space="preserve">Yes</w:t>
            </w:r>
          </w:p>
        </w:tc>
        <w:tc>
          <w:tcPr>
            <w:tcW w:type="dxa" w:w="4860"/>
            <w:shd w:fill="EEF2F8" w:val="clear"/>
            <w:tcMar>
              <w:top w:type="dxa" w:w="70"/>
              <w:left w:type="dxa" w:w="110"/>
              <w:bottom w:type="dxa" w:w="70"/>
              <w:right w:type="dxa" w:w="110"/>
            </w:tcMar>
            <w:vAlign w:val="center"/>
          </w:tcPr>
          <w:p>
            <w:pPr>
              <w:spacing w:after="0" w:line="264"/>
            </w:pPr>
            <w:r>
              <w:t xml:space="preserve">diffusion_samples, recycling, sampling_steps, step_scale, MSA controls, use_potentials (Boltz-Steering), no_kernels.</w:t>
            </w:r>
          </w:p>
        </w:tc>
      </w:tr>
      <w:tr>
        <w:tc>
          <w:tcPr>
            <w:tcW w:type="dxa" w:w="3000"/>
            <w:shd w:fill="FFFFFF" w:val="clear"/>
            <w:tcMar>
              <w:top w:type="dxa" w:w="70"/>
              <w:left w:type="dxa" w:w="110"/>
              <w:bottom w:type="dxa" w:w="70"/>
              <w:right w:type="dxa" w:w="110"/>
            </w:tcMar>
            <w:vAlign w:val="center"/>
          </w:tcPr>
          <w:p>
            <w:pPr>
              <w:spacing w:after="0" w:line="264"/>
            </w:pPr>
            <w:r>
              <w:t xml:space="preserve">Boltz-Steering physics potentials</w:t>
            </w:r>
          </w:p>
        </w:tc>
        <w:tc>
          <w:tcPr>
            <w:tcW w:type="dxa" w:w="1500"/>
            <w:shd w:fill="FFFFFF" w:val="clear"/>
            <w:tcMar>
              <w:top w:type="dxa" w:w="70"/>
              <w:left w:type="dxa" w:w="110"/>
              <w:bottom w:type="dxa" w:w="70"/>
              <w:right w:type="dxa" w:w="110"/>
            </w:tcMar>
            <w:vAlign w:val="center"/>
          </w:tcPr>
          <w:p>
            <w:pPr>
              <w:spacing w:after="0" w:line="264"/>
            </w:pPr>
            <w:r>
              <w:t xml:space="preserve">Yes</w:t>
            </w:r>
          </w:p>
        </w:tc>
        <w:tc>
          <w:tcPr>
            <w:tcW w:type="dxa" w:w="4860"/>
            <w:shd w:fill="FFFFFF" w:val="clear"/>
            <w:tcMar>
              <w:top w:type="dxa" w:w="70"/>
              <w:left w:type="dxa" w:w="110"/>
              <w:bottom w:type="dxa" w:w="70"/>
              <w:right w:type="dxa" w:w="110"/>
            </w:tcMar>
            <w:vAlign w:val="center"/>
          </w:tcPr>
          <w:p>
            <w:pPr>
              <w:spacing w:after="0" w:line="264"/>
            </w:pPr>
            <w:r>
              <w:t xml:space="preserve">Exposed as use_potentials.</w:t>
            </w:r>
          </w:p>
        </w:tc>
      </w:tr>
      <w:tr>
        <w:tc>
          <w:tcPr>
            <w:tcW w:type="dxa" w:w="3000"/>
            <w:shd w:fill="EEF2F8" w:val="clear"/>
            <w:tcMar>
              <w:top w:type="dxa" w:w="70"/>
              <w:left w:type="dxa" w:w="110"/>
              <w:bottom w:type="dxa" w:w="70"/>
              <w:right w:type="dxa" w:w="110"/>
            </w:tcMar>
            <w:vAlign w:val="center"/>
          </w:tcPr>
          <w:p>
            <w:pPr>
              <w:spacing w:after="0" w:line="264"/>
            </w:pPr>
            <w:r>
              <w:t xml:space="preserve">Method conditioning (X-ray / NMR / MD)</w:t>
            </w:r>
          </w:p>
        </w:tc>
        <w:tc>
          <w:tcPr>
            <w:tcW w:type="dxa" w:w="1500"/>
            <w:shd w:fill="EEF2F8" w:val="clear"/>
            <w:tcMar>
              <w:top w:type="dxa" w:w="70"/>
              <w:left w:type="dxa" w:w="110"/>
              <w:bottom w:type="dxa" w:w="70"/>
              <w:right w:type="dxa" w:w="110"/>
            </w:tcMar>
            <w:vAlign w:val="center"/>
          </w:tcPr>
          <w:p>
            <w:pPr>
              <w:spacing w:after="0" w:line="264"/>
            </w:pPr>
            <w:r>
              <w:rPr>
                <w:rFonts w:ascii="Arial" w:cs="Arial" w:eastAsia="Arial" w:hAnsi="Arial"/>
                <w:b/>
                <w:bCs/>
                <w:i w:val="false"/>
                <w:iCs w:val="false"/>
                <w:color w:val="B45309"/>
              </w:rPr>
              <w:t xml:space="preserve">No</w:t>
            </w:r>
          </w:p>
        </w:tc>
        <w:tc>
          <w:tcPr>
            <w:tcW w:type="dxa" w:w="4860"/>
            <w:shd w:fill="EEF2F8" w:val="clear"/>
            <w:tcMar>
              <w:top w:type="dxa" w:w="70"/>
              <w:left w:type="dxa" w:w="110"/>
              <w:bottom w:type="dxa" w:w="70"/>
              <w:right w:type="dxa" w:w="110"/>
            </w:tcMar>
            <w:vAlign w:val="center"/>
          </w:tcPr>
          <w:p>
            <w:pPr>
              <w:spacing w:after="0" w:line="264"/>
            </w:pPr>
            <w:r>
              <w:t xml:space="preserve">Newer controllability feature — not in _validate_options(). Small addition (2.3-K); check the pinned boltz version.</w:t>
            </w:r>
          </w:p>
        </w:tc>
      </w:tr>
      <w:tr>
        <w:tc>
          <w:tcPr>
            <w:tcW w:type="dxa" w:w="3000"/>
            <w:shd w:fill="FFFFFF" w:val="clear"/>
            <w:tcMar>
              <w:top w:type="dxa" w:w="70"/>
              <w:left w:type="dxa" w:w="110"/>
              <w:bottom w:type="dxa" w:w="70"/>
              <w:right w:type="dxa" w:w="110"/>
            </w:tcMar>
            <w:vAlign w:val="center"/>
          </w:tcPr>
          <w:p>
            <w:pPr>
              <w:spacing w:after="0" w:line="264"/>
            </w:pPr>
            <w:r>
              <w:t xml:space="preserve">Pipeline integration (L1 / L2)</w:t>
            </w:r>
          </w:p>
        </w:tc>
        <w:tc>
          <w:tcPr>
            <w:tcW w:type="dxa" w:w="1500"/>
            <w:shd w:fill="FFFFFF" w:val="clear"/>
            <w:tcMar>
              <w:top w:type="dxa" w:w="70"/>
              <w:left w:type="dxa" w:w="110"/>
              <w:bottom w:type="dxa" w:w="70"/>
              <w:right w:type="dxa" w:w="110"/>
            </w:tcMar>
            <w:vAlign w:val="center"/>
          </w:tcPr>
          <w:p>
            <w:pPr>
              <w:spacing w:after="0" w:line="264"/>
            </w:pPr>
            <w:r>
              <w:rPr>
                <w:rFonts w:ascii="Arial" w:cs="Arial" w:eastAsia="Arial" w:hAnsi="Arial"/>
                <w:b/>
                <w:bCs/>
                <w:i w:val="false"/>
                <w:iCs w:val="false"/>
                <w:color w:val="B91C1C"/>
              </w:rPr>
              <w:t xml:space="preserve">No</w:t>
            </w:r>
          </w:p>
        </w:tc>
        <w:tc>
          <w:tcPr>
            <w:tcW w:type="dxa" w:w="4860"/>
            <w:shd w:fill="FFFFFF" w:val="clear"/>
            <w:tcMar>
              <w:top w:type="dxa" w:w="70"/>
              <w:left w:type="dxa" w:w="110"/>
              <w:bottom w:type="dxa" w:w="70"/>
              <w:right w:type="dxa" w:w="110"/>
            </w:tcMar>
            <w:vAlign w:val="center"/>
          </w:tcPr>
          <w:p>
            <w:pPr>
              <w:spacing w:after="0" w:line="264"/>
            </w:pPr>
            <w:r>
              <w:t xml:space="preserve">The critical gap. Phase 0, Section 3.</w:t>
            </w:r>
          </w:p>
        </w:tc>
      </w:tr>
      <w:tr>
        <w:tc>
          <w:tcPr>
            <w:tcW w:type="dxa" w:w="3000"/>
            <w:shd w:fill="EEF2F8" w:val="clear"/>
            <w:tcMar>
              <w:top w:type="dxa" w:w="70"/>
              <w:left w:type="dxa" w:w="110"/>
              <w:bottom w:type="dxa" w:w="70"/>
              <w:right w:type="dxa" w:w="110"/>
            </w:tcMar>
            <w:vAlign w:val="center"/>
          </w:tcPr>
          <w:p>
            <w:pPr>
              <w:spacing w:after="0" w:line="264"/>
            </w:pPr>
            <w:r>
              <w:t xml:space="preserve">Structure-confidence gating</w:t>
            </w:r>
          </w:p>
        </w:tc>
        <w:tc>
          <w:tcPr>
            <w:tcW w:type="dxa" w:w="1500"/>
            <w:shd w:fill="EEF2F8" w:val="clear"/>
            <w:tcMar>
              <w:top w:type="dxa" w:w="70"/>
              <w:left w:type="dxa" w:w="110"/>
              <w:bottom w:type="dxa" w:w="70"/>
              <w:right w:type="dxa" w:w="110"/>
            </w:tcMar>
            <w:vAlign w:val="center"/>
          </w:tcPr>
          <w:p>
            <w:pPr>
              <w:spacing w:after="0" w:line="264"/>
            </w:pPr>
            <w:r>
              <w:rPr>
                <w:rFonts w:ascii="Arial" w:cs="Arial" w:eastAsia="Arial" w:hAnsi="Arial"/>
                <w:b/>
                <w:bCs/>
                <w:i w:val="false"/>
                <w:iCs w:val="false"/>
                <w:color w:val="B91C1C"/>
              </w:rPr>
              <w:t xml:space="preserve">No</w:t>
            </w:r>
          </w:p>
        </w:tc>
        <w:tc>
          <w:tcPr>
            <w:tcW w:type="dxa" w:w="4860"/>
            <w:shd w:fill="EEF2F8" w:val="clear"/>
            <w:tcMar>
              <w:top w:type="dxa" w:w="70"/>
              <w:left w:type="dxa" w:w="110"/>
              <w:bottom w:type="dxa" w:w="70"/>
              <w:right w:type="dxa" w:w="110"/>
            </w:tcMar>
            <w:vAlign w:val="center"/>
          </w:tcPr>
          <w:p>
            <w:pPr>
              <w:spacing w:after="0" w:line="264"/>
            </w:pPr>
            <w:r>
              <w:t xml:space="preserve">No gate on low-ipTM affinity. Section 3.3.</w:t>
            </w:r>
          </w:p>
        </w:tc>
      </w:tr>
      <w:tr>
        <w:tc>
          <w:tcPr>
            <w:tcW w:type="dxa" w:w="3000"/>
            <w:shd w:fill="FFFFFF" w:val="clear"/>
            <w:tcMar>
              <w:top w:type="dxa" w:w="70"/>
              <w:left w:type="dxa" w:w="110"/>
              <w:bottom w:type="dxa" w:w="70"/>
              <w:right w:type="dxa" w:w="110"/>
            </w:tcMar>
            <w:vAlign w:val="center"/>
          </w:tcPr>
          <w:p>
            <w:pPr>
              <w:spacing w:after="0" w:line="264"/>
            </w:pPr>
            <w:r>
              <w:t xml:space="preserve">Job persistence / caching / batch</w:t>
            </w:r>
          </w:p>
        </w:tc>
        <w:tc>
          <w:tcPr>
            <w:tcW w:type="dxa" w:w="1500"/>
            <w:shd w:fill="FFFFFF" w:val="clear"/>
            <w:tcMar>
              <w:top w:type="dxa" w:w="70"/>
              <w:left w:type="dxa" w:w="110"/>
              <w:bottom w:type="dxa" w:w="70"/>
              <w:right w:type="dxa" w:w="110"/>
            </w:tcMar>
            <w:vAlign w:val="center"/>
          </w:tcPr>
          <w:p>
            <w:pPr>
              <w:spacing w:after="0" w:line="264"/>
            </w:pPr>
            <w:r>
              <w:rPr>
                <w:rFonts w:ascii="Arial" w:cs="Arial" w:eastAsia="Arial" w:hAnsi="Arial"/>
                <w:b/>
                <w:bCs/>
                <w:i w:val="false"/>
                <w:iCs w:val="false"/>
                <w:color w:val="B45309"/>
              </w:rPr>
              <w:t xml:space="preserve">No</w:t>
            </w:r>
          </w:p>
        </w:tc>
        <w:tc>
          <w:tcPr>
            <w:tcW w:type="dxa" w:w="4860"/>
            <w:shd w:fill="FFFFFF" w:val="clear"/>
            <w:tcMar>
              <w:top w:type="dxa" w:w="70"/>
              <w:left w:type="dxa" w:w="110"/>
              <w:bottom w:type="dxa" w:w="70"/>
              <w:right w:type="dxa" w:w="110"/>
            </w:tcMar>
            <w:vAlign w:val="center"/>
          </w:tcPr>
          <w:p>
            <w:pPr>
              <w:spacing w:after="0" w:line="264"/>
            </w:pPr>
            <w:r>
              <w:t xml:space="preserve">In-memory job store, no MSA/structure reuse, single-design only. Sections 2.3-F/G/I.</w:t>
            </w:r>
          </w:p>
        </w:tc>
      </w:tr>
    </w:tbl>
    <w:p>
      <w:r>
        <w:br w:type="page"/>
      </w:r>
    </w:p>
    <w:p>
      <w:pPr>
        <w:pStyle w:val="Heading1"/>
        <w:spacing w:after="160" w:before="320"/>
      </w:pPr>
      <w:r>
        <w:t xml:space="preserve">Appendix B — Implementation Prompt</w:t>
      </w:r>
    </w:p>
    <w:p>
      <w:pPr>
        <w:spacing w:after="120" w:before="0" w:line="276"/>
      </w:pPr>
      <w:r>
        <w:t xml:space="preserve">The self-contained implementation prompt is delivered as a separate Markdown file (</w:t>
      </w:r>
      <w:r>
        <w:rPr>
          <w:rFonts w:ascii="Consolas" w:cs="Consolas" w:eastAsia="Consolas" w:hAnsi="Consolas"/>
          <w:b w:val="false"/>
          <w:bCs w:val="false"/>
          <w:i w:val="false"/>
          <w:iCs w:val="false"/>
        </w:rPr>
        <w:t xml:space="preserve">Hakase_Boltz2_Expansion_Implementation_Prompt.md</w:t>
      </w:r>
      <w:r>
        <w:t xml:space="preserve">) so it is easy to copy and send. It instructs an engineering agent to execute Phase 0 first, check in, then proceed through Phases 1–4 — honouring the honesty contract and never regressing the small-molecule pipeline. Its content is reproduced in that file.</w:t>
      </w:r>
    </w:p>
    <w:p>
      <w:pPr>
        <w:spacing w:after="60"/>
      </w:pPr>
    </w:p>
    <w:tbl>
      <w:tblPr>
        <w:tblW w:type="dxa" w:w="9360"/>
        <w:tblBorders>
          <w:top w:val="single" w:color="D9E2F3" w:sz="1"/>
          <w:left w:val="single" w:color="2E75B6" w:sz="18"/>
          <w:bottom w:val="single" w:color="D9E2F3" w:sz="1"/>
          <w:right w:val="single" w:color="D9E2F3" w:sz="1"/>
          <w:insideH w:val="single" w:color="auto" w:sz="4"/>
          <w:insideV w:val="single" w:color="auto" w:sz="4"/>
        </w:tblBorders>
      </w:tblPr>
      <w:tblGrid>
        <w:gridCol w:w="9360"/>
      </w:tblGrid>
      <w:tr>
        <w:tc>
          <w:tcPr>
            <w:tcW w:type="dxa" w:w="9360"/>
            <w:shd w:fill="D9E2F3" w:val="clear"/>
            <w:tcMar>
              <w:top w:type="dxa" w:w="130"/>
              <w:left w:type="dxa" w:w="200"/>
              <w:bottom w:type="dxa" w:w="130"/>
              <w:right w:type="dxa" w:w="160"/>
            </w:tcMar>
          </w:tcPr>
          <w:p>
            <w:pPr>
              <w:spacing w:after="0" w:before="0" w:line="276"/>
            </w:pPr>
            <w:r>
              <w:rPr>
                <w:rFonts w:ascii="Arial" w:cs="Arial" w:eastAsia="Arial" w:hAnsi="Arial"/>
                <w:b/>
                <w:bCs/>
                <w:i w:val="false"/>
                <w:iCs w:val="false"/>
                <w:color w:val="1F3864"/>
              </w:rPr>
              <w:t xml:space="preserve">One closing note.  </w:t>
            </w:r>
            <w:r>
              <w:t xml:space="preserve">The thing most worth protecting here is not any single model — it is the honesty architecture: provenance tiers, the cascade gate, falsifiers, the seal chain. That discipline is what makes the platform credible, and it is exactly what most in-silico tools lack. Every modality you add should be made to fit that architecture, not bolted on beside it. Boltz-2, wired in properly, is a strong step. Keep the governance in the centre and the rest of the roadmap follows cleanly.</w:t>
            </w:r>
          </w:p>
        </w:tc>
      </w:tr>
    </w:tbl>
    <w:sectPr>
      <w:headerReference w:type="default" r:id="rId7"/>
      <w:footerReference w:type="default" r:id="rId8"/>
      <w:pgSz w:w="12240" w:h="15840"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6"/>
        <w:szCs w:val="16"/>
      </w:rPr>
      <w:t xml:space="preserve">Page </w:t>
    </w:r>
    <w:r>
      <w:rPr>
        <w:color w:val="999999"/>
        <w:sz w:val="16"/>
        <w:szCs w:val="16"/>
      </w:rPr>
      <w:fldChar w:fldCharType="begin"/>
      <w:instrText xml:space="preserve">PAGE</w:instrText>
      <w:fldChar w:fldCharType="separate"/>
      <w:fldChar w:fldCharType="end"/>
    </w:r>
    <w:r>
      <w:rPr>
        <w:color w:val="999999"/>
        <w:sz w:val="16"/>
        <w:szCs w:val="16"/>
      </w:rPr>
      <w:t xml:space="preserve"> of </w:t>
    </w:r>
    <w:r>
      <w:rPr>
        <w:color w:val="99999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4" w:space="4"/>
      </w:pBdr>
      <w:tabs>
        <w:tab w:val="right" w:pos="9360"/>
      </w:tabs>
    </w:pPr>
    <w:r>
      <w:rPr>
        <w:color w:val="999999"/>
        <w:sz w:val="16"/>
        <w:szCs w:val="16"/>
      </w:rPr>
      <w:t xml:space="preserve">Hakase BioTwin</w:t>
    </w:r>
    <w:r>
      <w:rPr>
        <w:color w:val="999999"/>
        <w:sz w:val="16"/>
        <w:szCs w:val="16"/>
      </w:rPr>
      <w:t xml:space="preserve">	Boltz-2 Integration Review &amp; Multi-Modality Expansion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80"/>
      </w:pPr>
    </w:lvl>
    <w:lvl w:ilvl="1" w15:tentative="1">
      <w:start w:val="1"/>
      <w:numFmt w:val="bullet"/>
      <w:lvlText w:val="–"/>
      <w:lvlJc w:val="left"/>
      <w:pPr>
        <w:ind w:left="880" w:hanging="280"/>
      </w:pPr>
    </w:lvl>
  </w:abstractNum>
  <w:abstractNum w:abstractNumId="3" w15:restartNumberingAfterBreak="0">
    <w:multiLevelType w:val="hybridMultilevel"/>
    <w:lvl w:ilvl="0" w15:tentative="1">
      <w:start w:val="1"/>
      <w:numFmt w:val="decimal"/>
      <w:lvlText w:val="%1."/>
      <w:lvlJc w:val="left"/>
      <w:pPr>
        <w:ind w:left="4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2E75B6"/>
      <w:sz w:val="25"/>
      <w:szCs w:val="25"/>
    </w:rPr>
  </w:style>
  <w:style w:type="paragraph" w:styleId="Heading3">
    <w:name w:val="Heading 3"/>
    <w:basedOn w:val="Normal"/>
    <w:next w:val="Normal"/>
    <w:qFormat/>
    <w:pPr>
      <w:spacing w:after="80" w:before="160"/>
      <w:outlineLvl w:val="2"/>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2026-05-22T02:11:58.091Z</dcterms:created>
  <dcterms:modified xsi:type="dcterms:W3CDTF">2026-05-22T02:11:58.091Z</dcterms:modified>
</cp:coreProperties>
</file>

<file path=docProps/custom.xml><?xml version="1.0" encoding="utf-8"?>
<Properties xmlns="http://schemas.openxmlformats.org/officeDocument/2006/custom-properties" xmlns:vt="http://schemas.openxmlformats.org/officeDocument/2006/docPropsVTypes"/>
</file>