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64"/>
          <w:szCs w:val="64"/>
        </w:rPr>
        <w:t xml:space="preserve">Hakase BioTwin</w:t>
      </w:r>
    </w:p>
    <w:p>
      <w:pPr>
        <w:spacing w:after="0" w:before="120"/>
        <w:jc w:val="center"/>
      </w:pPr>
      <w:r>
        <w:rPr>
          <w:b/>
          <w:bCs/>
          <w:color w:val="2E75B6"/>
          <w:sz w:val="30"/>
          <w:szCs w:val="30"/>
        </w:rPr>
        <w:t xml:space="preserve">Layer 1 &amp; Layer 2 — Complete Algorithm, Logic &amp; Model Reference</w:t>
      </w:r>
    </w:p>
    <w:p>
      <w:pPr>
        <w:spacing w:after="0" w:before="200"/>
        <w:jc w:val="center"/>
      </w:pPr>
      <w:r>
        <w:rPr>
          <w:i/>
          <w:iCs/>
          <w:color w:val="555555"/>
          <w:sz w:val="24"/>
          <w:szCs w:val="24"/>
        </w:rPr>
        <w:t xml:space="preserve">Every heuristic, equation, calibrated model and machine-learning engine behind each output</w:t>
      </w:r>
    </w:p>
    <w:p>
      <w:pPr>
        <w:spacing w:after="0" w:before="1400"/>
        <w:jc w:val="center"/>
      </w:pPr>
      <w:r>
        <w:rPr>
          <w:color w:val="555555"/>
          <w:sz w:val="24"/>
          <w:szCs w:val="24"/>
        </w:rPr>
        <w:t xml:space="preserve">Preclinical Digital Twin Platform</w:t>
      </w:r>
    </w:p>
    <w:p>
      <w:pPr>
        <w:spacing w:after="0" w:before="60"/>
        <w:jc w:val="center"/>
      </w:pPr>
      <w:r>
        <w:rPr>
          <w:color w:val="888888"/>
          <w:sz w:val="22"/>
          <w:szCs w:val="22"/>
        </w:rPr>
        <w:t xml:space="preserve">Technical reference · May 2026</w:t>
      </w:r>
    </w:p>
    <w:p>
      <w:pPr>
        <w:spacing w:after="0" w:before="60"/>
        <w:jc w:val="center"/>
      </w:pPr>
      <w:r>
        <w:rPr>
          <w:color w:val="888888"/>
          <w:sz w:val="22"/>
          <w:szCs w:val="22"/>
        </w:rPr>
        <w:t xml:space="preserve">Scope: in-vitro digital twin (L1) and confirmation layer (L2)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 &amp; Honest Accuracy Rating</w:t>
      </w:r>
    </w:p>
    <w:p>
      <w:pPr>
        <w:spacing w:after="120" w:line="276"/>
      </w:pPr>
      <w:r>
        <w:t xml:space="preserve">Hakase BioTwin is a preclinical digital-twin platform that profiles a small molecule from its SMILES string, through an in-vitro digital twin (Layer 1) and an evidence-confirmation layer (Layer 2), toward an IND-readiness decision. This document is a complete, honest inventory of every algorithm, heuristic, equation and machine-learning model that produces an L1 or L2 output — what it is, what it consumes, how trustworthy it is, and where it stops being defensible.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Can it get close to a real lab report? </w:t>
      </w:r>
      <w:r>
        <w:rPr>
          <w:b w:val="false"/>
          <w:bCs w:val="false"/>
          <w:i w:val="false"/>
          <w:iCs w:val="false"/>
        </w:rPr>
        <w:t xml:space="preserve">Honest answer: for the ADMET and pharmacokinetic endpoints it is now genuinely comparable to industry in-silico tools and lands in the same ballpark as measured values — typically within 2–5× — which is good enough to rank, triage and prioritise molecules and to catch most safety liabilities early. It is NOT, and no in-silico tool is, a replacement for the wet-lab assay itself: a Caco-2 plate has ~15–25% CV, a model has ~2.5× fold error. They are the same order of magnitude, not the same number. The platform is correctly positioned as a triage-and-prioritisation instrument, not a regulatory data source.</w:t>
      </w:r>
    </w:p>
    <w:p>
      <w:pPr>
        <w:pStyle w:val="Heading2"/>
      </w:pPr>
      <w:r>
        <w:t xml:space="preserve">1.1 Subsystem scorecard</w:t>
      </w:r>
    </w:p>
    <w:p>
      <w:pPr>
        <w:spacing w:after="120" w:line="276"/>
      </w:pPr>
      <w:r>
        <w:t xml:space="preserve">A single overall score would be misleading because the subsystems differ widely in maturity. The rating below is per-subsystem, on a 1–10 scale, judged against the realistic ceiling for in-silico prediction (not against a wet lab, which no tool can match).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 for the rating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trained ML overlay (ADMET-AI GNN + RF models)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41-endpoint Chemprop graph neural network plus dedicated random forests. Held-out ROC-AUC 0.78–0.90, regression R² 0.5–0.85. This is the strongest path and is industry-competitive.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calibrated QSPR fallback (May 2026)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Newly fitted to public measured datasets; 2.5–3× fold error on PK endpoints, ROC-AUC 0.75–0.90 on classifiers — same band as SwissADME / pkCSM. Used only when the ML service is offline.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physicochemical descriptors (RDKit)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MW, logP, TPSA, rings, etc. are exact deterministic RDKit computations — not predictions. Effectively as good as a calculation can be.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structural-alert &amp; bioactivation screens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Curated SMARTS substructure libraries (PAINS, Brenk, BMS, NIH, Ames-ICH). Deterministic and well-established; catches reactive/mutagenic motifs reliably.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on-target IC50 / binding affinity (no ML)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Physicochemistry alone cannot predict that a molecule binds a named protein at 8 nM. Honest weak point — correctly gated and deferred to the ML binding model / ChEMBL when available.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 docking (AutoDock Vina) &amp; FEP (TIES)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physics. Vina is an empirical scoring function (~1 kcal/mol noise); TIES FEP is rigorous but opt-in GPU. Both produce real, non-fabricated numbers.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 PBPK / dose projection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Mechanistically sound 2-compartment ODE, but parameters (Vd, CL, ka) are physchem-estimated, so it is explicitly a first-pass projection — the code self-labels confidence 'low'.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 Confirmation Engine (governance)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/ 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 predictor — an evidence-reconciliation framework. Compares predictions to real wet-lab data the user enters and flags contradictions. Robust and honest by design.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Bottom line: as a decision-support and triage platform for novel small molecules, Hakase BioTwin is strong and competitive. Its outputs are comparable to — same order of magnitude as — real lab values for the ADMET/PK endpoints, and its safety screens catch most liabilities. It should be presented as the instrument that tells you which molecules are worth spending wet-lab money on, and which will fail — not as a substitute for the IND-enabling data package.</w:t>
            </w:r>
          </w:p>
        </w:tc>
      </w:tr>
    </w:tbl>
    <w:p>
      <w:pPr>
        <w:pStyle w:val="Heading2"/>
      </w:pPr>
      <w:r>
        <w:t xml:space="preserve">1.2 The honesty model that runs through both layers</w:t>
      </w:r>
    </w:p>
    <w:p>
      <w:pPr>
        <w:spacing w:after="120" w:line="276"/>
      </w:pPr>
      <w:r>
        <w:t xml:space="preserve">Every numeric output in L1 and L2 carries a provenance label so a reviewer can never confuse a measured value, a trained-model prediction, and a rule-of-thumb estimate. This is the single most important design principle in the codebase and it is enforced in code, not by convention.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6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Provenance tier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experimental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match to a measured value (e.g. ChEMBL exact compound).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enriched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Inferred from a close measured analogue (similarity-based).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real trained model ran and produced this value.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 SMARTS substructure match.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Calibrated or rule-based estimate from physicochemistry — no measurement.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honest value could be produced; the field is null and the UI shows a 'no data' state rather than a fabricated number.</w:t>
            </w:r>
          </w:p>
        </w:tc>
      </w:tr>
    </w:tbl>
    <w:p>
      <w:pPr>
        <w:spacing w:after="0" w:line="276"/>
      </w:pPr>
      <w:r>
        <w:t xml:space="preserve">The rule the whole platform obeys: a model returns source:"ml" only when the trained model actually ran; if it fails it returns source:"fallback" with an explicit error and empty outputs — never a silently invented number. Layer 2 inherits this and adds a falsifier framework on top.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20" w:line="276"/>
      </w:pPr>
      <w:r>
        <w:t xml:space="preserve">The platform is a four-layer pipeline. A compound enters as a SMILES string and, optionally, a UniProt target ID, and progresses only as far as the evidence supports. This document covers Layers 1 and 2 in full; Layers 3 and 4 are summarised only for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In-Vitro Digital Twin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Profiles the molecule itself: physicochemistry, ADMET, permeability, metabolism, hERG/CYP safety, structural liabilities, binding estimate, and a Go/No-Go.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Confirmation Layer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Takes the frozen L1 evidence, adds docking, ML affinity, PBPK, PD coupling, dose projection and therapeutic-index margins, then reconciles every prediction against any wet-lab data the user supplies.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Animal Cohort Simulation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Virtual animal cohorts and cross-species translation (out of scope here).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Clinical / IND Readiness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Phase-1 planning and IND-readiness scoring (out of scope here).</w:t>
            </w:r>
          </w:p>
        </w:tc>
      </w:tr>
    </w:tbl>
    <w:p>
      <w:pPr>
        <w:spacing w:after="120" w:line="276"/>
      </w:pPr>
      <w:r>
        <w:t xml:space="preserve">Layer 1 runs three independent pipelines in parallel on every simulation: a rule/heuristic ADMET engine, a rule/heuristic in-vitro engine, and a set of six trained ML services. Most panels show the ML answer when the AI service is online and the calibrated heuristic answer when it is not; several panels show both side-by-side with an honest delta. Layer 2 is a ten-stage pipeline plus a separate evidence-governance engine.</w:t>
      </w:r>
    </w:p>
    <w:p>
      <w:r>
        <w:br w:type="page"/>
      </w:r>
    </w:p>
    <w:p>
      <w:pPr>
        <w:pStyle w:val="Heading1"/>
      </w:pPr>
      <w:r>
        <w:t xml:space="preserve">3. Layer 1 — In-Vitro Digital Twin</w:t>
      </w:r>
    </w:p>
    <w:p>
      <w:pPr>
        <w:pStyle w:val="Heading2"/>
      </w:pPr>
      <w:r>
        <w:t xml:space="preserve">3.1 The three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Nature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ADMET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lib/admet.ts → runAdmetSimulation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Rule-based / calibrated QSPR. Produces the 5-axis ADMET scores, tox alerts, organ risks, binding estimate, Lipinski, Go/No-Go, confidence.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In-Vitro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lib/inVitroSim.ts → runInVitroSimulation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Rule-based / calibrated QSPR. Produces dose-response, permeability, metabolic stability, CYP, PPB, hERG, selectivity, cell viability, bioactivation.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Trained ML services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artifacts/ai-service (Python)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Six independently trained ML models served over HTTP. Override the heuristic values when available; each carries an ml/fallback envelope.</w:t>
            </w:r>
          </w:p>
        </w:tc>
      </w:tr>
    </w:tbl>
    <w:p>
      <w:pPr>
        <w:spacing w:after="120" w:line="276"/>
      </w:pPr>
      <w:r>
        <w:t xml:space="preserve">When the ML service is online its outputs take priority and are tagged 'ml'; the heuristic pipelines then act as an honest, calibrated fallback tagged 'heuristic'. The two are often shown paired so a user sees agreement or divergence.</w:t>
      </w:r>
    </w:p>
    <w:p>
      <w:pPr>
        <w:pStyle w:val="Heading2"/>
      </w:pPr>
      <w:r>
        <w:t xml:space="preserve">3.2 Molecular descriptors &amp; chemistry foundation (lib/chemistry.ts)</w:t>
      </w:r>
    </w:p>
    <w:p>
      <w:pPr>
        <w:spacing w:after="120" w:line="276"/>
      </w:pPr>
      <w:r>
        <w:t xml:space="preserve">Everything in L1 is built on RDKit. The RDKit WebAssembly module computes the descriptors below directly from the SMILES string. These are exact deterministic calculations, not predictions — the same molecule always yields the same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 / logic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Provenance &amp; notes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MW, logP, TPSA, HBD, HBA, rotatable bonds, rings, Fsp3, heteroatom counts, χ/κ topological indices, Crippen MR, Labute ASA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RDKit descriptor calls (CrippenClogP for logP, Ertl TPSA, etc.).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computation. logP is the Crippen atom-contribution estimate — itself a model, ~0.5 log typical error, but standard industry practice.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QED (Quantitative Estimate of Drug-likeness)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Faithful port of the Bickerton 2012 asymmetric-double-sigmoid formulation: a weighted geometric mean of 8 desirability functions over MW, ALOGP, HBA, HBD, PSA, rotatable bonds, aromatic rings and structural ALERTS.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Deterministic. The ALERTS term uses a pharmacophore-level reactive-moiety proxy rather than the full ~150-SMARTS set, so QED is a slightly optimistic upper bound when broad alerts fire.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 score (Synthetic Accessibility, 1–10)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Ertl–Schuffenhauer 2009 complexity-penalty component: ring complexity, stereo-centre, sp3, spiro, bridgehead and macrocycle penalties mapped onto the 1–10 scale.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Deterministic. The published fragment-frequency term (a ~3 MB ChEMBL dictionary) is not vendored, so this is the complexity portion only — an upper-bound estimate.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Pharmacophore profile (basic amines, aromatic N, acid groups, Michael acceptors, piperidine/piperazine, etc.)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RDKit SMARTS substructure matching against a curated query set.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 structural detection. Feeds the calibrated models, hERG logic and Ames screen.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Lipinski Rule-of-Five / lead-likeness / Veber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Threshold rules: MW≤500, logP≤5, HBD≤5, HBA≤10 (Ro5); Veber adds rotatable bonds ≤10 and TPSA ≤140.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 published conventions, not predictions.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Morgan fingerprint + Tanimoto similarity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1024-bit radius-2 Morgan circular fingerprint; Tanimoto = intersection/union of set bits.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Deterministic. Used for applicability-domain scoring and analogue search.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Heuristic ADMET engine outputs (lib/admet.ts)</w:t>
      </w:r>
    </w:p>
    <w:p>
      <w:pPr>
        <w:spacing w:after="120" w:line="276"/>
      </w:pPr>
      <w:r>
        <w:t xml:space="preserve">runAdmetSimulation produces the 5-axis ADMET profile and the headline Go/No-Go. When the ML overlay is present each axis is driven by the relevant ADMET-AI endpoints; otherwise the calibrated/heuristic rule below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12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 / logic / model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Provenance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 &amp; limitations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Absorption (0–1)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path: weighted blend of ADMET-AI HIA_Hou, Caco2_Wang, Bioavailability_Ma. Heuristic path (new): calibrated logistic HIA model (TDC HIA_Hou, n=578) + therapeutic-area bonus.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HIA classifier ROC-AUC 0.896. Replaces the former TPSA-bracket rule.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Distribution (0–1)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path: blend of ADMET-AI BBB_Martins, PPBR_AZ, VDss_Lombardo with desirability scoring. Heuristic: logP/MW/TPSA bracket rule.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Reasonable directional score; not a measured Vd.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Metabolism (0–1)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path: hepatocyte CLint + half-life desirability minus a CYP-inhibition DDI penalty. Heuristic: logP/rotatable-bond/HBD bracket rule.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Directional. CLint is intrinsically hard to predict (see 3.4).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Excretion (0–1)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path: ADMET-AI Half_Life_Obach mapped to an excretion-friendliness band. Heuristic: MW/logP bracket rule.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Directional score.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Toxicity / safety (0–1, 1=safe)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path: 1 − weighted mean of CardioTox hERG, DILI, AMES, ClinTox, carcinogen, skin-reaction probabilities. Heuristic: base 0.80 with logP/MW penalties.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path is well-grounded; heuristic path is coarse.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 ADMET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Fixed weighted sum: 0.25·abs + 0.20·dist + 0.20·met + 0.15·exc + 0.20·tox.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policy weighting scheme, not a learned score.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Toxicity alerts (hERG, hepatotox, BBB, Ames, ClinTox, carcinogen, reactive/PAINS)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alert fires from an ML probability threshold when available, else from a physchem rule or a SMARTS structural-alert hit. Severity scales with probability.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structural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Catches most liabilities; thresholds are triage bands, not regulatory cut-offs.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Organ risks (Liver, Heart, Kidney, CNS, GI)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Driven by ML probabilities when available (DILI→liver, hERG→heart, BBB→CNS), else by deterministic flag triggers. Colour bands at 0.15 / 0.30.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Directional risk indicator. Lung organ was removed as it carried no real signal.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Binding Kd / Ki / IC50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Priority: (1) ML binding Kd; (2) legacy predicted Kd argument; (3) curated TARGET_MAP catalog anchor modulated by drug-likeness + QED; (4) null. Ki≈0.85·Kd, IC50≈1.2·Kd (Cheng–Prusoff).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 / unavailable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catalog path is a coarse anchor for 8 curated kinases; off-catalogue targets correctly return null rather than a fabricated number.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Lipinski analysis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Ro5 + lead-like + Veber threshold rules on the RDKit descriptors.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(rule)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rule evaluation.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Go/No-Go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NO-GO if any high-severity tox alert OR ≥3 Lipinski violations OR a hard-reject structural alert; WATCH if ≥2 violations OR overall&lt;0.65 OR &gt;1 alert; else GO.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(rule)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Transparent decision rule. Conservative by design.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Confidence score (0–1)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Composite: overall·0.6 + (1−violations·0.12)·0.25 + alert-count bonus.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composite heuristic index — explicitly NOT a calibrated probability of clinical success.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Similar drugs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Curated UniProt→approved-drug lookup (7 targets). Off-catalogue → empty list.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experimental / unavailable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approved-drug precedents only; no fabricated analogues.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Heuristic in-vitro engine outputs (lib/inVitroSim.ts)</w:t>
      </w:r>
    </w:p>
    <w:p>
      <w:pPr>
        <w:spacing w:after="120" w:line="276"/>
      </w:pPr>
      <w:r>
        <w:t xml:space="preserve">runInVitroSimulation produces the wet-lab-style assay panel. As of the May 2026 calibration update, the heuristic fallbacks for permeability, plasma binding, clearance, half-life, hERG and CYP are no longer hand-tuned rules — they are regression / logistic models fitted to public measured datasets (see 3.6). The ML overlay still takes priority when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12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 / logic / model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Provenance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 &amp; limitations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Caco-2 Papp (10⁻⁶ cm/s)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ADMET-AI Caco2_Wang GNN. Heuristic: calibrated Ridge regression on log10(Papp), fitted to TDC Caco2_Wang (n=910).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CV R²=0.58, geomean fold-error 2.5×. Benchmark on marketed drugs: ~1.6–2.2×.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PAMPA Pe / efflux ratio / P-gp substrate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PAMPA scaled from Caco-2 by an Fsp3 factor; efflux ratio from ADMET-AI Pgp_Broccatelli probability (or logP/MW rule); P-gp flag at efflux&gt;2.5.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Directional. PAMPA scaling is an approximation.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hERG IC50 (µM) &amp; risk band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CardioTox RF blocker probability. Heuristic: calibrated logistic (TDC hERG_Karim, n=13,445) → IC50 via a calibrated inverse-logistic anchored at p=0.5≈10 µM.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logistic ROC-AUC 0.739 — a screen. The CardioTox RF reaches ~0.90 and is the real path. Patch-clamp still required for regulatory use.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CYP inhibition IC50 — 1A2/2C9/2C19/2D6/3A4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ADMET-AI Veith heads. Heuristic: five calibrated logistic models (TDC CYP*_Veith, n≈12–13k each) → IC50 via the shared inverse-logistic.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ROC-AUC 0.75–0.85. Now deterministic (the former SMILES-hash jitter was removed).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Microsomal / hepatocyte CLint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ADMET-AI Clearance_Hepatocyte_AZ. Heuristic: calibrated Ridge on log10(hepatocyte CLint), TDC Clearance_Hepatocyte_AZ (n=1,213); microsomal = hepatocyte × 2.5.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CLint is intrinsically hard from 2-D structure (CV R²≈0.05). Treat as a coarse triage band, ~3× fold error.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Half-life (min)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ADMET-AI Half_Life_Obach. Heuristic: calibrated Ridge on log10(t½), TDC Half_Life_Obach (n=667).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CV geomean fold-error 2.7×. Replaced the well-stirred-liver fallback that over-predicted high-Vd drugs ~9×.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Plasma protein binding (fu %)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ADMET-AI PPBR_AZ. Heuristic: calibrated Ridge on log10(fu), TDC PPBR_AZ (n=1,614).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CV R²=0.36, geomean fold-error 2.8×.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Dose-response IC50 / EC50 / Hill / Emax / curve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Gated: emitted only for a validated target. ML Kd → IC50 via Cheng–Prusoff; else a hand-tuned ligand-efficiency-anchored QSPR pIC50 (computeBaselinePIC50). Hill and Emax from descriptor rules; curve is a logistic with heteroscedastic Gaussian noise (Box–Muller).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 / unavailable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On-target potency from physicochemistry alone is unreliable (the platform's weakest endpoint). Correctly returns null for off-catalogue targets.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Selectivity (kinase score, off-target hits, panel)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Gated entirely on a real off-target screen. With no screen run, all selectivity fields return null and the panel is empty.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fabricated 'tested against N targets' counts — honest by construction.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Cell viability CC50 / therapeutic index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ML: derived from ADMET-AI LD50_Zhu via the Lou 2014 correlation. Heuristic: logP/Fsp3/aromatic-ring step rule. TI = CC50/IC50 (only when on-target IC50 exists).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/ heuristic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Coarse cytotoxicity band.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Bioactivation assessment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SMARTS reactive-metabolite alert library scan (lib/bioactivationEngine.ts) — aromatic amines, nitro, epoxides, Michael acceptors, etc., scaled by CYP/CLint context.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Deterministic substructure screen — a defensible discovery-stage signal.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 in-vitro risk &amp; score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Sum of seven risk factors (low potency, low permeability, unstable metabolism, hERG, non-selective, low TI, CYP) → High/Moderate/Low; score = 1 − risk/8.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 (rule)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Transparent weighting scheme.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The six trained machine-learning models (artifacts/ai-service)</w:t>
      </w:r>
    </w:p>
    <w:p>
      <w:pPr>
        <w:spacing w:after="120" w:line="276"/>
      </w:pPr>
      <w:r>
        <w:t xml:space="preserve">These are real trained models served from a Python service. Each was built to be methodologically independent of the heuristic engine it second-opinions — different training data, features and algorithm class. Every model returns an ml/fallback envelope and reports its own validation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19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ADMET-AI v2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Chemprop directed-message-passing GNN ensemble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TDC ADMET benchmark — 41 endpoints, tens of thousands of compounds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Learned graph embeddings + RDKit physchem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ROC-AUC ~0.8–0.9 / R² 0.5–0.85 per endpoint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CardioTox v1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Forest classifier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TDC hERG / Wang–Karim (n=655)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1024-bit Morgan FP + 7 RDKit descriptors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5-fold CV ROC-AUC ≈0.87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Solubility-ML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Forest regressor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~135 curated compounds with measured logS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Morgan FP + 9 RDKit descriptors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Continuous logS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DILI-ML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Forest classifier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TDC DILI / Xu 2015 (n=475, FDA labels)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Morgan FP + 6 RDKit descriptors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5-fold CV ROC-AUC ≈0.78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Binding-ML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Gradient-Boosted regressor (DeepDTA-style)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~125 curated drug–target pairs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1024-bit Morgan FP + 8 descriptors + 480-d ESM-2 protein embedding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R² ≈0.60, RMSE ~0.9 log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Protein-ML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Logistic regression on a protein language model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~80 druggable targets vs ~80 housekeeping proteins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Mean-pooled ESM-2 t12 embedding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5-fold CV druggability classifier</w:t>
            </w:r>
          </w:p>
        </w:tc>
      </w:tr>
    </w:tbl>
    <w:p>
      <w:pPr>
        <w:spacing w:after="120" w:line="276"/>
      </w:pPr>
      <w:r>
        <w:t xml:space="preserve">Each Morgan-fingerprint model also reports an applicability-domain score — the Tanimoto similarity to its nearest training compound — so a prediction on chemistry far outside the training set is flagged as out-of-domain rather than shown with false confidence.</w:t>
      </w:r>
    </w:p>
    <w:p>
      <w:pPr>
        <w:pStyle w:val="Heading2"/>
      </w:pPr>
      <w:r>
        <w:t xml:space="preserve">3.6 The calibrated QSPR fallback layer (lib/l1Calibration.ts, May 2026)</w:t>
      </w:r>
    </w:p>
    <w:p>
      <w:pPr>
        <w:spacing w:after="120" w:line="276"/>
      </w:pPr>
      <w:r>
        <w:t xml:space="preserve">This module was added to replace the former hand-tuned 'rule of thumb' formulas. It holds 11 models fitted (Ridge regression / L2-logistic, 5-fold cross-validated) to public Therapeutics Data Commons datasets, using only descriptors already available in the browser engine. The training data is pulled from the TDC API by a reproducible script; only the fitted coefficients (a few KB) are stored — no datasets are vendored.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Dataset (n)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Cross-validated metric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Caco-2 log Papp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Caco2_Wang (910)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Ridge regression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R²=0.58, fold-error 2.5×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Plasma fu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PPBR_AZ (1,614)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Ridge regression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R²=0.36, fold-error 2.8×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Half-life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Half_Life_Obach (667)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Ridge regression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R²=0.16, fold-error 2.7×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Hepatocyte CLint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Clearance_Hepatocyte_AZ (1,213)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Ridge regression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R²=0.05, fold-error 3.1×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HIA probability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HIA_Hou (578)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L2-logistic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ROC-AUC 0.896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hERG blocker probability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hERG_Karim (13,445)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L2-logistic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ROC-AUC 0.739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CYP1A2/2C9/2C19/2D6/3A4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CYP*_Veith (~12–13k each)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L2-logistic ×5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ROC-AUC 0.75–0.85</w:t>
            </w:r>
          </w:p>
        </w:tc>
      </w:tr>
    </w:tbl>
    <w:p>
      <w:pPr>
        <w:spacing w:after="120" w:line="276"/>
      </w:pPr>
      <w:r>
        <w:t xml:space="preserve">Measured improvement vs the old hand-tuned rules, on the marketed-drug benchmark: Caco-2 permeability error fell from 3.5× to 1.6×, plasma fu from 7.6× to 4.3×, half-life from 4.1× to 2.6×, and hERG IC50 from 26.7× to 11.6× (and to ~4.7× with the full descriptor set).</w:t>
      </w:r>
    </w:p>
    <w:p>
      <w:pPr>
        <w:pStyle w:val="Heading2"/>
      </w:pPr>
      <w:r>
        <w:t xml:space="preserve">3.7 The Cascade Gate (lib/cascadeGate.ts)</w:t>
      </w:r>
    </w:p>
    <w:p>
      <w:pPr>
        <w:spacing w:after="120" w:line="276"/>
      </w:pPr>
      <w:r>
        <w:t xml:space="preserve">The cascade gate is the one place that tags every L1 output with a provenance tier (see 1.2) and a plain-language note. It blocks automatic advancement to Layer 2 when too many safety-critical signals are heuristic-only, and it is the intended single authority for the headline Go/No-Go verdict. It does not compute new science — it audits the provenance of what the other engines produced.</w:t>
      </w:r>
    </w:p>
    <w:p>
      <w:r>
        <w:br w:type="page"/>
      </w:r>
    </w:p>
    <w:p>
      <w:pPr>
        <w:pStyle w:val="Heading1"/>
      </w:pPr>
      <w:r>
        <w:t xml:space="preserve">4. Layer 2 — Confirmation Layer</w:t>
      </w:r>
    </w:p>
    <w:p>
      <w:pPr>
        <w:spacing w:after="120" w:line="276"/>
      </w:pPr>
      <w:r>
        <w:t xml:space="preserve">Layer 2 has two distinct parts. The L2 Pipeline (lib/l2Pipeline.ts) is a ten-stage compute pipeline that adds docking, ML affinity, PBPK and dose projection on top of the frozen L1 outputs. The Confirmation Engine (lib/confirmationEngine.ts) is a governance framework that reconciles those predictions against real wet-lab measurements. Both refuse to fabricate: a stage that genuinely cannot run returns an explicit out-of-scope or error status.</w:t>
      </w:r>
    </w:p>
    <w:p>
      <w:pPr>
        <w:pStyle w:val="Heading2"/>
      </w:pPr>
      <w:r>
        <w:t xml:space="preserve">4.1 The ten-stage L2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5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 / logic / model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Provenance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Ingest L1 outputs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Freezes the L1 SimResults + InVitroResults and mints an evidence pointer. No computation.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passthrough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Target druggability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Calls the Protein-ML model (ESM-2 embedding + logistic regression) on the L1 UniProt; copies RDKit descriptors and Ro5/Veber from L1.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AutoDock Vina (real physical docking). Resolves and ranks candidate PDB structures by method/resolution/co-crystal ligand, then docks. Vina score → pKd-equivalent via ΔG = −RT·ln10·pKd. Opt-in (~30–90 s).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affinity + ADMET cross-check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Binding-ML (Morgan+ESM-2 GBM) predicts pKd; cross-checked against the L1 heuristic Ki and (if run) the Vina score. ADMET-AI re-run for an independent tox cross-check.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Selectivity + cardiotox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CardioTox RF hERG probability; consensus with the L1 hERG category (agree / conflict).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Free-energy refinement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TIES relative-binding free-energy perturbation (OpenMM + OpenFF) on a GPU cluster via RunPod. Opt-in (~24 GPU-hours). Returns a real ΔΔG with uncertainty or an explicit error.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fep / out-of-scope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PBPK projection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Two-compartment ODE model solved with 4th-order Runge–Kutta (see 4.2).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mechanistic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QSP / PD coupling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Hill receptor-occupancy model over the PBPK curve: occupancy = Cᵘⁿᵇᵒᵘⁿᵈⁿ / (Kiⁿ + Cᵘⁿᵇᵒᵘⁿᵈⁿ). Ki preferred from ML binding, else L1 heuristic.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mechanistic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Therapeutic-index ranking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computeL2DoseProjection — receptor-occupancy dose, Vd/F/CL estimation, safety margins (see 4.3).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mechanistic / heuristic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Output / handoff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Assembles the L2-handoff-v1 JSON, liability flags and an evidence tier (low/moderate/high) from how many ML/physics stages actually ran.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passthrough</w:t>
            </w:r>
          </w:p>
        </w:tc>
      </w:tr>
    </w:tbl>
    <w:p>
      <w:pPr>
        <w:spacing w:after="120" w:line="276"/>
      </w:pPr>
      <w:r>
        <w:t xml:space="preserve">Stages 2 and 5 are opt-in because they are expensive; Run-Full-Pipeline executes the rest. Every stage returns one of four honest statuses: wired (ran), out-of-scope (cannot run in this tier), error, or skipped.</w:t>
      </w:r>
    </w:p>
    <w:p>
      <w:r>
        <w:br w:type="page"/>
      </w:r>
    </w:p>
    <w:p>
      <w:pPr>
        <w:pStyle w:val="Heading2"/>
      </w:pPr>
      <w:r>
        <w:t xml:space="preserve">4.2 The PBPK model (lib/pbpk.ts) — Stage 6</w:t>
      </w:r>
    </w:p>
    <w:p>
      <w:pPr>
        <w:spacing w:after="120" w:line="276"/>
      </w:pPr>
      <w:r>
        <w:t xml:space="preserve">A two-compartment physiologically-based pharmacokinetic model. The central compartment is plasma plus highly-perfused organs; the peripheral compartment is muscle, fat and poorly-perfused tissue. The coupled differential equations are: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dC1/dt = [ Input(t) − CL·C1 − Q·C1 + Q·C2/Kp ] / Vc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dC2/dt = [ Q·C1 − Q·C2/Kp ] /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it is derived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Kp (tissue:plasma partition)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+ (logP − 1)·0.8, clamped 0.3–15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Simplified Rodgers &amp; Rowland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Vc, Vp (compartment volumes)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logP- and MW-scaled reference volumes, allometrically scaled by body weight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PK-Sim OSP reference physiology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 (clearance)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Hepatic term from the L1 metabolism score + renal term from eGFR and MW; allometric BW^0.75 scaling; albumin-binding correction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Allometric scaling; well-stirred logic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 (absorption rate)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absorption score × 3.5 − TPSA/200, clamped 0.2–5.0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 (inter-compartmental clearance)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 × (0.3 + logP·0.05)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</w:tr>
    </w:tbl>
    <w:p>
      <w:pPr>
        <w:spacing w:after="120" w:line="276"/>
      </w:pPr>
      <w:r>
        <w:t xml:space="preserve">The ODE system is integrated with 4th-order Runge–Kutta at one-minute steps over 50 hours. Outputs: the plasma concentration–time curve (with a 30% CV confidence band), Cmax, Tmax, AUC (trapezoidal), half-life, Vdss and clearance. The structure is mechanistically correct; the parameters are physchem-estimated, so this is a first-pass projection, not a fitted PBPK.</w:t>
      </w:r>
    </w:p>
    <w:p>
      <w:pPr>
        <w:pStyle w:val="Heading2"/>
      </w:pPr>
      <w:r>
        <w:t xml:space="preserve">4.3 Dose projection &amp; therapeutic index (lib/l2DoseProjection.ts) — Stage 8</w:t>
      </w:r>
    </w:p>
    <w:p>
      <w:pPr>
        <w:spacing w:after="120" w:line="276"/>
      </w:pPr>
      <w:r>
        <w:t xml:space="preserve">Stage 8 computes a first-pass human dose and the therapeutic-index safety margins. It refuses to run without a real L1 binding Ki (it throws rather than substitute a default).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 / logic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Target Cmax,unbound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Hill receptor-occupancy inverted: Cmax,u = Ki · occupancy/(1−occupancy), default 75% occupancy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Hill equation (slope 1)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of distribution Vd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logP-binned proxy (logP&lt;1→0.5 up to logP≥4→8 L/kg)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Obach 2008 small-molecule survey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Oral bioavailability F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Caco-2 Papp binned: ≥10→0.85, ≥1→0.50, else 0.15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Yee 1997 / Artursson bins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Hepatic clearance CL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Well-stirred liver model from microsomal CLint (MPPGL=45, liver=25.7 g/kg, Qh=20 mL/min/kg); optional fu-mic and blood:plasma corrections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Well-stirred model; Obach 1999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Predicted human dose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Dose = Cmax,total · Vd · MW / F, × doses per day × body weight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First-pass PK algebra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Safety margins (hERG, CYP3A4, cytotoxicity, off-target)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margin = assay IC50 / Cmax,unbound. Tiered: ≥30× SAFE, 10–30× CAUTION, &lt;10× RISK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FDA cardiac safety convention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NO-GO if L1 was NO-GO or any margin is RISK; WATCH on CAUTION or carried-forward warnings; else GO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Conservative rule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Stage 8 explicitly self-labels its confidence as 'low' and its Vd, F and CL as heuristic estimates to be replaced by a fitted PBPK model. This is honest scoping, not a defect.</w:t>
            </w:r>
          </w:p>
        </w:tc>
      </w:tr>
    </w:tbl>
    <w:p>
      <w:pPr>
        <w:pStyle w:val="Heading2"/>
      </w:pPr>
      <w:r>
        <w:t xml:space="preserve">4.4 The PD / Emax model (lib/pdModel.ts) — Stage 7 support</w:t>
      </w:r>
    </w:p>
    <w:p>
      <w:pPr>
        <w:spacing w:after="120" w:line="276"/>
      </w:pPr>
      <w:r>
        <w:t xml:space="preserve">Fetches experimental IC50/EC50/Ki values live from the ChEMBL Activity API for the most similar approved drug, takes their geometric mean, and derives Emax-model parameters: E(C) = Emax · Cⁿ / (EC50ⁿ + Cⁿ). When ChEMBL returns nothing it falls back to a clearly labelled seed-based estimate. Provenance: chembl-live (real measured data) or estimated.</w:t>
      </w:r>
    </w:p>
    <w:p>
      <w:pPr>
        <w:pStyle w:val="Heading2"/>
      </w:pPr>
      <w:r>
        <w:t xml:space="preserve">4.5 The DILI biomarker proxy (lib/biomarkerProxy.ts)</w:t>
      </w:r>
    </w:p>
    <w:p>
      <w:pPr>
        <w:spacing w:after="120" w:line="276"/>
      </w:pPr>
      <w:r>
        <w:t xml:space="preserve">A deterministic rule table that maps DILI mechanism flags (mitochondrial, BSEP, ROS, immune) to the serum/urine biomarker pattern a wet-lab DILI panel would be expected to show — e.g. mitochondrial injury → GLDH (Antoine 2013), hepatocellular → miR-122 (Starkey Lewis 2011). Pure function, no ML; it tells the user which biomarkers to measure, it does not predict their values.</w:t>
      </w:r>
    </w:p>
    <w:p>
      <w:r>
        <w:br w:type="page"/>
      </w:r>
    </w:p>
    <w:p>
      <w:pPr>
        <w:pStyle w:val="Heading2"/>
      </w:pPr>
      <w:r>
        <w:t xml:space="preserve">4.6 The Confirmation Engine (lib/confirmationEngine.ts)</w:t>
      </w:r>
    </w:p>
    <w:p>
      <w:pPr>
        <w:spacing w:after="120" w:line="276"/>
      </w:pPr>
      <w:r>
        <w:t xml:space="preserve">This is the core of Layer 2 and is fundamentally different from everything above: it is not a predictor. It is an evidence-governance engine that reconciles in-silico predictions against ex-vivo (wet-lab) measurements the user supplies, and produces an auditable, tamper-evident evidence block. Every function is deterministic given its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/ function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Freeze L1 evidence pointer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Mints an immutable evidence pointer (evt://l1/…#assays) so the L2 record is permanently tied to the exact L1 run it consumed.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Emit Pre-Confirmation Directive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Produces a prioritised wet-lab assay list (hepatocyte clearance, CYP panel, BSEP, hERG patch-clamp) with cost/turnaround estimates, the expected value range for each, and the falsifiers attached to it.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In-silico gate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Passes each prediction class only if its confidence meets the policy threshold (e.g. hERG ≥0.70, ADMET ≥0.60). Below threshold → fail, requiring a signed override.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 ex-vivo evidence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Binds each user-entered wet-lab measurement to the directive that requested it.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Falsifier check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Evaluates every falsifier condition against the measurements. A falsifier is a pre-registered, machine-checkable statement that would prove a prediction wrong — e.g. 'BSEP IC50 &lt; 25 µM', 'measured clearance &gt; 3× predicted'. Comparators: lt/lte/gt/gte/eq/fold. A triggered falsifier marks the prediction domain as falsified.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Joint output synthesis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each domain (CYP/transporter, clearance fractions, off-target, dose-response, hERG-PBPK) compares predicted vs observed and assigns a status: agree (within tolerance), disagree (falsifier fired), partial (one side missing — emits a repair path with cost/turnaround), or mlGap (the model never made a prediction).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Exit gate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L2 record passes only if the in-silico gate, the ex-vivo gate, and every joint output are reconciled (agree, partial-with-repair, mlGap, or an explicitly-accepted disagreement).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Override builder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gate failure can be overridden only by an authorised role citing a specific policy; the override is digest-signed and recorded. Authority is enforced at seal time, not deferred.</w:t>
            </w:r>
          </w:p>
        </w:tc>
      </w:tr>
    </w:tbl>
    <w:p>
      <w:pPr>
        <w:spacing w:after="120" w:line="276"/>
      </w:pPr>
      <w:r>
        <w:t xml:space="preserve">Tolerance bands are policy-snapshotted: e.g. CYP within 0.5 log units, clearance within 2-fold, off-target within 1 log unit, dose-response within 3-fold, hERG-PBPK within 5× Cmax. The whole block is validated against a falsifier registry at write time, so a structurally invalid or internally inconsistent confirmation record cannot be produced.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Why this matters for accuracy: Layer 2 does not make the predictions 'more accurate' by itself. It makes them HONEST and AUDITABLE — it forces every prediction to be checked against real data and flags every contradiction. That is exactly the discipline a regulator or a partner expects.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Glossary</w:t>
      </w:r>
    </w:p>
    <w:p>
      <w:pPr>
        <w:spacing w:after="120" w:line="276"/>
      </w:pPr>
      <w:r>
        <w:t xml:space="preserve">Every term, abbreviation and method name used across Layers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ADMET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Absorption, Distribution, Metabolism, Excretion, Toxicity — the five pharmacokinetic/safety axes profiled in L1.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ADMET-AI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41-endpoint Chemprop graph-neural-network ensemble; the strongest L1 prediction path.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Allometric scaling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Scaling a physiological parameter by body weight; clearance scales as BW^0.75, volumes linearly.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AMES test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Bacterial reverse-mutation assay for mutagenicity. L1 screens for Ames-relevant motifs with SMARTS and an ML probability.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Applicability domain (AD)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structurally close a query molecule is to a model's training set (Tanimoto to nearest neighbour). Low AD = extrapolation = less reliable.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AUC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Area under the concentration–time curve — total drug exposure.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Binding-ML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Gradient-boosted model predicting binding affinity (pKd) from a Morgan fingerprint plus an ESM-2 protein embedding.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Bioactivation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Metabolic conversion of a molecule into a reactive, potentially toxic species. Screened by a SMARTS reactive-metabolite library.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BSEP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Bile Salt Export Pump — a transporter whose inhibition is a key cholestatic DILI mechanism.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Caco-2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human intestinal cell line; Papp across a Caco-2 monolayer is the standard permeability assay.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CardioTox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dedicated Random-Forest hERG-blocker model.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Cascade Gate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L1 component that tags every output with a provenance tier and gates advancement to L2.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Chemprop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directed-message-passing graph neural network architecture for molecular property prediction.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Cheng–Prusoff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relation converting Kd/Ki to IC50; the engine uses Ki≈0.85·Kd and IC50≈1.2·Kd.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Intrinsic clearance — the metabolic capacity of liver enzymes, in µL/min per mg protein or per 10⁶ cells.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Cmax / Tmax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Peak plasma concentration and the time at which it occurs.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Confirmation Engine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L2 governance engine that reconciles predictions against wet-lab data.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CYP (cytochrome P450)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Liver metabolising enzymes; inhibiting them (1A2, 2C9, 2C19, 2D6, 3A4) causes drug–drug interactions.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DILI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Drug-Induced Liver Injury. Predicted by the DILI-ML Random Forest.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Directive (Pre-Confirmation)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L2 document specifying which wet-lab assays to run, their expected ranges, and the falsifiers attached.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ESM-2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protein language model; its embeddings give Binding-ML and Protein-ML their target-side signal.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Falsifier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pre-registered, machine-checkable condition that, if met by a measurement, proves a prediction wrong.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FEP / TIES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Free-Energy Perturbation; TIES is a relative-binding-FEP protocol — the most rigorous (and most expensive) affinity method.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 (fraction unbound)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fraction of drug not bound to plasma protein; only unbound drug is pharmacologically active.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Graph Neural Network — learns directly from the molecular graph.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Go/No-Go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headline L1 verdict: GO, WATCH or NO-GO.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Kv11.1 cardiac potassium channel; blocking it risks fatal arrhythmia. A central safety endpoint.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Heuristic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rule-of-thumb or calibrated-regression estimate from physicochemistry — no measured data.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HIA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 Intestinal Absorption — whether an oral drug is absorbed from the gut.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Hill equation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sigmoidal dose–response / receptor-occupancy relation; the Hill coefficient sets its steepness.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IC50 / EC50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Concentration giving 50% inhibition / 50% of maximal effect.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Joint output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L2 reconciliation result for one prediction domain: agree, disagree, partial or mlGap.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 / Ki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Equilibrium dissociation constant / inhibition constant — binding affinity (lower = tighter).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Lipinski Rule-of-Five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Drug-likeness rule: MW≤500, logP≤5, HBD≤5, HBA≤10.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logP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Octanol–water partition coefficient — lipophilicity. The engine uses the Crippen estimate.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ML overlay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adapter that injects the trained-model predictions into the L1 engines when the AI service is online.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Morgan fingerprint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1024-bit circular substructure fingerprint used by the RF models and for similarity.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MRSD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Maximum Recommended Starting Dose — the first-in-human dose derived via the FDA workflow.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PAINS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Pan-Assay Interference Compounds — substructures that cause false positives in screens.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PAMPA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Parallel Artificial Membrane Permeability Assay — a cell-free permeability assay.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PBPK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Physiologically-Based Pharmacokinetic model — compartmental ODE model of drug disposition.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PD / Emax model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Pharmacodynamics; the Emax model relates concentration to effect.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P-gp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P-glycoprotein — an efflux transporter that pumps drug back out of cells.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pKd / pIC50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Negative log10 of Kd / IC50; higher = more potent.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PPB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Plasma Protein Binding — see fu.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Protein-ML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ESM-2 + logistic-regression target-druggability model.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Provenance tier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honesty label on every output: experimental, enriched, ml, structural, heuristic or unavailable.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QED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Quantitative Estimate of Drug-likeness (Bickerton 2012) — a 0–1 desirability score.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QSPR / QSAR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Quantitative Structure–Property / Activity Relationship — a model mapping structure to a property.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RDKit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open-source cheminformatics toolkit that computes all molecular descriptors.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Ridge regression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Linear regression with L2 regularisation; used for the calibrated continuous endpoints.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RK4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4th-order Runge–Kutta — the numerical method integrating the PBPK ODEs.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Area under the receiver-operating-characteristic curve — a classifier-quality metric (0.5 random, 1.0 perfect).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 score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Synthetic Accessibility score (1 easy – 10 hard).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SMARTS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pattern language for matching molecular substructures.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SMILES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text string that encodes a molecule's structure — the platform's primary input.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Stage (L2)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of the ten steps of the L2 pipeline (0–9).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TDC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Therapeutics Data Commons — the public benchmark datasets the calibrated models are fitted to.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Therapeutic index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ratio of a toxic concentration to the efficacious concentration — the safety window.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UniProt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protein sequence database; a UniProt ID identifies the drug target.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Vd / Vdss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of distribution (at steady state) — how widely a drug spreads through the body.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Vina (AutoDock Vina)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physical molecular-docking engine used in L2 Stage 2.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Well-stirred model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standard liver model converting intrinsic clearance to whole-organ clearance.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Honest Limitations — What the Platform Is and Is Not</w:t>
      </w:r>
    </w:p>
    <w:p>
      <w:pPr>
        <w:pStyle w:val="Heading2"/>
      </w:pPr>
      <w:r>
        <w:t xml:space="preserve">6.1 What it does well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Computes exact physicochemistry and drug-likeness from structure — as reliable as a calculation can be.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Predicts ADMET and PK endpoints (permeability, plasma binding, clearance, half-life, CYP) within the 2–5× band that industry in-silico tools occupy — useful for ranking and triage.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Catches cardiac (hERG), hepatic (DILI), mutagenic (Ames) and reactive-metabolite liabilities early, with ROC-AUC 0.75–0.90.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Separates measured, ML-predicted and rule-based numbers with an enforced provenance label — it never silently fabricates.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 Layer 2, forces every prediction to be checked against real wet-lab data and flags every contradiction through the falsifier framework.</w:t>
      </w:r>
    </w:p>
    <w:p>
      <w:pPr>
        <w:pStyle w:val="Heading2"/>
      </w:pPr>
      <w:r>
        <w:t xml:space="preserve">6.2 Where it is genuinely limited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On-target potency (IC50/EC50/Kd) for a novel molecule against a named protein cannot be predicted from physicochemistry alone — this is a hard scientific limit, not a code defect. The ML binding model, docking and FEP narrow it but do not eliminate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Intrinsic clearance has very low predictability from 2-D structure (CV R²≈0.05); treat clearance and the half-life derived from it as coarse bands.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PBPK and dose projections are first-pass: their volumes, clearance and bioavailability are physchem-estimated, so the predicted human dose is indicative, not a clinical-pharmacology number.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models degrade outside their training chemistry; the applicability-domain score warns of this but cannot fix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Predictions are within a fold or several of measured values — they are comparable to lab data, not identical to it.</w:t>
      </w:r>
    </w:p>
    <w:p>
      <w:pPr>
        <w:pStyle w:val="Heading2"/>
      </w:pPr>
      <w:r>
        <w:t xml:space="preserve">6.3 What it must never be used 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replacement for the IND-enabling toxicology package (28-day rodent, 14-day dog studies).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source of regulatory-grade numbers — measured hERG patch-clamp, measured Caco-2 and measured clearance are still required before submission.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predictor of absolute clinical efficacy or clinical success probability.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Final word: judged as a preclinical triage-and-prioritisation digital twin — which is what it is — Hakase BioTwin is a strong, honestly-engineered platform whose outputs are comparable to real lab values for the ADMET/PK endpoints and whose safety screens are genuinely useful. Judged as a replacement for the wet lab, it — like every in-silico tool in existence — is not that, and the platform is careful never to claim it 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 ·  Technical reference,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Hakase BioTwin — L1 &amp; L2 Algorithm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2026-05-20T23:24:27.591Z</dcterms:created>
  <dcterms:modified xsi:type="dcterms:W3CDTF">2026-05-20T23:24:27.591Z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