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8" w:sz="2"/>
              <w:left w:val="single" w:color="5B3FA8" w:sz="2"/>
              <w:bottom w:val="single" w:color="5B3FA8" w:sz="2"/>
              <w:right w:val="single" w:color="5B3FA8" w:sz="2"/>
            </w:tcBorders>
            <w:shd w:fill="5B3FA8" w:val="clear"/>
            <w:tcMar>
              <w:top w:type="dxa" w:w="260"/>
              <w:left w:type="dxa" w:w="280"/>
              <w:bottom w:type="dxa" w:w="260"/>
              <w:right w:type="dxa" w:w="280"/>
            </w:tcMar>
          </w:tcPr>
          <w:p>
            <w:pPr>
              <w:spacing w:after="70"/>
            </w:pPr>
            <w:r>
              <w:rPr>
                <w:rFonts w:ascii="Arial" w:cs="Arial" w:eastAsia="Arial" w:hAnsi="Arial"/>
                <w:b/>
                <w:bCs/>
                <w:color w:val="FFFFFF"/>
                <w:sz w:val="30"/>
                <w:szCs w:val="30"/>
              </w:rPr>
              <w:t xml:space="preserve">H A K A S E   A I</w:t>
            </w:r>
          </w:p>
          <w:p>
            <w:pPr>
              <w:spacing w:after="0"/>
            </w:pPr>
            <w:r>
              <w:rPr>
                <w:rFonts w:ascii="Arial" w:cs="Arial" w:eastAsia="Arial" w:hAnsi="Arial"/>
                <w:color w:val="E5DEF7"/>
                <w:sz w:val="19"/>
                <w:szCs w:val="19"/>
              </w:rPr>
              <w:t xml:space="preserve">An AI digital workforce for the pharmaceutical value chain</w:t>
            </w:r>
          </w:p>
        </w:tc>
      </w:tr>
    </w:tbl>
    <w:p>
      <w:pPr>
        <w:spacing w:after="0" w:before="560"/>
      </w:pPr>
      <w:r>
        <w:rPr>
          <w:rFonts w:ascii="Arial" w:cs="Arial" w:eastAsia="Arial" w:hAnsi="Arial"/>
          <w:b/>
          <w:bCs/>
          <w:color w:val="5B3FA8"/>
          <w:sz w:val="62"/>
          <w:szCs w:val="62"/>
        </w:rPr>
        <w:t xml:space="preserve">Hakase BioTwin</w:t>
      </w:r>
    </w:p>
    <w:p>
      <w:pPr>
        <w:spacing w:after="0" w:before="90"/>
      </w:pPr>
      <w:r>
        <w:rPr>
          <w:rFonts w:ascii="Arial" w:cs="Arial" w:eastAsia="Arial" w:hAnsi="Arial"/>
          <w:color w:val="232333"/>
          <w:sz w:val="30"/>
          <w:szCs w:val="30"/>
        </w:rPr>
        <w:t xml:space="preserve">The zero-lab preclinical digital twin</w:t>
      </w:r>
    </w:p>
    <w:p>
      <w:pPr>
        <w:pBdr>
          <w:bottom w:val="single" w:color="0E7490" w:sz="14" w:space="6"/>
        </w:pBdr>
        <w:spacing w:after="0" w:before="240"/>
      </w:pPr>
    </w:p>
    <w:p>
      <w:pPr>
        <w:spacing w:after="0" w:before="280"/>
      </w:pPr>
      <w:r>
        <w:rPr>
          <w:rFonts w:ascii="Arial" w:cs="Arial" w:eastAsia="Arial" w:hAnsi="Arial"/>
          <w:b/>
          <w:bCs/>
          <w:color w:val="232333"/>
          <w:sz w:val="32"/>
          <w:szCs w:val="32"/>
        </w:rPr>
        <w:t xml:space="preserve">Platform Overview</w:t>
      </w:r>
    </w:p>
    <w:p>
      <w:pPr>
        <w:spacing w:after="0" w:before="110" w:line="326"/>
      </w:pPr>
      <w:r>
        <w:rPr>
          <w:rFonts w:ascii="Arial" w:cs="Arial" w:eastAsia="Arial" w:hAnsi="Arial"/>
          <w:color w:val="595968"/>
          <w:sz w:val="23"/>
          <w:szCs w:val="23"/>
        </w:rPr>
        <w:t xml:space="preserve">How Hakase BioTwin turns a chemical structure into a defensible First-In-Human readiness package — in hours, not months — and where it fits within the Hakase AI enterprise platform.</w:t>
      </w:r>
    </w:p>
    <w:p>
      <w:pPr>
        <w:spacing w:after="0" w:before="5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D9D2EC" w:sz="1"/>
              <w:left w:val="single" w:color="D9D2EC" w:sz="1"/>
              <w:bottom w:val="single" w:color="D9D2EC" w:sz="1"/>
              <w:right w:val="single" w:color="D9D2EC" w:sz="1"/>
            </w:tcBorders>
            <w:shd w:fill="E9E3F7" w:val="clear"/>
            <w:tcMar>
              <w:top w:type="dxa" w:w="95"/>
              <w:left w:type="dxa" w:w="140"/>
              <w:bottom w:type="dxa" w:w="95"/>
              <w:right w:type="dxa" w:w="140"/>
            </w:tcMar>
          </w:tcPr>
          <w:p>
            <w:pPr>
              <w:spacing w:after="0" w:line="270"/>
            </w:pPr>
            <w:r>
              <w:rPr>
                <w:rFonts w:ascii="Arial" w:cs="Arial" w:eastAsia="Arial" w:hAnsi="Arial"/>
                <w:b/>
                <w:bCs/>
                <w:i w:val="false"/>
                <w:iCs w:val="false"/>
                <w:color w:val="3A2470"/>
                <w:sz w:val="19"/>
                <w:szCs w:val="19"/>
              </w:rPr>
              <w:t xml:space="preserve">Document</w:t>
            </w:r>
          </w:p>
        </w:tc>
        <w:tc>
          <w:tcPr>
            <w:tcW w:type="dxa" w:w="6740"/>
            <w:tcBorders>
              <w:top w:val="single" w:color="D9D2EC" w:sz="1"/>
              <w:left w:val="single" w:color="D9D2EC" w:sz="1"/>
              <w:bottom w:val="single" w:color="D9D2EC" w:sz="1"/>
              <w:right w:val="single" w:color="D9D2EC" w:sz="1"/>
            </w:tcBorders>
            <w:shd w:fill="FFFFFF" w:val="clear"/>
            <w:tcMar>
              <w:top w:type="dxa" w:w="95"/>
              <w:left w:type="dxa" w:w="140"/>
              <w:bottom w:type="dxa" w:w="95"/>
              <w:right w:type="dxa" w:w="140"/>
            </w:tcMar>
          </w:tcPr>
          <w:p>
            <w:pPr>
              <w:spacing w:after="0" w:line="270"/>
            </w:pPr>
            <w:r>
              <w:rPr>
                <w:rFonts w:ascii="Arial" w:cs="Arial" w:eastAsia="Arial" w:hAnsi="Arial"/>
                <w:b w:val="false"/>
                <w:bCs w:val="false"/>
                <w:i w:val="false"/>
                <w:iCs w:val="false"/>
                <w:color w:val="232333"/>
                <w:sz w:val="19"/>
                <w:szCs w:val="19"/>
              </w:rPr>
              <w:t xml:space="preserve">Hakase BioTwin &amp; Hakase AI — Platform Overview</w:t>
            </w:r>
          </w:p>
        </w:tc>
      </w:tr>
      <w:tr>
        <w:tc>
          <w:tcPr>
            <w:tcW w:type="dxa" w:w="2620"/>
            <w:tcBorders>
              <w:top w:val="single" w:color="D9D2EC" w:sz="1"/>
              <w:left w:val="single" w:color="D9D2EC" w:sz="1"/>
              <w:bottom w:val="single" w:color="D9D2EC" w:sz="1"/>
              <w:right w:val="single" w:color="D9D2EC" w:sz="1"/>
            </w:tcBorders>
            <w:shd w:fill="E9E3F7" w:val="clear"/>
            <w:tcMar>
              <w:top w:type="dxa" w:w="95"/>
              <w:left w:type="dxa" w:w="140"/>
              <w:bottom w:type="dxa" w:w="95"/>
              <w:right w:type="dxa" w:w="140"/>
            </w:tcMar>
          </w:tcPr>
          <w:p>
            <w:pPr>
              <w:spacing w:after="0" w:line="270"/>
            </w:pPr>
            <w:r>
              <w:rPr>
                <w:rFonts w:ascii="Arial" w:cs="Arial" w:eastAsia="Arial" w:hAnsi="Arial"/>
                <w:b/>
                <w:bCs/>
                <w:i w:val="false"/>
                <w:iCs w:val="false"/>
                <w:color w:val="3A2470"/>
                <w:sz w:val="19"/>
                <w:szCs w:val="19"/>
              </w:rPr>
              <w:t xml:space="preserve">Version</w:t>
            </w:r>
          </w:p>
        </w:tc>
        <w:tc>
          <w:tcPr>
            <w:tcW w:type="dxa" w:w="6740"/>
            <w:tcBorders>
              <w:top w:val="single" w:color="D9D2EC" w:sz="1"/>
              <w:left w:val="single" w:color="D9D2EC" w:sz="1"/>
              <w:bottom w:val="single" w:color="D9D2EC" w:sz="1"/>
              <w:right w:val="single" w:color="D9D2EC" w:sz="1"/>
            </w:tcBorders>
            <w:shd w:fill="FFFFFF" w:val="clear"/>
            <w:tcMar>
              <w:top w:type="dxa" w:w="95"/>
              <w:left w:type="dxa" w:w="140"/>
              <w:bottom w:type="dxa" w:w="95"/>
              <w:right w:type="dxa" w:w="140"/>
            </w:tcMar>
          </w:tcPr>
          <w:p>
            <w:pPr>
              <w:spacing w:after="0" w:line="270"/>
            </w:pPr>
            <w:r>
              <w:rPr>
                <w:rFonts w:ascii="Arial" w:cs="Arial" w:eastAsia="Arial" w:hAnsi="Arial"/>
                <w:b w:val="false"/>
                <w:bCs w:val="false"/>
                <w:i w:val="false"/>
                <w:iCs w:val="false"/>
                <w:color w:val="232333"/>
                <w:sz w:val="19"/>
                <w:szCs w:val="19"/>
              </w:rPr>
              <w:t xml:space="preserve">2.0  ·  May 2026</w:t>
            </w:r>
          </w:p>
        </w:tc>
      </w:tr>
      <w:tr>
        <w:tc>
          <w:tcPr>
            <w:tcW w:type="dxa" w:w="2620"/>
            <w:tcBorders>
              <w:top w:val="single" w:color="D9D2EC" w:sz="1"/>
              <w:left w:val="single" w:color="D9D2EC" w:sz="1"/>
              <w:bottom w:val="single" w:color="D9D2EC" w:sz="1"/>
              <w:right w:val="single" w:color="D9D2EC" w:sz="1"/>
            </w:tcBorders>
            <w:shd w:fill="E9E3F7" w:val="clear"/>
            <w:tcMar>
              <w:top w:type="dxa" w:w="95"/>
              <w:left w:type="dxa" w:w="140"/>
              <w:bottom w:type="dxa" w:w="95"/>
              <w:right w:type="dxa" w:w="140"/>
            </w:tcMar>
          </w:tcPr>
          <w:p>
            <w:pPr>
              <w:spacing w:after="0" w:line="270"/>
            </w:pPr>
            <w:r>
              <w:rPr>
                <w:rFonts w:ascii="Arial" w:cs="Arial" w:eastAsia="Arial" w:hAnsi="Arial"/>
                <w:b/>
                <w:bCs/>
                <w:i w:val="false"/>
                <w:iCs w:val="false"/>
                <w:color w:val="3A2470"/>
                <w:sz w:val="19"/>
                <w:szCs w:val="19"/>
              </w:rPr>
              <w:t xml:space="preserve">Audience</w:t>
            </w:r>
          </w:p>
        </w:tc>
        <w:tc>
          <w:tcPr>
            <w:tcW w:type="dxa" w:w="6740"/>
            <w:tcBorders>
              <w:top w:val="single" w:color="D9D2EC" w:sz="1"/>
              <w:left w:val="single" w:color="D9D2EC" w:sz="1"/>
              <w:bottom w:val="single" w:color="D9D2EC" w:sz="1"/>
              <w:right w:val="single" w:color="D9D2EC" w:sz="1"/>
            </w:tcBorders>
            <w:shd w:fill="FFFFFF" w:val="clear"/>
            <w:tcMar>
              <w:top w:type="dxa" w:w="95"/>
              <w:left w:type="dxa" w:w="140"/>
              <w:bottom w:type="dxa" w:w="95"/>
              <w:right w:type="dxa" w:w="140"/>
            </w:tcMar>
          </w:tcPr>
          <w:p>
            <w:pPr>
              <w:spacing w:after="0" w:line="270"/>
            </w:pPr>
            <w:r>
              <w:rPr>
                <w:rFonts w:ascii="Arial" w:cs="Arial" w:eastAsia="Arial" w:hAnsi="Arial"/>
                <w:b w:val="false"/>
                <w:bCs w:val="false"/>
                <w:i w:val="false"/>
                <w:iCs w:val="false"/>
                <w:color w:val="232333"/>
                <w:sz w:val="19"/>
                <w:szCs w:val="19"/>
              </w:rPr>
              <w:t xml:space="preserve">Clients, partners and prospective investors</w:t>
            </w:r>
          </w:p>
        </w:tc>
      </w:tr>
      <w:tr>
        <w:tc>
          <w:tcPr>
            <w:tcW w:type="dxa" w:w="2620"/>
            <w:tcBorders>
              <w:top w:val="single" w:color="D9D2EC" w:sz="1"/>
              <w:left w:val="single" w:color="D9D2EC" w:sz="1"/>
              <w:bottom w:val="single" w:color="D9D2EC" w:sz="1"/>
              <w:right w:val="single" w:color="D9D2EC" w:sz="1"/>
            </w:tcBorders>
            <w:shd w:fill="E9E3F7" w:val="clear"/>
            <w:tcMar>
              <w:top w:type="dxa" w:w="95"/>
              <w:left w:type="dxa" w:w="140"/>
              <w:bottom w:type="dxa" w:w="95"/>
              <w:right w:type="dxa" w:w="140"/>
            </w:tcMar>
          </w:tcPr>
          <w:p>
            <w:pPr>
              <w:spacing w:after="0" w:line="270"/>
            </w:pPr>
            <w:r>
              <w:rPr>
                <w:rFonts w:ascii="Arial" w:cs="Arial" w:eastAsia="Arial" w:hAnsi="Arial"/>
                <w:b/>
                <w:bCs/>
                <w:i w:val="false"/>
                <w:iCs w:val="false"/>
                <w:color w:val="3A2470"/>
                <w:sz w:val="19"/>
                <w:szCs w:val="19"/>
              </w:rPr>
              <w:t xml:space="preserve">In this document</w:t>
            </w:r>
          </w:p>
        </w:tc>
        <w:tc>
          <w:tcPr>
            <w:tcW w:type="dxa" w:w="6740"/>
            <w:tcBorders>
              <w:top w:val="single" w:color="D9D2EC" w:sz="1"/>
              <w:left w:val="single" w:color="D9D2EC" w:sz="1"/>
              <w:bottom w:val="single" w:color="D9D2EC" w:sz="1"/>
              <w:right w:val="single" w:color="D9D2EC" w:sz="1"/>
            </w:tcBorders>
            <w:shd w:fill="FFFFFF" w:val="clear"/>
            <w:tcMar>
              <w:top w:type="dxa" w:w="95"/>
              <w:left w:type="dxa" w:w="140"/>
              <w:bottom w:type="dxa" w:w="95"/>
              <w:right w:type="dxa" w:w="140"/>
            </w:tcMar>
          </w:tcPr>
          <w:p>
            <w:pPr>
              <w:spacing w:after="0" w:line="270"/>
            </w:pPr>
            <w:r>
              <w:rPr>
                <w:rFonts w:ascii="Arial" w:cs="Arial" w:eastAsia="Arial" w:hAnsi="Arial"/>
                <w:b w:val="false"/>
                <w:bCs w:val="false"/>
                <w:i w:val="false"/>
                <w:iCs w:val="false"/>
                <w:color w:val="232333"/>
                <w:sz w:val="19"/>
                <w:szCs w:val="19"/>
              </w:rPr>
              <w:t xml:space="preserve">The Hakase AI enterprise platform (overview) and the Hakase BioTwin preclinical platform (in depth)</w:t>
            </w:r>
          </w:p>
        </w:tc>
      </w:tr>
    </w:tbl>
    <w:p>
      <w:pPr>
        <w:sectPr>
          <w:pgSz w:w="12240" w:h="15840" w:orient="portrait"/>
          <w:pgMar w:top="1080" w:right="1440" w:bottom="1080" w:left="1440" w:header="708" w:footer="708" w:gutter="0"/>
          <w:pgNumType/>
          <w:docGrid w:linePitch="360"/>
        </w:sectPr>
      </w:pPr>
    </w:p>
    <w:p>
      <w:pPr>
        <w:pStyle w:val="Heading1"/>
      </w:pPr>
      <w:r>
        <w:t xml:space="preserve">Contents</w:t>
      </w:r>
    </w:p>
    <w:p>
      <w:pPr>
        <w:spacing w:after="280" w:line="290"/>
      </w:pPr>
      <w:r>
        <w:rPr>
          <w:rFonts w:ascii="Arial" w:cs="Arial" w:eastAsia="Arial" w:hAnsi="Arial"/>
          <w:b w:val="false"/>
          <w:bCs w:val="false"/>
          <w:i/>
          <w:iCs/>
          <w:color w:val="595968"/>
          <w:sz w:val="19"/>
          <w:szCs w:val="19"/>
        </w:rPr>
        <w:t xml:space="preserve">A guided tour of the Hakase BioTwin platform — from the problem it solves and how it works, to the science, the validation evidence, and the roadmap ahead.</w:t>
      </w:r>
    </w:p>
    <w:p>
      <w:pPr>
        <w:tabs>
          <w:tab w:val="right" w:pos="9360" w:leader="dot"/>
        </w:tabs>
        <w:spacing w:after="170" w:line="300"/>
      </w:pPr>
      <w:r>
        <w:rPr>
          <w:rFonts w:ascii="Arial" w:cs="Arial" w:eastAsia="Arial" w:hAnsi="Arial"/>
          <w:b/>
          <w:bCs/>
          <w:color w:val="5B3FA8"/>
          <w:sz w:val="22"/>
          <w:szCs w:val="22"/>
        </w:rPr>
        <w:t xml:space="preserve">1    </w:t>
      </w:r>
      <w:r>
        <w:rPr>
          <w:rFonts w:ascii="Arial" w:cs="Arial" w:eastAsia="Arial" w:hAnsi="Arial"/>
          <w:b/>
          <w:bCs/>
          <w:color w:val="232333"/>
          <w:sz w:val="22"/>
          <w:szCs w:val="22"/>
        </w:rPr>
        <w:t xml:space="preserve">Executive Summary</w:t>
      </w:r>
      <w:r>
        <w:rPr>
          <w:rFonts w:ascii="Arial" w:cs="Arial" w:eastAsia="Arial" w:hAnsi="Arial"/>
          <w:b/>
          <w:bCs/>
          <w:color w:val="5B3FA8"/>
          <w:sz w:val="22"/>
          <w:szCs w:val="22"/>
        </w:rPr>
        <w:t xml:space="preserve">	2</w:t>
      </w:r>
    </w:p>
    <w:p>
      <w:pPr>
        <w:tabs>
          <w:tab w:val="right" w:pos="9360" w:leader="dot"/>
        </w:tabs>
        <w:spacing w:after="170" w:line="300"/>
      </w:pPr>
      <w:r>
        <w:rPr>
          <w:rFonts w:ascii="Arial" w:cs="Arial" w:eastAsia="Arial" w:hAnsi="Arial"/>
          <w:b/>
          <w:bCs/>
          <w:color w:val="5B3FA8"/>
          <w:sz w:val="22"/>
          <w:szCs w:val="22"/>
        </w:rPr>
        <w:t xml:space="preserve">2    </w:t>
      </w:r>
      <w:r>
        <w:rPr>
          <w:rFonts w:ascii="Arial" w:cs="Arial" w:eastAsia="Arial" w:hAnsi="Arial"/>
          <w:b/>
          <w:bCs/>
          <w:color w:val="232333"/>
          <w:sz w:val="22"/>
          <w:szCs w:val="22"/>
        </w:rPr>
        <w:t xml:space="preserve">Hakase AI — The Enterprise Platform</w:t>
      </w:r>
      <w:r>
        <w:rPr>
          <w:rFonts w:ascii="Arial" w:cs="Arial" w:eastAsia="Arial" w:hAnsi="Arial"/>
          <w:b/>
          <w:bCs/>
          <w:color w:val="5B3FA8"/>
          <w:sz w:val="22"/>
          <w:szCs w:val="22"/>
        </w:rPr>
        <w:t xml:space="preserve">	4</w:t>
      </w:r>
    </w:p>
    <w:p>
      <w:pPr>
        <w:tabs>
          <w:tab w:val="right" w:pos="9360" w:leader="dot"/>
        </w:tabs>
        <w:spacing w:after="170" w:line="300"/>
      </w:pPr>
      <w:r>
        <w:rPr>
          <w:rFonts w:ascii="Arial" w:cs="Arial" w:eastAsia="Arial" w:hAnsi="Arial"/>
          <w:b/>
          <w:bCs/>
          <w:color w:val="5B3FA8"/>
          <w:sz w:val="22"/>
          <w:szCs w:val="22"/>
        </w:rPr>
        <w:t xml:space="preserve">3    </w:t>
      </w:r>
      <w:r>
        <w:rPr>
          <w:rFonts w:ascii="Arial" w:cs="Arial" w:eastAsia="Arial" w:hAnsi="Arial"/>
          <w:b/>
          <w:bCs/>
          <w:color w:val="232333"/>
          <w:sz w:val="22"/>
          <w:szCs w:val="22"/>
        </w:rPr>
        <w:t xml:space="preserve">Hakase BioTwin — Platform Overview</w:t>
      </w:r>
      <w:r>
        <w:rPr>
          <w:rFonts w:ascii="Arial" w:cs="Arial" w:eastAsia="Arial" w:hAnsi="Arial"/>
          <w:b/>
          <w:bCs/>
          <w:color w:val="5B3FA8"/>
          <w:sz w:val="22"/>
          <w:szCs w:val="22"/>
        </w:rPr>
        <w:t xml:space="preserve">	6</w:t>
      </w:r>
    </w:p>
    <w:p>
      <w:pPr>
        <w:tabs>
          <w:tab w:val="right" w:pos="9360" w:leader="dot"/>
        </w:tabs>
        <w:spacing w:after="170" w:line="300"/>
      </w:pPr>
      <w:r>
        <w:rPr>
          <w:rFonts w:ascii="Arial" w:cs="Arial" w:eastAsia="Arial" w:hAnsi="Arial"/>
          <w:b/>
          <w:bCs/>
          <w:color w:val="5B3FA8"/>
          <w:sz w:val="22"/>
          <w:szCs w:val="22"/>
        </w:rPr>
        <w:t xml:space="preserve">4    </w:t>
      </w:r>
      <w:r>
        <w:rPr>
          <w:rFonts w:ascii="Arial" w:cs="Arial" w:eastAsia="Arial" w:hAnsi="Arial"/>
          <w:b/>
          <w:bCs/>
          <w:color w:val="232333"/>
          <w:sz w:val="22"/>
          <w:szCs w:val="22"/>
        </w:rPr>
        <w:t xml:space="preserve">Inside the Platform — The Four-Layer Cascade</w:t>
      </w:r>
      <w:r>
        <w:rPr>
          <w:rFonts w:ascii="Arial" w:cs="Arial" w:eastAsia="Arial" w:hAnsi="Arial"/>
          <w:b/>
          <w:bCs/>
          <w:color w:val="5B3FA8"/>
          <w:sz w:val="22"/>
          <w:szCs w:val="22"/>
        </w:rPr>
        <w:t xml:space="preserve">	8</w:t>
      </w:r>
    </w:p>
    <w:p>
      <w:pPr>
        <w:tabs>
          <w:tab w:val="right" w:pos="9360" w:leader="dot"/>
        </w:tabs>
        <w:spacing w:after="170" w:line="300"/>
      </w:pPr>
      <w:r>
        <w:rPr>
          <w:rFonts w:ascii="Arial" w:cs="Arial" w:eastAsia="Arial" w:hAnsi="Arial"/>
          <w:b/>
          <w:bCs/>
          <w:color w:val="5B3FA8"/>
          <w:sz w:val="22"/>
          <w:szCs w:val="22"/>
        </w:rPr>
        <w:t xml:space="preserve">5    </w:t>
      </w:r>
      <w:r>
        <w:rPr>
          <w:rFonts w:ascii="Arial" w:cs="Arial" w:eastAsia="Arial" w:hAnsi="Arial"/>
          <w:b/>
          <w:bCs/>
          <w:color w:val="232333"/>
          <w:sz w:val="22"/>
          <w:szCs w:val="22"/>
        </w:rPr>
        <w:t xml:space="preserve">The Science &amp; Technology</w:t>
      </w:r>
      <w:r>
        <w:rPr>
          <w:rFonts w:ascii="Arial" w:cs="Arial" w:eastAsia="Arial" w:hAnsi="Arial"/>
          <w:b/>
          <w:bCs/>
          <w:color w:val="5B3FA8"/>
          <w:sz w:val="22"/>
          <w:szCs w:val="22"/>
        </w:rPr>
        <w:t xml:space="preserve">	12</w:t>
      </w:r>
    </w:p>
    <w:p>
      <w:pPr>
        <w:tabs>
          <w:tab w:val="right" w:pos="9360" w:leader="dot"/>
        </w:tabs>
        <w:spacing w:after="170" w:line="300"/>
      </w:pPr>
      <w:r>
        <w:rPr>
          <w:rFonts w:ascii="Arial" w:cs="Arial" w:eastAsia="Arial" w:hAnsi="Arial"/>
          <w:b/>
          <w:bCs/>
          <w:color w:val="5B3FA8"/>
          <w:sz w:val="22"/>
          <w:szCs w:val="22"/>
        </w:rPr>
        <w:t xml:space="preserve">6    </w:t>
      </w:r>
      <w:r>
        <w:rPr>
          <w:rFonts w:ascii="Arial" w:cs="Arial" w:eastAsia="Arial" w:hAnsi="Arial"/>
          <w:b/>
          <w:bCs/>
          <w:color w:val="232333"/>
          <w:sz w:val="22"/>
          <w:szCs w:val="22"/>
        </w:rPr>
        <w:t xml:space="preserve">Performance &amp; Validation</w:t>
      </w:r>
      <w:r>
        <w:rPr>
          <w:rFonts w:ascii="Arial" w:cs="Arial" w:eastAsia="Arial" w:hAnsi="Arial"/>
          <w:b/>
          <w:bCs/>
          <w:color w:val="5B3FA8"/>
          <w:sz w:val="22"/>
          <w:szCs w:val="22"/>
        </w:rPr>
        <w:t xml:space="preserve">	14</w:t>
      </w:r>
    </w:p>
    <w:p>
      <w:pPr>
        <w:tabs>
          <w:tab w:val="right" w:pos="9360" w:leader="dot"/>
        </w:tabs>
        <w:spacing w:after="170" w:line="300"/>
      </w:pPr>
      <w:r>
        <w:rPr>
          <w:rFonts w:ascii="Arial" w:cs="Arial" w:eastAsia="Arial" w:hAnsi="Arial"/>
          <w:b/>
          <w:bCs/>
          <w:color w:val="5B3FA8"/>
          <w:sz w:val="22"/>
          <w:szCs w:val="22"/>
        </w:rPr>
        <w:t xml:space="preserve">7    </w:t>
      </w:r>
      <w:r>
        <w:rPr>
          <w:rFonts w:ascii="Arial" w:cs="Arial" w:eastAsia="Arial" w:hAnsi="Arial"/>
          <w:b/>
          <w:bCs/>
          <w:color w:val="232333"/>
          <w:sz w:val="22"/>
          <w:szCs w:val="22"/>
        </w:rPr>
        <w:t xml:space="preserve">Governance, Safety &amp; Regulatory Alignment</w:t>
      </w:r>
      <w:r>
        <w:rPr>
          <w:rFonts w:ascii="Arial" w:cs="Arial" w:eastAsia="Arial" w:hAnsi="Arial"/>
          <w:b/>
          <w:bCs/>
          <w:color w:val="5B3FA8"/>
          <w:sz w:val="22"/>
          <w:szCs w:val="22"/>
        </w:rPr>
        <w:t xml:space="preserve">	16</w:t>
      </w:r>
    </w:p>
    <w:p>
      <w:pPr>
        <w:tabs>
          <w:tab w:val="right" w:pos="9360" w:leader="dot"/>
        </w:tabs>
        <w:spacing w:after="170" w:line="300"/>
      </w:pPr>
      <w:r>
        <w:rPr>
          <w:rFonts w:ascii="Arial" w:cs="Arial" w:eastAsia="Arial" w:hAnsi="Arial"/>
          <w:b/>
          <w:bCs/>
          <w:color w:val="5B3FA8"/>
          <w:sz w:val="22"/>
          <w:szCs w:val="22"/>
        </w:rPr>
        <w:t xml:space="preserve">8    </w:t>
      </w:r>
      <w:r>
        <w:rPr>
          <w:rFonts w:ascii="Arial" w:cs="Arial" w:eastAsia="Arial" w:hAnsi="Arial"/>
          <w:b/>
          <w:bCs/>
          <w:color w:val="232333"/>
          <w:sz w:val="22"/>
          <w:szCs w:val="22"/>
        </w:rPr>
        <w:t xml:space="preserve">Why Hakase BioTwin</w:t>
      </w:r>
      <w:r>
        <w:rPr>
          <w:rFonts w:ascii="Arial" w:cs="Arial" w:eastAsia="Arial" w:hAnsi="Arial"/>
          <w:b/>
          <w:bCs/>
          <w:color w:val="5B3FA8"/>
          <w:sz w:val="22"/>
          <w:szCs w:val="22"/>
        </w:rPr>
        <w:t xml:space="preserve">	17</w:t>
      </w:r>
    </w:p>
    <w:p>
      <w:pPr>
        <w:tabs>
          <w:tab w:val="right" w:pos="9360" w:leader="dot"/>
        </w:tabs>
        <w:spacing w:after="170" w:line="300"/>
      </w:pPr>
      <w:r>
        <w:rPr>
          <w:rFonts w:ascii="Arial" w:cs="Arial" w:eastAsia="Arial" w:hAnsi="Arial"/>
          <w:b/>
          <w:bCs/>
          <w:color w:val="5B3FA8"/>
          <w:sz w:val="22"/>
          <w:szCs w:val="22"/>
        </w:rPr>
        <w:t xml:space="preserve">9    </w:t>
      </w:r>
      <w:r>
        <w:rPr>
          <w:rFonts w:ascii="Arial" w:cs="Arial" w:eastAsia="Arial" w:hAnsi="Arial"/>
          <w:b/>
          <w:bCs/>
          <w:color w:val="232333"/>
          <w:sz w:val="22"/>
          <w:szCs w:val="22"/>
        </w:rPr>
        <w:t xml:space="preserve">Roadmap &amp; Vision</w:t>
      </w:r>
      <w:r>
        <w:rPr>
          <w:rFonts w:ascii="Arial" w:cs="Arial" w:eastAsia="Arial" w:hAnsi="Arial"/>
          <w:b/>
          <w:bCs/>
          <w:color w:val="5B3FA8"/>
          <w:sz w:val="22"/>
          <w:szCs w:val="22"/>
        </w:rPr>
        <w:t xml:space="preserve">	18</w:t>
      </w:r>
    </w:p>
    <w:p>
      <w:pPr>
        <w:tabs>
          <w:tab w:val="right" w:pos="9360" w:leader="dot"/>
        </w:tabs>
        <w:spacing w:after="170" w:line="300"/>
      </w:pPr>
      <w:r>
        <w:rPr>
          <w:rFonts w:ascii="Arial" w:cs="Arial" w:eastAsia="Arial" w:hAnsi="Arial"/>
          <w:b/>
          <w:bCs/>
          <w:color w:val="5B3FA8"/>
          <w:sz w:val="22"/>
          <w:szCs w:val="22"/>
        </w:rPr>
        <w:t xml:space="preserve">10    </w:t>
      </w:r>
      <w:r>
        <w:rPr>
          <w:rFonts w:ascii="Arial" w:cs="Arial" w:eastAsia="Arial" w:hAnsi="Arial"/>
          <w:b/>
          <w:bCs/>
          <w:color w:val="232333"/>
          <w:sz w:val="22"/>
          <w:szCs w:val="22"/>
        </w:rPr>
        <w:t xml:space="preserve">The Opportunity</w:t>
      </w:r>
      <w:r>
        <w:rPr>
          <w:rFonts w:ascii="Arial" w:cs="Arial" w:eastAsia="Arial" w:hAnsi="Arial"/>
          <w:b/>
          <w:bCs/>
          <w:color w:val="5B3FA8"/>
          <w:sz w:val="22"/>
          <w:szCs w:val="22"/>
        </w:rPr>
        <w:t xml:space="preserve">	19</w:t>
      </w:r>
    </w:p>
    <w:p>
      <w:pPr>
        <w:tabs>
          <w:tab w:val="right" w:pos="9360" w:leader="dot"/>
        </w:tabs>
        <w:spacing w:after="170" w:line="300"/>
      </w:pPr>
      <w:r>
        <w:rPr>
          <w:rFonts w:ascii="Arial" w:cs="Arial" w:eastAsia="Arial" w:hAnsi="Arial"/>
          <w:b/>
          <w:bCs/>
          <w:color w:val="5B3FA8"/>
          <w:sz w:val="22"/>
          <w:szCs w:val="22"/>
        </w:rPr>
        <w:t xml:space="preserve"/>
      </w:r>
      <w:r>
        <w:rPr>
          <w:rFonts w:ascii="Arial" w:cs="Arial" w:eastAsia="Arial" w:hAnsi="Arial"/>
          <w:b/>
          <w:bCs/>
          <w:color w:val="232333"/>
          <w:sz w:val="22"/>
          <w:szCs w:val="22"/>
        </w:rPr>
        <w:t xml:space="preserve">Appendix A — Glossary</w:t>
      </w:r>
      <w:r>
        <w:rPr>
          <w:rFonts w:ascii="Arial" w:cs="Arial" w:eastAsia="Arial" w:hAnsi="Arial"/>
          <w:b/>
          <w:bCs/>
          <w:color w:val="5B3FA8"/>
          <w:sz w:val="22"/>
          <w:szCs w:val="22"/>
        </w:rPr>
        <w:t xml:space="preserve">	20</w:t>
      </w:r>
    </w:p>
    <w:p>
      <w:pPr>
        <w:pStyle w:val="Heading1"/>
        <w:keepNext/>
        <w:pageBreakBefore/>
      </w:pPr>
      <w:r>
        <w:t xml:space="preserve">1.  Executive Summary</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Hakase BioTwin</w:t>
      </w:r>
      <w:r>
        <w:rPr>
          <w:rFonts w:ascii="Arial" w:cs="Arial" w:eastAsia="Arial" w:hAnsi="Arial"/>
          <w:b w:val="false"/>
          <w:bCs w:val="false"/>
          <w:i w:val="false"/>
          <w:iCs w:val="false"/>
          <w:color w:val="232333"/>
          <w:sz w:val="21"/>
          <w:szCs w:val="21"/>
        </w:rPr>
        <w:t xml:space="preserve"> is a zero-lab preclinical digital twin. It takes a drug candidate — described by nothing more than its chemical structure — and carries it through every scientific gate that stands between a molecule and a defensible </w:t>
      </w:r>
      <w:r>
        <w:rPr>
          <w:rFonts w:ascii="Arial" w:cs="Arial" w:eastAsia="Arial" w:hAnsi="Arial"/>
          <w:b/>
          <w:bCs/>
          <w:i w:val="false"/>
          <w:iCs w:val="false"/>
          <w:color w:val="232333"/>
          <w:sz w:val="21"/>
          <w:szCs w:val="21"/>
        </w:rPr>
        <w:t xml:space="preserve">First-In-Human (FIH) readiness package</w:t>
      </w:r>
      <w:r>
        <w:rPr>
          <w:rFonts w:ascii="Arial" w:cs="Arial" w:eastAsia="Arial" w:hAnsi="Arial"/>
          <w:b w:val="false"/>
          <w:bCs w:val="false"/>
          <w:i w:val="false"/>
          <w:iCs w:val="false"/>
          <w:color w:val="232333"/>
          <w:sz w:val="21"/>
          <w:szCs w:val="21"/>
        </w:rPr>
        <w:t xml:space="preserve">. It does this entirely in software, in hours rather than months, giving drug-discovery teams a fast, rigorous and auditable basis for the most consequential decision in early development: which molecules to advance, and which to stop.</w:t>
      </w:r>
    </w:p>
    <w:p>
      <w:pPr>
        <w:spacing w:after="150" w:line="292"/>
      </w:pPr>
      <w:r>
        <w:rPr>
          <w:rFonts w:ascii="Arial" w:cs="Arial" w:eastAsia="Arial" w:hAnsi="Arial"/>
          <w:b w:val="false"/>
          <w:bCs w:val="false"/>
          <w:i w:val="false"/>
          <w:iCs w:val="false"/>
          <w:color w:val="232333"/>
          <w:sz w:val="21"/>
          <w:szCs w:val="21"/>
        </w:rPr>
        <w:t xml:space="preserve">Hakase BioTwin is the Pre-Clinical module of </w:t>
      </w:r>
      <w:r>
        <w:rPr>
          <w:rFonts w:ascii="Arial" w:cs="Arial" w:eastAsia="Arial" w:hAnsi="Arial"/>
          <w:b/>
          <w:bCs/>
          <w:i w:val="false"/>
          <w:iCs w:val="false"/>
          <w:color w:val="232333"/>
          <w:sz w:val="21"/>
          <w:szCs w:val="21"/>
        </w:rPr>
        <w:t xml:space="preserve">Hakase AI</w:t>
      </w:r>
      <w:r>
        <w:rPr>
          <w:rFonts w:ascii="Arial" w:cs="Arial" w:eastAsia="Arial" w:hAnsi="Arial"/>
          <w:b w:val="false"/>
          <w:bCs w:val="false"/>
          <w:i w:val="false"/>
          <w:iCs w:val="false"/>
          <w:color w:val="232333"/>
          <w:sz w:val="21"/>
          <w:szCs w:val="21"/>
        </w:rPr>
        <w:t xml:space="preserve">, an applied-AI company building an AI digital workforce that spans the entire pharmaceutical value chain. Section 2 sets that wider context; the rest of this document is a detailed look at Hakase BioTwin — the company’s most mature module, complete and in use today.</w:t>
      </w:r>
    </w:p>
    <w:p>
      <w:pPr>
        <w:pStyle w:val="Heading2"/>
        <w:keepNext/>
      </w:pPr>
      <w:r>
        <w:t xml:space="preserve">The opportunity</w:t>
      </w:r>
    </w:p>
    <w:p>
      <w:pPr>
        <w:spacing w:after="150" w:line="292"/>
      </w:pPr>
      <w:r>
        <w:rPr>
          <w:rFonts w:ascii="Arial" w:cs="Arial" w:eastAsia="Arial" w:hAnsi="Arial"/>
          <w:b w:val="false"/>
          <w:bCs w:val="false"/>
          <w:i w:val="false"/>
          <w:iCs w:val="false"/>
          <w:color w:val="232333"/>
          <w:sz w:val="21"/>
          <w:szCs w:val="21"/>
        </w:rPr>
        <w:t xml:space="preserve">Bringing a single drug to market takes an estimated 10–15 years and on the order of $2.6 billion, against a roughly 90% failure rate in clinical development. A large share of that cost is spent discovering — late, and expensively — that a molecule was never viable. Preclinical development is the stage where candidates can still be assessed quickly and cheaply, before each successive layer of testing multiplies the cost. The teams that win are the ones that identify weak candidates early and concentrate their budget on the molecules most likely to succeed. </w:t>
      </w:r>
      <w:r>
        <w:rPr>
          <w:rFonts w:ascii="Arial" w:cs="Arial" w:eastAsia="Arial" w:hAnsi="Arial"/>
          <w:b/>
          <w:bCs/>
          <w:i w:val="false"/>
          <w:iCs w:val="false"/>
          <w:color w:val="232333"/>
          <w:sz w:val="21"/>
          <w:szCs w:val="21"/>
        </w:rPr>
        <w:t xml:space="preserve">Hakase BioTwin is built to make exactly that decision faster, cheaper and more defensible.</w:t>
      </w:r>
      <w:r>
        <w:rPr>
          <w:rFonts w:ascii="Arial" w:cs="Arial" w:eastAsia="Arial" w:hAnsi="Arial"/>
          <w:b w:val="false"/>
          <w:bCs w:val="false"/>
          <w:i w:val="false"/>
          <w:iCs w:val="false"/>
          <w:color w:val="232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1EDFA" w:sz="2"/>
              <w:left w:val="single" w:color="FFFFFF" w:sz="18"/>
              <w:bottom w:val="single" w:color="F1EDFA" w:sz="2"/>
              <w:right w:val="single" w:color="FFFFFF" w:sz="18"/>
            </w:tcBorders>
            <w:shd w:fill="F1EDFA" w:val="clear"/>
            <w:tcMar>
              <w:top w:type="dxa" w:w="150"/>
              <w:left w:type="dxa" w:w="120"/>
              <w:bottom w:type="dxa" w:w="150"/>
              <w:right w:type="dxa" w:w="120"/>
            </w:tcMar>
            <w:vAlign w:val="center"/>
          </w:tcPr>
          <w:p>
            <w:pPr>
              <w:spacing w:after="50" w:line="252"/>
              <w:jc w:val="center"/>
            </w:pPr>
            <w:r>
              <w:rPr>
                <w:rFonts w:ascii="Arial" w:cs="Arial" w:eastAsia="Arial" w:hAnsi="Arial"/>
                <w:b/>
                <w:bCs/>
                <w:i w:val="false"/>
                <w:iCs w:val="false"/>
                <w:color w:val="5B3FA8"/>
                <w:sz w:val="34"/>
                <w:szCs w:val="34"/>
              </w:rPr>
              <w:t xml:space="preserve">10–15 yrs</w:t>
            </w:r>
          </w:p>
          <w:p>
            <w:pPr>
              <w:spacing w:after="0" w:line="244"/>
              <w:jc w:val="center"/>
            </w:pPr>
            <w:r>
              <w:rPr>
                <w:rFonts w:ascii="Arial" w:cs="Arial" w:eastAsia="Arial" w:hAnsi="Arial"/>
                <w:b w:val="false"/>
                <w:bCs w:val="false"/>
                <w:i w:val="false"/>
                <w:iCs w:val="false"/>
                <w:color w:val="232333"/>
                <w:sz w:val="16"/>
                <w:szCs w:val="16"/>
              </w:rPr>
              <w:t xml:space="preserve">to bring one drug to market</w:t>
            </w:r>
          </w:p>
        </w:tc>
        <w:tc>
          <w:tcPr>
            <w:tcW w:type="dxa" w:w="3120"/>
            <w:tcBorders>
              <w:top w:val="single" w:color="F1EDFA" w:sz="2"/>
              <w:left w:val="single" w:color="FFFFFF" w:sz="18"/>
              <w:bottom w:val="single" w:color="F1EDFA" w:sz="2"/>
              <w:right w:val="single" w:color="FFFFFF" w:sz="18"/>
            </w:tcBorders>
            <w:shd w:fill="F1EDFA" w:val="clear"/>
            <w:tcMar>
              <w:top w:type="dxa" w:w="150"/>
              <w:left w:type="dxa" w:w="120"/>
              <w:bottom w:type="dxa" w:w="150"/>
              <w:right w:type="dxa" w:w="120"/>
            </w:tcMar>
            <w:vAlign w:val="center"/>
          </w:tcPr>
          <w:p>
            <w:pPr>
              <w:spacing w:after="50" w:line="252"/>
              <w:jc w:val="center"/>
            </w:pPr>
            <w:r>
              <w:rPr>
                <w:rFonts w:ascii="Arial" w:cs="Arial" w:eastAsia="Arial" w:hAnsi="Arial"/>
                <w:b/>
                <w:bCs/>
                <w:i w:val="false"/>
                <w:iCs w:val="false"/>
                <w:color w:val="5B3FA8"/>
                <w:sz w:val="34"/>
                <w:szCs w:val="34"/>
              </w:rPr>
              <w:t xml:space="preserve">~90%</w:t>
            </w:r>
          </w:p>
          <w:p>
            <w:pPr>
              <w:spacing w:after="0" w:line="244"/>
              <w:jc w:val="center"/>
            </w:pPr>
            <w:r>
              <w:rPr>
                <w:rFonts w:ascii="Arial" w:cs="Arial" w:eastAsia="Arial" w:hAnsi="Arial"/>
                <w:b w:val="false"/>
                <w:bCs w:val="false"/>
                <w:i w:val="false"/>
                <w:iCs w:val="false"/>
                <w:color w:val="232333"/>
                <w:sz w:val="16"/>
                <w:szCs w:val="16"/>
              </w:rPr>
              <w:t xml:space="preserve">clinical failure rate</w:t>
            </w:r>
          </w:p>
        </w:tc>
        <w:tc>
          <w:tcPr>
            <w:tcW w:type="dxa" w:w="3120"/>
            <w:tcBorders>
              <w:top w:val="single" w:color="F1EDFA" w:sz="2"/>
              <w:left w:val="single" w:color="FFFFFF" w:sz="18"/>
              <w:bottom w:val="single" w:color="F1EDFA" w:sz="2"/>
              <w:right w:val="single" w:color="FFFFFF" w:sz="18"/>
            </w:tcBorders>
            <w:shd w:fill="F1EDFA" w:val="clear"/>
            <w:tcMar>
              <w:top w:type="dxa" w:w="150"/>
              <w:left w:type="dxa" w:w="120"/>
              <w:bottom w:type="dxa" w:w="150"/>
              <w:right w:type="dxa" w:w="120"/>
            </w:tcMar>
            <w:vAlign w:val="center"/>
          </w:tcPr>
          <w:p>
            <w:pPr>
              <w:spacing w:after="50" w:line="252"/>
              <w:jc w:val="center"/>
            </w:pPr>
            <w:r>
              <w:rPr>
                <w:rFonts w:ascii="Arial" w:cs="Arial" w:eastAsia="Arial" w:hAnsi="Arial"/>
                <w:b/>
                <w:bCs/>
                <w:i w:val="false"/>
                <w:iCs w:val="false"/>
                <w:color w:val="5B3FA8"/>
                <w:sz w:val="34"/>
                <w:szCs w:val="34"/>
              </w:rPr>
              <w:t xml:space="preserve">Hours</w:t>
            </w:r>
          </w:p>
          <w:p>
            <w:pPr>
              <w:spacing w:after="0" w:line="244"/>
              <w:jc w:val="center"/>
            </w:pPr>
            <w:r>
              <w:rPr>
                <w:rFonts w:ascii="Arial" w:cs="Arial" w:eastAsia="Arial" w:hAnsi="Arial"/>
                <w:b w:val="false"/>
                <w:bCs w:val="false"/>
                <w:i w:val="false"/>
                <w:iCs w:val="false"/>
                <w:color w:val="232333"/>
                <w:sz w:val="16"/>
                <w:szCs w:val="16"/>
              </w:rPr>
              <w:t xml:space="preserve">for a full Hakase BioTwin profile</w:t>
            </w:r>
          </w:p>
        </w:tc>
      </w:tr>
    </w:tbl>
    <w:p>
      <w:pPr>
        <w:spacing w:after="60"/>
      </w:pPr>
    </w:p>
    <w:p>
      <w:pPr>
        <w:pStyle w:val="Heading2"/>
        <w:keepNext/>
      </w:pPr>
      <w:r>
        <w:t xml:space="preserve">What sets Hakase BioTwin apart</w:t>
      </w:r>
    </w:p>
    <w:p>
      <w:pPr>
        <w:spacing w:after="150" w:line="292"/>
      </w:pPr>
      <w:r>
        <w:rPr>
          <w:rFonts w:ascii="Arial" w:cs="Arial" w:eastAsia="Arial" w:hAnsi="Arial"/>
          <w:b w:val="false"/>
          <w:bCs w:val="false"/>
          <w:i w:val="false"/>
          <w:iCs w:val="false"/>
          <w:color w:val="232333"/>
          <w:sz w:val="21"/>
          <w:szCs w:val="21"/>
        </w:rPr>
        <w:t xml:space="preserve">Three capabilities distinguish Hakase BioTwin from a conventional in-silico prediction tool:</w:t>
      </w:r>
    </w:p>
    <w:p>
      <w:pPr>
        <w:pStyle w:val="ListParagraph"/>
        <w:numPr>
          <w:ilvl w:val="0"/>
          <w:numId w:val="2"/>
        </w:numPr>
        <w:spacing w:after="11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Zero-lab speed.</w:t>
      </w:r>
      <w:r>
        <w:rPr>
          <w:rFonts w:ascii="Arial" w:cs="Arial" w:eastAsia="Arial" w:hAnsi="Arial"/>
          <w:b w:val="false"/>
          <w:bCs w:val="false"/>
          <w:i w:val="false"/>
          <w:iCs w:val="false"/>
          <w:color w:val="232333"/>
          <w:sz w:val="21"/>
          <w:szCs w:val="21"/>
        </w:rPr>
        <w:t xml:space="preserve"> The entire pipeline runs in software — from chemical structure to FIH readiness — with no physical assays, tissue chips or CRO dependencies in the path. A full candidate profile takes hours, and the platform scales to hundreds of molecules at once.</w:t>
      </w:r>
    </w:p>
    <w:p>
      <w:pPr>
        <w:pStyle w:val="ListParagraph"/>
        <w:numPr>
          <w:ilvl w:val="0"/>
          <w:numId w:val="2"/>
        </w:numPr>
        <w:spacing w:after="11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Evidence you can trust.</w:t>
      </w:r>
      <w:r>
        <w:rPr>
          <w:rFonts w:ascii="Arial" w:cs="Arial" w:eastAsia="Arial" w:hAnsi="Arial"/>
          <w:b w:val="false"/>
          <w:bCs w:val="false"/>
          <w:i w:val="false"/>
          <w:iCs w:val="false"/>
          <w:color w:val="232333"/>
          <w:sz w:val="21"/>
          <w:szCs w:val="21"/>
        </w:rPr>
        <w:t xml:space="preserve"> Every output is traceable to its source and labelled by evidence grade. In a regulated industry, that transparency is what turns a model prediction into defensible evidence — for a team’s own reviewers, for its partners, and for regulators.</w:t>
      </w:r>
    </w:p>
    <w:p>
      <w:pPr>
        <w:pStyle w:val="ListParagraph"/>
        <w:numPr>
          <w:ilvl w:val="0"/>
          <w:numId w:val="2"/>
        </w:numPr>
        <w:spacing w:after="11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Predict-then-confirm confidence.</w:t>
      </w:r>
      <w:r>
        <w:rPr>
          <w:rFonts w:ascii="Arial" w:cs="Arial" w:eastAsia="Arial" w:hAnsi="Arial"/>
          <w:b w:val="false"/>
          <w:bCs w:val="false"/>
          <w:i w:val="false"/>
          <w:iCs w:val="false"/>
          <w:color w:val="232333"/>
          <w:sz w:val="21"/>
          <w:szCs w:val="21"/>
        </w:rPr>
        <w:t xml:space="preserve"> A dedicated governance layer cross-checks every prediction against independent evidence streams, and against any measured data a team supplies, so each decision to advance a molecule rests on corroborated evidence rather than a single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1F4" w:sz="2"/>
              <w:left w:val="single" w:color="0E7490" w:sz="26"/>
              <w:bottom w:val="single" w:color="E7F1F4" w:sz="2"/>
              <w:right w:val="single" w:color="E7F1F4" w:sz="2"/>
            </w:tcBorders>
            <w:shd w:fill="E7F1F4" w:val="clear"/>
            <w:tcMar>
              <w:top w:type="dxa" w:w="160"/>
              <w:left w:type="dxa" w:w="230"/>
              <w:bottom w:type="dxa" w:w="160"/>
              <w:right w:type="dxa" w:w="210"/>
            </w:tcMar>
          </w:tcPr>
          <w:p>
            <w:pPr>
              <w:spacing w:after="100" w:line="288"/>
            </w:pPr>
            <w:r>
              <w:rPr>
                <w:rFonts w:ascii="Arial" w:cs="Arial" w:eastAsia="Arial" w:hAnsi="Arial"/>
                <w:b/>
                <w:bCs/>
                <w:i w:val="false"/>
                <w:iCs w:val="false"/>
                <w:color w:val="0E7490"/>
                <w:sz w:val="21"/>
                <w:szCs w:val="21"/>
              </w:rPr>
              <w:t xml:space="preserve">Hakase BioTwin at a glance</w:t>
            </w:r>
          </w:p>
          <w:p>
            <w:pPr>
              <w:spacing w:after="90" w:line="288"/>
            </w:pPr>
            <w:r>
              <w:rPr>
                <w:rFonts w:ascii="Arial" w:cs="Arial" w:eastAsia="Arial" w:hAnsi="Arial"/>
                <w:b w:val="false"/>
                <w:bCs w:val="false"/>
                <w:i w:val="false"/>
                <w:iCs w:val="false"/>
                <w:color w:val="232333"/>
                <w:sz w:val="20"/>
                <w:szCs w:val="20"/>
              </w:rPr>
              <w:t xml:space="preserve">•  A four-layer preclinical cascade — In-Vitro, Confirmation, Animal Cohort and First-In-Human Readiness — driven by one input: a molecule’s chemical structure.</w:t>
            </w:r>
          </w:p>
          <w:p>
            <w:pPr>
              <w:spacing w:after="90" w:line="288"/>
            </w:pPr>
            <w:r>
              <w:rPr>
                <w:rFonts w:ascii="Arial" w:cs="Arial" w:eastAsia="Arial" w:hAnsi="Arial"/>
                <w:b w:val="false"/>
                <w:bCs w:val="false"/>
                <w:i w:val="false"/>
                <w:iCs w:val="false"/>
                <w:color w:val="232333"/>
                <w:sz w:val="20"/>
                <w:szCs w:val="20"/>
              </w:rPr>
              <w:t xml:space="preserve">•  Six validated machine-learning models plus an 11-model calibrated prediction layer, benchmarked against public datasets covering tens of thousands of measured compounds.</w:t>
            </w:r>
          </w:p>
          <w:p>
            <w:pPr>
              <w:spacing w:after="90" w:line="288"/>
            </w:pPr>
            <w:r>
              <w:rPr>
                <w:rFonts w:ascii="Arial" w:cs="Arial" w:eastAsia="Arial" w:hAnsi="Arial"/>
                <w:b w:val="false"/>
                <w:bCs w:val="false"/>
                <w:i w:val="false"/>
                <w:iCs w:val="false"/>
                <w:color w:val="232333"/>
                <w:sz w:val="20"/>
                <w:szCs w:val="20"/>
              </w:rPr>
              <w:t xml:space="preserve">•  ADMET and pharmacokinetic accuracy in line with leading commercial in-silico platforms.</w:t>
            </w:r>
          </w:p>
          <w:p>
            <w:pPr>
              <w:spacing w:after="90" w:line="288"/>
            </w:pPr>
            <w:r>
              <w:rPr>
                <w:rFonts w:ascii="Arial" w:cs="Arial" w:eastAsia="Arial" w:hAnsi="Arial"/>
                <w:b w:val="false"/>
                <w:bCs w:val="false"/>
                <w:i w:val="false"/>
                <w:iCs w:val="false"/>
                <w:color w:val="232333"/>
                <w:sz w:val="20"/>
                <w:szCs w:val="20"/>
              </w:rPr>
              <w:t xml:space="preserve">•  Every run produces a tamper-evident, cryptographically sealed evidence package — ready to hand to a CRO, a regulator or a licensing partner.</w:t>
            </w:r>
          </w:p>
          <w:p>
            <w:pPr>
              <w:spacing w:after="0" w:line="288"/>
            </w:pPr>
            <w:r>
              <w:rPr>
                <w:rFonts w:ascii="Arial" w:cs="Arial" w:eastAsia="Arial" w:hAnsi="Arial"/>
                <w:b w:val="false"/>
                <w:bCs w:val="false"/>
                <w:i w:val="false"/>
                <w:iCs w:val="false"/>
                <w:color w:val="232333"/>
                <w:sz w:val="20"/>
                <w:szCs w:val="20"/>
              </w:rPr>
              <w:t xml:space="preserve">•  Privacy-first by design: proprietary chemistry is processed securely, with no CRO scheduling and no vendor lock-in.</w:t>
            </w:r>
          </w:p>
        </w:tc>
      </w:tr>
    </w:tbl>
    <w:p>
      <w:pPr>
        <w:pStyle w:val="Heading2"/>
        <w:keepNext/>
      </w:pPr>
      <w:r>
        <w:t xml:space="preserve">Where Hakase BioTwin fits</w:t>
      </w:r>
    </w:p>
    <w:p>
      <w:pPr>
        <w:spacing w:after="150" w:line="292"/>
      </w:pPr>
      <w:r>
        <w:rPr>
          <w:rFonts w:ascii="Arial" w:cs="Arial" w:eastAsia="Arial" w:hAnsi="Arial"/>
          <w:b w:val="false"/>
          <w:bCs w:val="false"/>
          <w:i w:val="false"/>
          <w:iCs w:val="false"/>
          <w:color w:val="232333"/>
          <w:sz w:val="21"/>
          <w:szCs w:val="21"/>
        </w:rPr>
        <w:t xml:space="preserve">Hakase BioTwin is the </w:t>
      </w:r>
      <w:r>
        <w:rPr>
          <w:rFonts w:ascii="Arial" w:cs="Arial" w:eastAsia="Arial" w:hAnsi="Arial"/>
          <w:b/>
          <w:bCs/>
          <w:i w:val="false"/>
          <w:iCs w:val="false"/>
          <w:color w:val="232333"/>
          <w:sz w:val="21"/>
          <w:szCs w:val="21"/>
        </w:rPr>
        <w:t xml:space="preserve">decision-support engine of preclinical development</w:t>
      </w:r>
      <w:r>
        <w:rPr>
          <w:rFonts w:ascii="Arial" w:cs="Arial" w:eastAsia="Arial" w:hAnsi="Arial"/>
          <w:b w:val="false"/>
          <w:bCs w:val="false"/>
          <w:i w:val="false"/>
          <w:iCs w:val="false"/>
          <w:color w:val="232333"/>
          <w:sz w:val="21"/>
          <w:szCs w:val="21"/>
        </w:rPr>
        <w:t xml:space="preserve">. It tells teams which molecules merit investment, and it focuses confirmatory wet-lab and IND-enabling studies where they add the most value. Used this way, it compresses development timelines, reduces the cost of late-stage failure, and produces an evidence package that accelerates every downstream conversation — with CROs, with regulators, and with partners and investors.</w:t>
      </w:r>
    </w:p>
    <w:p>
      <w:pPr>
        <w:pStyle w:val="Heading1"/>
        <w:keepNext/>
        <w:pageBreakBefore/>
      </w:pPr>
      <w:r>
        <w:t xml:space="preserve">2.  Hakase AI — The Enterprise Platform</w:t>
      </w:r>
    </w:p>
    <w:p>
      <w:pPr>
        <w:spacing w:after="150" w:line="292"/>
      </w:pPr>
      <w:r>
        <w:rPr>
          <w:rFonts w:ascii="Arial" w:cs="Arial" w:eastAsia="Arial" w:hAnsi="Arial"/>
          <w:b w:val="false"/>
          <w:bCs w:val="false"/>
          <w:i w:val="false"/>
          <w:iCs w:val="false"/>
          <w:color w:val="232333"/>
          <w:sz w:val="21"/>
          <w:szCs w:val="21"/>
        </w:rPr>
        <w:t xml:space="preserve">This section is a brief orientation to the company and platform that Hakase BioTwin belongs to. Readers focused on the preclinical product can move directly to Section 3.</w:t>
      </w:r>
    </w:p>
    <w:p>
      <w:pPr>
        <w:pStyle w:val="Heading2"/>
        <w:keepNext/>
      </w:pPr>
      <w:r>
        <w:t xml:space="preserve">2.1  What Hakase AI is</w:t>
      </w:r>
    </w:p>
    <w:p>
      <w:pPr>
        <w:spacing w:after="150" w:line="292"/>
      </w:pPr>
      <w:r>
        <w:rPr>
          <w:rFonts w:ascii="Arial" w:cs="Arial" w:eastAsia="Arial" w:hAnsi="Arial"/>
          <w:b w:val="false"/>
          <w:bCs w:val="false"/>
          <w:i w:val="false"/>
          <w:iCs w:val="false"/>
          <w:color w:val="232333"/>
          <w:sz w:val="21"/>
          <w:szCs w:val="21"/>
        </w:rPr>
        <w:t xml:space="preserve">Hakase AI builds an </w:t>
      </w:r>
      <w:r>
        <w:rPr>
          <w:rFonts w:ascii="Arial" w:cs="Arial" w:eastAsia="Arial" w:hAnsi="Arial"/>
          <w:b/>
          <w:bCs/>
          <w:i w:val="false"/>
          <w:iCs w:val="false"/>
          <w:color w:val="232333"/>
          <w:sz w:val="21"/>
          <w:szCs w:val="21"/>
        </w:rPr>
        <w:t xml:space="preserve">AI digital workforce for pharma and biotech</w:t>
      </w:r>
      <w:r>
        <w:rPr>
          <w:rFonts w:ascii="Arial" w:cs="Arial" w:eastAsia="Arial" w:hAnsi="Arial"/>
          <w:b w:val="false"/>
          <w:bCs w:val="false"/>
          <w:i w:val="false"/>
          <w:iCs w:val="false"/>
          <w:color w:val="232333"/>
          <w:sz w:val="21"/>
          <w:szCs w:val="21"/>
        </w:rPr>
        <w:t xml:space="preserve">. Rather than shipping a single point tool for a single task, it delivers AI agents, decision gates and evidence packages across the full pharmaceutical value chain. The strategic principle is straightforward: every stage of drug development — from the first idea for a molecule to the real-world evidence gathered after launch — should have an answer that is either owned, partnered, or clearly scoped on the roadmap.</w:t>
      </w:r>
    </w:p>
    <w:p>
      <w:pPr>
        <w:spacing w:after="150" w:line="292"/>
      </w:pPr>
      <w:r>
        <w:rPr>
          <w:rFonts w:ascii="Arial" w:cs="Arial" w:eastAsia="Arial" w:hAnsi="Arial"/>
          <w:b w:val="false"/>
          <w:bCs w:val="false"/>
          <w:i w:val="false"/>
          <w:iCs w:val="false"/>
          <w:color w:val="232333"/>
          <w:sz w:val="21"/>
          <w:szCs w:val="21"/>
        </w:rPr>
        <w:t xml:space="preserve">Crucially, the modules are not separate products bolted together. They are </w:t>
      </w:r>
      <w:r>
        <w:rPr>
          <w:rFonts w:ascii="Arial" w:cs="Arial" w:eastAsia="Arial" w:hAnsi="Arial"/>
          <w:b/>
          <w:bCs/>
          <w:i w:val="false"/>
          <w:iCs w:val="false"/>
          <w:color w:val="232333"/>
          <w:sz w:val="21"/>
          <w:szCs w:val="21"/>
        </w:rPr>
        <w:t xml:space="preserve">surfaces on one shared engine</w:t>
      </w:r>
      <w:r>
        <w:rPr>
          <w:rFonts w:ascii="Arial" w:cs="Arial" w:eastAsia="Arial" w:hAnsi="Arial"/>
          <w:b w:val="false"/>
          <w:bCs w:val="false"/>
          <w:i w:val="false"/>
          <w:iCs w:val="false"/>
          <w:color w:val="232333"/>
          <w:sz w:val="21"/>
          <w:szCs w:val="21"/>
        </w:rPr>
        <w:t xml:space="preserve">. The same underlying system composes the agents, the gates and the evidence package each module needs; a module is simply that engine tuned to one stage of the value chain. This is what lets Hakase scale across the industry without rebuilding its foundations for every new domain.</w:t>
      </w:r>
    </w:p>
    <w:p>
      <w:pPr>
        <w:pStyle w:val="Heading2"/>
        <w:keepNext/>
      </w:pPr>
      <w:r>
        <w:t xml:space="preserve">2.2  Enterprise-wide coverage of the value chain</w:t>
      </w:r>
    </w:p>
    <w:p>
      <w:pPr>
        <w:spacing w:after="150" w:line="292"/>
      </w:pPr>
      <w:r>
        <w:rPr>
          <w:rFonts w:ascii="Arial" w:cs="Arial" w:eastAsia="Arial" w:hAnsi="Arial"/>
          <w:b w:val="false"/>
          <w:bCs w:val="false"/>
          <w:i w:val="false"/>
          <w:iCs w:val="false"/>
          <w:color w:val="232333"/>
          <w:sz w:val="21"/>
          <w:szCs w:val="21"/>
        </w:rPr>
        <w:t xml:space="preserve">The pharmaceutical value chain runs through nine recognisable stages, and Hakase AI has a defined position at every one — </w:t>
      </w:r>
      <w:r>
        <w:rPr>
          <w:rFonts w:ascii="Arial" w:cs="Arial" w:eastAsia="Arial" w:hAnsi="Arial"/>
          <w:b/>
          <w:bCs/>
          <w:i w:val="false"/>
          <w:iCs w:val="false"/>
          <w:color w:val="232333"/>
          <w:sz w:val="21"/>
          <w:szCs w:val="21"/>
        </w:rPr>
        <w:t xml:space="preserve">six modules owned end-to-end, one delivered with a partner, and two scoped on the roadmap.</w:t>
      </w:r>
      <w:r>
        <w:rPr>
          <w:rFonts w:ascii="Arial" w:cs="Arial" w:eastAsia="Arial" w:hAnsi="Arial"/>
          <w:b w:val="false"/>
          <w:bCs w:val="false"/>
          <w:i w:val="false"/>
          <w:iCs w:val="false"/>
          <w:color w:val="232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2200"/>
        <w:gridCol w:w="1140"/>
        <w:gridCol w:w="4840"/>
      </w:tblGrid>
      <w:tr>
        <w:trPr>
          <w:tblHeader/>
        </w:trPr>
        <w:tc>
          <w:tcPr>
            <w:tcW w:type="dxa" w:w="118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Module</w:t>
            </w:r>
          </w:p>
        </w:tc>
        <w:tc>
          <w:tcPr>
            <w:tcW w:type="dxa" w:w="22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Value-chain stage</w:t>
            </w:r>
          </w:p>
        </w:tc>
        <w:tc>
          <w:tcPr>
            <w:tcW w:type="dxa" w:w="114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center"/>
            </w:pPr>
            <w:r>
              <w:rPr>
                <w:rFonts w:ascii="Arial" w:cs="Arial" w:eastAsia="Arial" w:hAnsi="Arial"/>
                <w:b/>
                <w:bCs/>
                <w:i w:val="false"/>
                <w:iCs w:val="false"/>
                <w:color w:val="FFFFFF"/>
                <w:sz w:val="19"/>
                <w:szCs w:val="19"/>
              </w:rPr>
              <w:t xml:space="preserve">Status</w:t>
            </w:r>
          </w:p>
        </w:tc>
        <w:tc>
          <w:tcPr>
            <w:tcW w:type="dxa" w:w="484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delivers</w:t>
            </w:r>
          </w:p>
        </w:tc>
      </w:tr>
      <w:tr>
        <w:tc>
          <w:tcPr>
            <w:tcW w:type="dxa" w:w="118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Diagen</w:t>
            </w:r>
          </w:p>
        </w:tc>
        <w:tc>
          <w:tcPr>
            <w:tcW w:type="dxa" w:w="22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Discovery</w:t>
            </w:r>
          </w:p>
        </w:tc>
        <w:tc>
          <w:tcPr>
            <w:tcW w:type="dxa" w:w="11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Partner</w:t>
            </w:r>
          </w:p>
        </w:tc>
        <w:tc>
          <w:tcPr>
            <w:tcW w:type="dxa" w:w="48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Target identification, screening and hit-to-lead. Its outputs feed Hakase Bio.</w:t>
            </w:r>
          </w:p>
        </w:tc>
      </w:tr>
      <w:tr>
        <w:tc>
          <w:tcPr>
            <w:tcW w:type="dxa" w:w="118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Bio</w:t>
            </w:r>
          </w:p>
        </w:tc>
        <w:tc>
          <w:tcPr>
            <w:tcW w:type="dxa" w:w="22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Pre-Clinical</w:t>
            </w:r>
          </w:p>
        </w:tc>
        <w:tc>
          <w:tcPr>
            <w:tcW w:type="dxa" w:w="11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BioDigital Twin — a zero-lab, predict-then-confirm cascade. The focus of this document.</w:t>
            </w:r>
          </w:p>
        </w:tc>
      </w:tr>
      <w:tr>
        <w:tc>
          <w:tcPr>
            <w:tcW w:type="dxa" w:w="118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Clinical</w:t>
            </w:r>
          </w:p>
        </w:tc>
        <w:tc>
          <w:tcPr>
            <w:tcW w:type="dxa" w:w="22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Clinical (Phase 2–4)</w:t>
            </w:r>
          </w:p>
        </w:tc>
        <w:tc>
          <w:tcPr>
            <w:tcW w:type="dxa" w:w="11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Protocol and site strategy, endpoint signal and trial-to-readout.</w:t>
            </w:r>
          </w:p>
        </w:tc>
      </w:tr>
      <w:tr>
        <w:tc>
          <w:tcPr>
            <w:tcW w:type="dxa" w:w="118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CMC</w:t>
            </w:r>
          </w:p>
        </w:tc>
        <w:tc>
          <w:tcPr>
            <w:tcW w:type="dxa" w:w="22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Chemistry, Mfg &amp; Controls</w:t>
            </w:r>
          </w:p>
        </w:tc>
        <w:tc>
          <w:tcPr>
            <w:tcW w:type="dxa" w:w="11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Roadmap</w:t>
            </w:r>
          </w:p>
        </w:tc>
        <w:tc>
          <w:tcPr>
            <w:tcW w:type="dxa" w:w="48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Process development, scale-up and supply chain.</w:t>
            </w:r>
          </w:p>
        </w:tc>
      </w:tr>
      <w:tr>
        <w:tc>
          <w:tcPr>
            <w:tcW w:type="dxa" w:w="118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RegDoks</w:t>
            </w:r>
          </w:p>
        </w:tc>
        <w:tc>
          <w:tcPr>
            <w:tcW w:type="dxa" w:w="22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Regulatory</w:t>
            </w:r>
          </w:p>
        </w:tc>
        <w:tc>
          <w:tcPr>
            <w:tcW w:type="dxa" w:w="11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Submission-ready dossiers across FDA, EMA, PMDA and GCC.</w:t>
            </w:r>
          </w:p>
        </w:tc>
      </w:tr>
      <w:tr>
        <w:tc>
          <w:tcPr>
            <w:tcW w:type="dxa" w:w="118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Quality</w:t>
            </w:r>
          </w:p>
        </w:tc>
        <w:tc>
          <w:tcPr>
            <w:tcW w:type="dxa" w:w="22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Quality</w:t>
            </w:r>
          </w:p>
        </w:tc>
        <w:tc>
          <w:tcPr>
            <w:tcW w:type="dxa" w:w="11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Roadmap</w:t>
            </w:r>
          </w:p>
        </w:tc>
        <w:tc>
          <w:tcPr>
            <w:tcW w:type="dxa" w:w="48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Quality management, batch release and audit trails.</w:t>
            </w:r>
          </w:p>
        </w:tc>
      </w:tr>
      <w:tr>
        <w:tc>
          <w:tcPr>
            <w:tcW w:type="dxa" w:w="118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Medical</w:t>
            </w:r>
          </w:p>
        </w:tc>
        <w:tc>
          <w:tcPr>
            <w:tcW w:type="dxa" w:w="22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Medical Affairs</w:t>
            </w:r>
          </w:p>
        </w:tc>
        <w:tc>
          <w:tcPr>
            <w:tcW w:type="dxa" w:w="11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KOL and MSL operations, evidence communications and scientific value.</w:t>
            </w:r>
          </w:p>
        </w:tc>
      </w:tr>
      <w:tr>
        <w:tc>
          <w:tcPr>
            <w:tcW w:type="dxa" w:w="118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Commz</w:t>
            </w:r>
          </w:p>
        </w:tc>
        <w:tc>
          <w:tcPr>
            <w:tcW w:type="dxa" w:w="22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Marketing &amp; Growth</w:t>
            </w:r>
          </w:p>
        </w:tc>
        <w:tc>
          <w:tcPr>
            <w:tcW w:type="dxa" w:w="11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Launch readiness, HCP and payer engagement, field-force enablement.</w:t>
            </w:r>
          </w:p>
        </w:tc>
      </w:tr>
      <w:tr>
        <w:tc>
          <w:tcPr>
            <w:tcW w:type="dxa" w:w="118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Care</w:t>
            </w:r>
          </w:p>
        </w:tc>
        <w:tc>
          <w:tcPr>
            <w:tcW w:type="dxa" w:w="22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Patient Centricity</w:t>
            </w:r>
          </w:p>
        </w:tc>
        <w:tc>
          <w:tcPr>
            <w:tcW w:type="dxa" w:w="11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Owned</w:t>
            </w:r>
          </w:p>
        </w:tc>
        <w:tc>
          <w:tcPr>
            <w:tcW w:type="dxa" w:w="48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Quality and outcomes, pathway analytics and real-world-evidence feedback.</w:t>
            </w:r>
          </w:p>
        </w:tc>
      </w:tr>
    </w:tbl>
    <w:p>
      <w:pPr>
        <w:spacing w:after="210" w:before="70" w:line="262"/>
      </w:pPr>
      <w:r>
        <w:rPr>
          <w:rFonts w:ascii="Arial" w:cs="Arial" w:eastAsia="Arial" w:hAnsi="Arial"/>
          <w:b w:val="false"/>
          <w:bCs w:val="false"/>
          <w:i/>
          <w:iCs/>
          <w:color w:val="595968"/>
          <w:sz w:val="17"/>
          <w:szCs w:val="17"/>
        </w:rPr>
        <w:t xml:space="preserve">Hakase AI enterprise coverage. Six modules are owned end-to-end; Diagen is a discovery partner; CMC and Quality are roadmap modules, partner-supported in the interim. Every stage of the value chain has an answer.</w:t>
      </w:r>
    </w:p>
    <w:p>
      <w:pPr>
        <w:pStyle w:val="Heading2"/>
        <w:keepNext/>
      </w:pPr>
      <w:r>
        <w:t xml:space="preserve">2.3  The engine — HakaseAI · HAIOps</w:t>
      </w:r>
    </w:p>
    <w:p>
      <w:pPr>
        <w:spacing w:after="150" w:line="292"/>
      </w:pPr>
      <w:r>
        <w:rPr>
          <w:rFonts w:ascii="Arial" w:cs="Arial" w:eastAsia="Arial" w:hAnsi="Arial"/>
          <w:b w:val="false"/>
          <w:bCs w:val="false"/>
          <w:i w:val="false"/>
          <w:iCs w:val="false"/>
          <w:color w:val="232333"/>
          <w:sz w:val="21"/>
          <w:szCs w:val="21"/>
        </w:rPr>
        <w:t xml:space="preserve">Every module is powered by a common engine, </w:t>
      </w:r>
      <w:r>
        <w:rPr>
          <w:rFonts w:ascii="Arial" w:cs="Arial" w:eastAsia="Arial" w:hAnsi="Arial"/>
          <w:b/>
          <w:bCs/>
          <w:i w:val="false"/>
          <w:iCs w:val="false"/>
          <w:color w:val="232333"/>
          <w:sz w:val="21"/>
          <w:szCs w:val="21"/>
        </w:rPr>
        <w:t xml:space="preserve">HakaseAI · HAIOps</w:t>
      </w:r>
      <w:r>
        <w:rPr>
          <w:rFonts w:ascii="Arial" w:cs="Arial" w:eastAsia="Arial" w:hAnsi="Arial"/>
          <w:b w:val="false"/>
          <w:bCs w:val="false"/>
          <w:i w:val="false"/>
          <w:iCs w:val="false"/>
          <w:color w:val="232333"/>
          <w:sz w:val="21"/>
          <w:szCs w:val="21"/>
        </w:rPr>
        <w:t xml:space="preserve">. Its building blocks are a </w:t>
      </w:r>
      <w:r>
        <w:rPr>
          <w:rFonts w:ascii="Arial" w:cs="Arial" w:eastAsia="Arial" w:hAnsi="Arial"/>
          <w:b/>
          <w:bCs/>
          <w:i w:val="false"/>
          <w:iCs w:val="false"/>
          <w:color w:val="232333"/>
          <w:sz w:val="21"/>
          <w:szCs w:val="21"/>
        </w:rPr>
        <w:t xml:space="preserve">Digital Workforce</w:t>
      </w:r>
      <w:r>
        <w:rPr>
          <w:rFonts w:ascii="Arial" w:cs="Arial" w:eastAsia="Arial" w:hAnsi="Arial"/>
          <w:b w:val="false"/>
          <w:bCs w:val="false"/>
          <w:i w:val="false"/>
          <w:iCs w:val="false"/>
          <w:color w:val="232333"/>
          <w:sz w:val="21"/>
          <w:szCs w:val="21"/>
        </w:rPr>
        <w:t xml:space="preserve"> of around 35 specialised AI agents organised into four swarms; a </w:t>
      </w:r>
      <w:r>
        <w:rPr>
          <w:rFonts w:ascii="Arial" w:cs="Arial" w:eastAsia="Arial" w:hAnsi="Arial"/>
          <w:b/>
          <w:bCs/>
          <w:i w:val="false"/>
          <w:iCs w:val="false"/>
          <w:color w:val="232333"/>
          <w:sz w:val="21"/>
          <w:szCs w:val="21"/>
        </w:rPr>
        <w:t xml:space="preserve">Gate Service</w:t>
      </w:r>
      <w:r>
        <w:rPr>
          <w:rFonts w:ascii="Arial" w:cs="Arial" w:eastAsia="Arial" w:hAnsi="Arial"/>
          <w:b w:val="false"/>
          <w:bCs w:val="false"/>
          <w:i w:val="false"/>
          <w:iCs w:val="false"/>
          <w:color w:val="232333"/>
          <w:sz w:val="21"/>
          <w:szCs w:val="21"/>
        </w:rPr>
        <w:t xml:space="preserve"> that delivers the predict-then-confirm discipline as a reusable decision gate; a </w:t>
      </w:r>
      <w:r>
        <w:rPr>
          <w:rFonts w:ascii="Arial" w:cs="Arial" w:eastAsia="Arial" w:hAnsi="Arial"/>
          <w:b/>
          <w:bCs/>
          <w:i w:val="false"/>
          <w:iCs w:val="false"/>
          <w:color w:val="232333"/>
          <w:sz w:val="21"/>
          <w:szCs w:val="21"/>
        </w:rPr>
        <w:t xml:space="preserve">DAaaS</w:t>
      </w:r>
      <w:r>
        <w:rPr>
          <w:rFonts w:ascii="Arial" w:cs="Arial" w:eastAsia="Arial" w:hAnsi="Arial"/>
          <w:b w:val="false"/>
          <w:bCs w:val="false"/>
          <w:i w:val="false"/>
          <w:iCs w:val="false"/>
          <w:color w:val="232333"/>
          <w:sz w:val="21"/>
          <w:szCs w:val="21"/>
        </w:rPr>
        <w:t xml:space="preserve"> (Decision-and-Analysis-as-a-Service) delivery model; and a library of pre-trained foundation models. HAIOps — Healthcare AI Operations — is the governance fabric woven through all of it, carrying safety, traceability and audit guarantees uniformly across every module.</w:t>
      </w:r>
    </w:p>
    <w:p>
      <w:pPr>
        <w:pStyle w:val="Heading2"/>
        <w:keepNext/>
      </w:pPr>
      <w:r>
        <w:t xml:space="preserve">2.4  Where Hakase Bio sits</w:t>
      </w:r>
    </w:p>
    <w:p>
      <w:pPr>
        <w:spacing w:after="150" w:line="292"/>
      </w:pPr>
      <w:r>
        <w:rPr>
          <w:rFonts w:ascii="Arial" w:cs="Arial" w:eastAsia="Arial" w:hAnsi="Arial"/>
          <w:b w:val="false"/>
          <w:bCs w:val="false"/>
          <w:i w:val="false"/>
          <w:iCs w:val="false"/>
          <w:color w:val="232333"/>
          <w:sz w:val="21"/>
          <w:szCs w:val="21"/>
        </w:rPr>
        <w:t xml:space="preserve">Hakase Bio occupies the Pre-Clinical stage and is the most mature module in the platform — complete, and the subject of the rest of this document. It sits between two neighbours: it </w:t>
      </w:r>
      <w:r>
        <w:rPr>
          <w:rFonts w:ascii="Arial" w:cs="Arial" w:eastAsia="Arial" w:hAnsi="Arial"/>
          <w:b/>
          <w:bCs/>
          <w:i w:val="false"/>
          <w:iCs w:val="false"/>
          <w:color w:val="232333"/>
          <w:sz w:val="21"/>
          <w:szCs w:val="21"/>
        </w:rPr>
        <w:t xml:space="preserve">receives</w:t>
      </w:r>
      <w:r>
        <w:rPr>
          <w:rFonts w:ascii="Arial" w:cs="Arial" w:eastAsia="Arial" w:hAnsi="Arial"/>
          <w:b w:val="false"/>
          <w:bCs w:val="false"/>
          <w:i w:val="false"/>
          <w:iCs w:val="false"/>
          <w:color w:val="232333"/>
          <w:sz w:val="21"/>
          <w:szCs w:val="21"/>
        </w:rPr>
        <w:t xml:space="preserve"> candidate molecules from Diagen, the discovery partner, and it </w:t>
      </w:r>
      <w:r>
        <w:rPr>
          <w:rFonts w:ascii="Arial" w:cs="Arial" w:eastAsia="Arial" w:hAnsi="Arial"/>
          <w:b/>
          <w:bCs/>
          <w:i w:val="false"/>
          <w:iCs w:val="false"/>
          <w:color w:val="232333"/>
          <w:sz w:val="21"/>
          <w:szCs w:val="21"/>
        </w:rPr>
        <w:t xml:space="preserve">hands</w:t>
      </w:r>
      <w:r>
        <w:rPr>
          <w:rFonts w:ascii="Arial" w:cs="Arial" w:eastAsia="Arial" w:hAnsi="Arial"/>
          <w:b w:val="false"/>
          <w:bCs w:val="false"/>
          <w:i w:val="false"/>
          <w:iCs w:val="false"/>
          <w:color w:val="232333"/>
          <w:sz w:val="21"/>
          <w:szCs w:val="21"/>
        </w:rPr>
        <w:t xml:space="preserve"> a sealed, IND-ready preclinical package onward to Hakase Clinical.</w:t>
      </w:r>
    </w:p>
    <w:p>
      <w:pPr>
        <w:spacing w:after="150" w:line="292"/>
      </w:pPr>
      <w:r>
        <w:rPr>
          <w:rFonts w:ascii="Arial" w:cs="Arial" w:eastAsia="Arial" w:hAnsi="Arial"/>
          <w:b w:val="false"/>
          <w:bCs w:val="false"/>
          <w:i w:val="false"/>
          <w:iCs w:val="false"/>
          <w:color w:val="232333"/>
          <w:sz w:val="21"/>
          <w:szCs w:val="21"/>
        </w:rPr>
        <w:t xml:space="preserve">The Diagen-to-Bio handoff is a defined integration. Diagen’s generative models design and optimise novel molecules; for each candidate it passes Hakase Bio a package containing the molecule’s structure, its fingerprints, preliminary scores, 3D conformers and the target protein identifier. Bio can ingest these one at a time, in batches, or as a full cascade run — so a molecule can travel from a generative idea to a FIH readiness package without ever leaving the Hakase ecosystem.</w:t>
      </w:r>
    </w:p>
    <w:p>
      <w:pPr>
        <w:pStyle w:val="Heading1"/>
        <w:keepNext/>
        <w:pageBreakBefore/>
      </w:pPr>
      <w:r>
        <w:t xml:space="preserve">3.  Hakase BioTwin — Platform Overview</w:t>
      </w:r>
    </w:p>
    <w:p>
      <w:pPr>
        <w:pStyle w:val="Heading2"/>
        <w:keepNext/>
      </w:pPr>
      <w:r>
        <w:t xml:space="preserve">3.1  The preclinical challenge</w:t>
      </w:r>
    </w:p>
    <w:p>
      <w:pPr>
        <w:spacing w:after="150" w:line="292"/>
      </w:pPr>
      <w:r>
        <w:rPr>
          <w:rFonts w:ascii="Arial" w:cs="Arial" w:eastAsia="Arial" w:hAnsi="Arial"/>
          <w:b w:val="false"/>
          <w:bCs w:val="false"/>
          <w:i w:val="false"/>
          <w:iCs w:val="false"/>
          <w:color w:val="232333"/>
          <w:sz w:val="21"/>
          <w:szCs w:val="21"/>
        </w:rPr>
        <w:t xml:space="preserve">Preclinical development is a steeply rising cost curve. Computational screening of a compound is effectively free; an in-vitro assay is inexpensive; an ex-vivo tissue study runs roughly $15,000–$250,000 per compound; an in-vivo animal study can reach into the hundreds of thousands. The economically rational strategy is therefore to apply the fastest, most decisive filters first — culling weak candidates before expensive studies are ever funded.</w:t>
      </w:r>
    </w:p>
    <w:p>
      <w:pPr>
        <w:spacing w:after="150" w:line="292"/>
      </w:pPr>
      <w:r>
        <w:rPr>
          <w:rFonts w:ascii="Arial" w:cs="Arial" w:eastAsia="Arial" w:hAnsi="Arial"/>
          <w:b w:val="false"/>
          <w:bCs w:val="false"/>
          <w:i w:val="false"/>
          <w:iCs w:val="false"/>
          <w:color w:val="232333"/>
          <w:sz w:val="21"/>
          <w:szCs w:val="21"/>
        </w:rPr>
        <w:t xml:space="preserve">In practice this is hard to do well. The signals that should stop a molecule — a reactive structural motif, a cardiac liability, poor permeability, an unstable metabolic profile — are scattered across many tools, databases and specialist judgements, and assembling them into a single, defensible decision is slow. </w:t>
      </w:r>
      <w:r>
        <w:rPr>
          <w:rFonts w:ascii="Arial" w:cs="Arial" w:eastAsia="Arial" w:hAnsi="Arial"/>
          <w:b/>
          <w:bCs/>
          <w:i w:val="false"/>
          <w:iCs w:val="false"/>
          <w:color w:val="232333"/>
          <w:sz w:val="21"/>
          <w:szCs w:val="21"/>
        </w:rPr>
        <w:t xml:space="preserve">Hakase BioTwin consolidates that fragmented analysis into one cascading simulation that delivers a clear, evidence-backed verdict in hours.</w:t>
      </w:r>
      <w:r>
        <w:rPr>
          <w:rFonts w:ascii="Arial" w:cs="Arial" w:eastAsia="Arial" w:hAnsi="Arial"/>
          <w:b w:val="false"/>
          <w:bCs w:val="false"/>
          <w:i w:val="false"/>
          <w:iCs w:val="false"/>
          <w:color w:val="232333"/>
          <w:sz w:val="21"/>
          <w:szCs w:val="21"/>
        </w:rPr>
        <w:t xml:space="preserve"/>
      </w:r>
    </w:p>
    <w:p>
      <w:pPr>
        <w:pStyle w:val="Heading2"/>
        <w:keepNext/>
      </w:pPr>
      <w:r>
        <w:t xml:space="preserve">3.2  What Hakase BioTwin is</w:t>
      </w:r>
    </w:p>
    <w:p>
      <w:pPr>
        <w:spacing w:after="150" w:line="292"/>
      </w:pPr>
      <w:r>
        <w:rPr>
          <w:rFonts w:ascii="Arial" w:cs="Arial" w:eastAsia="Arial" w:hAnsi="Arial"/>
          <w:b w:val="false"/>
          <w:bCs w:val="false"/>
          <w:i w:val="false"/>
          <w:iCs w:val="false"/>
          <w:color w:val="232333"/>
          <w:sz w:val="21"/>
          <w:szCs w:val="21"/>
        </w:rPr>
        <w:t xml:space="preserve">Hakase BioTwin is a </w:t>
      </w:r>
      <w:r>
        <w:rPr>
          <w:rFonts w:ascii="Arial" w:cs="Arial" w:eastAsia="Arial" w:hAnsi="Arial"/>
          <w:b/>
          <w:bCs/>
          <w:i w:val="false"/>
          <w:iCs w:val="false"/>
          <w:color w:val="232333"/>
          <w:sz w:val="21"/>
          <w:szCs w:val="21"/>
        </w:rPr>
        <w:t xml:space="preserve">four-layer BioDigital Twin for preclinical drug development</w:t>
      </w:r>
      <w:r>
        <w:rPr>
          <w:rFonts w:ascii="Arial" w:cs="Arial" w:eastAsia="Arial" w:hAnsi="Arial"/>
          <w:b w:val="false"/>
          <w:bCs w:val="false"/>
          <w:i w:val="false"/>
          <w:iCs w:val="false"/>
          <w:color w:val="232333"/>
          <w:sz w:val="21"/>
          <w:szCs w:val="21"/>
        </w:rPr>
        <w:t xml:space="preserve">. Its input is a molecule’s chemical structure and, optionally, its protein target. Its output is a sealed, tamper-evident </w:t>
      </w:r>
      <w:r>
        <w:rPr>
          <w:rFonts w:ascii="Arial" w:cs="Arial" w:eastAsia="Arial" w:hAnsi="Arial"/>
          <w:b/>
          <w:bCs/>
          <w:i w:val="false"/>
          <w:iCs w:val="false"/>
          <w:color w:val="232333"/>
          <w:sz w:val="21"/>
          <w:szCs w:val="21"/>
        </w:rPr>
        <w:t xml:space="preserve">PreClinicalPackage</w:t>
      </w:r>
      <w:r>
        <w:rPr>
          <w:rFonts w:ascii="Arial" w:cs="Arial" w:eastAsia="Arial" w:hAnsi="Arial"/>
          <w:b w:val="false"/>
          <w:bCs w:val="false"/>
          <w:i w:val="false"/>
          <w:iCs w:val="false"/>
          <w:color w:val="232333"/>
          <w:sz w:val="21"/>
          <w:szCs w:val="21"/>
        </w:rPr>
        <w:t xml:space="preserve"> — a typed evidence bundle that a CRO, a regulator or a licensing partner can ingest directly. Everything the platform does is in service of producing that package cleanly and credibly.</w:t>
      </w:r>
    </w:p>
    <w:p>
      <w:pPr>
        <w:spacing w:after="150" w:line="292"/>
      </w:pPr>
      <w:r>
        <w:rPr>
          <w:rFonts w:ascii="Arial" w:cs="Arial" w:eastAsia="Arial" w:hAnsi="Arial"/>
          <w:b w:val="false"/>
          <w:bCs w:val="false"/>
          <w:i w:val="false"/>
          <w:iCs w:val="false"/>
          <w:color w:val="232333"/>
          <w:sz w:val="21"/>
          <w:szCs w:val="21"/>
        </w:rPr>
        <w:t xml:space="preserve">A molecule moves through four layers, advancing only as far as the evidence supports. Each layer hands a sealed evidence block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2"/>
              <w:left w:val="single" w:color="FFFFFF" w:sz="2"/>
              <w:bottom w:val="single" w:color="FFFFFF" w:sz="2"/>
              <w:right w:val="single" w:color="FFFFFF" w:sz="2"/>
            </w:tcBorders>
            <w:shd w:fill="6D28D9" w:val="clear"/>
            <w:tcMar>
              <w:top w:type="dxa" w:w="140"/>
              <w:left w:type="dxa" w:w="130"/>
              <w:bottom w:type="dxa" w:w="140"/>
              <w:right w:type="dxa" w:w="130"/>
            </w:tcMar>
            <w:vAlign w:val="top"/>
          </w:tcPr>
          <w:p>
            <w:pPr>
              <w:spacing w:after="40" w:line="250"/>
            </w:pPr>
            <w:r>
              <w:rPr>
                <w:rFonts w:ascii="Arial" w:cs="Arial" w:eastAsia="Arial" w:hAnsi="Arial"/>
                <w:b/>
                <w:bCs/>
                <w:i w:val="false"/>
                <w:iCs w:val="false"/>
                <w:color w:val="FFFFFF"/>
                <w:sz w:val="15"/>
                <w:szCs w:val="15"/>
              </w:rPr>
              <w:t xml:space="preserve">LAYER 1</w:t>
            </w:r>
          </w:p>
          <w:p>
            <w:pPr>
              <w:spacing w:after="75" w:line="252"/>
            </w:pPr>
            <w:r>
              <w:rPr>
                <w:rFonts w:ascii="Arial" w:cs="Arial" w:eastAsia="Arial" w:hAnsi="Arial"/>
                <w:b/>
                <w:bCs/>
                <w:i w:val="false"/>
                <w:iCs w:val="false"/>
                <w:color w:val="FFFFFF"/>
                <w:sz w:val="22"/>
                <w:szCs w:val="22"/>
              </w:rPr>
              <w:t xml:space="preserve">In-Vitro Twin</w:t>
            </w:r>
          </w:p>
          <w:p>
            <w:pPr>
              <w:spacing w:after="0" w:line="248"/>
            </w:pPr>
            <w:r>
              <w:rPr>
                <w:rFonts w:ascii="Arial" w:cs="Arial" w:eastAsia="Arial" w:hAnsi="Arial"/>
                <w:b w:val="false"/>
                <w:bCs w:val="false"/>
                <w:i w:val="false"/>
                <w:iCs w:val="false"/>
                <w:color w:val="FFFFFF"/>
                <w:sz w:val="16"/>
                <w:szCs w:val="16"/>
              </w:rPr>
              <w:t xml:space="preserve">Is the molecule drug-like, safe and worth advancing?</w:t>
            </w:r>
          </w:p>
        </w:tc>
        <w:tc>
          <w:tcPr>
            <w:tcW w:type="dxa" w:w="2340"/>
            <w:tcBorders>
              <w:top w:val="single" w:color="FFFFFF" w:sz="2"/>
              <w:left w:val="single" w:color="FFFFFF" w:sz="2"/>
              <w:bottom w:val="single" w:color="FFFFFF" w:sz="2"/>
              <w:right w:val="single" w:color="FFFFFF" w:sz="2"/>
            </w:tcBorders>
            <w:shd w:fill="0E7490" w:val="clear"/>
            <w:tcMar>
              <w:top w:type="dxa" w:w="140"/>
              <w:left w:type="dxa" w:w="130"/>
              <w:bottom w:type="dxa" w:w="140"/>
              <w:right w:type="dxa" w:w="130"/>
            </w:tcMar>
            <w:vAlign w:val="top"/>
          </w:tcPr>
          <w:p>
            <w:pPr>
              <w:spacing w:after="40" w:line="250"/>
            </w:pPr>
            <w:r>
              <w:rPr>
                <w:rFonts w:ascii="Arial" w:cs="Arial" w:eastAsia="Arial" w:hAnsi="Arial"/>
                <w:b/>
                <w:bCs/>
                <w:i w:val="false"/>
                <w:iCs w:val="false"/>
                <w:color w:val="FFFFFF"/>
                <w:sz w:val="15"/>
                <w:szCs w:val="15"/>
              </w:rPr>
              <w:t xml:space="preserve">LAYER 2</w:t>
            </w:r>
          </w:p>
          <w:p>
            <w:pPr>
              <w:spacing w:after="75" w:line="252"/>
            </w:pPr>
            <w:r>
              <w:rPr>
                <w:rFonts w:ascii="Arial" w:cs="Arial" w:eastAsia="Arial" w:hAnsi="Arial"/>
                <w:b/>
                <w:bCs/>
                <w:i w:val="false"/>
                <w:iCs w:val="false"/>
                <w:color w:val="FFFFFF"/>
                <w:sz w:val="22"/>
                <w:szCs w:val="22"/>
              </w:rPr>
              <w:t xml:space="preserve">Confirmation</w:t>
            </w:r>
          </w:p>
          <w:p>
            <w:pPr>
              <w:spacing w:after="0" w:line="248"/>
            </w:pPr>
            <w:r>
              <w:rPr>
                <w:rFonts w:ascii="Arial" w:cs="Arial" w:eastAsia="Arial" w:hAnsi="Arial"/>
                <w:b w:val="false"/>
                <w:bCs w:val="false"/>
                <w:i w:val="false"/>
                <w:iCs w:val="false"/>
                <w:color w:val="FFFFFF"/>
                <w:sz w:val="16"/>
                <w:szCs w:val="16"/>
              </w:rPr>
              <w:t xml:space="preserve">Do independent evidence streams corroborate Layer 1?</w:t>
            </w:r>
          </w:p>
        </w:tc>
        <w:tc>
          <w:tcPr>
            <w:tcW w:type="dxa" w:w="2340"/>
            <w:tcBorders>
              <w:top w:val="single" w:color="FFFFFF" w:sz="2"/>
              <w:left w:val="single" w:color="FFFFFF" w:sz="2"/>
              <w:bottom w:val="single" w:color="FFFFFF" w:sz="2"/>
              <w:right w:val="single" w:color="FFFFFF" w:sz="2"/>
            </w:tcBorders>
            <w:shd w:fill="B45309" w:val="clear"/>
            <w:tcMar>
              <w:top w:type="dxa" w:w="140"/>
              <w:left w:type="dxa" w:w="130"/>
              <w:bottom w:type="dxa" w:w="140"/>
              <w:right w:type="dxa" w:w="130"/>
            </w:tcMar>
            <w:vAlign w:val="top"/>
          </w:tcPr>
          <w:p>
            <w:pPr>
              <w:spacing w:after="40" w:line="250"/>
            </w:pPr>
            <w:r>
              <w:rPr>
                <w:rFonts w:ascii="Arial" w:cs="Arial" w:eastAsia="Arial" w:hAnsi="Arial"/>
                <w:b/>
                <w:bCs/>
                <w:i w:val="false"/>
                <w:iCs w:val="false"/>
                <w:color w:val="FFFFFF"/>
                <w:sz w:val="15"/>
                <w:szCs w:val="15"/>
              </w:rPr>
              <w:t xml:space="preserve">LAYER 3</w:t>
            </w:r>
          </w:p>
          <w:p>
            <w:pPr>
              <w:spacing w:after="75" w:line="252"/>
            </w:pPr>
            <w:r>
              <w:rPr>
                <w:rFonts w:ascii="Arial" w:cs="Arial" w:eastAsia="Arial" w:hAnsi="Arial"/>
                <w:b/>
                <w:bCs/>
                <w:i w:val="false"/>
                <w:iCs w:val="false"/>
                <w:color w:val="FFFFFF"/>
                <w:sz w:val="22"/>
                <w:szCs w:val="22"/>
              </w:rPr>
              <w:t xml:space="preserve">Animal Cohort</w:t>
            </w:r>
          </w:p>
          <w:p>
            <w:pPr>
              <w:spacing w:after="0" w:line="248"/>
            </w:pPr>
            <w:r>
              <w:rPr>
                <w:rFonts w:ascii="Arial" w:cs="Arial" w:eastAsia="Arial" w:hAnsi="Arial"/>
                <w:b w:val="false"/>
                <w:bCs w:val="false"/>
                <w:i w:val="false"/>
                <w:iCs w:val="false"/>
                <w:color w:val="FFFFFF"/>
                <w:sz w:val="16"/>
                <w:szCs w:val="16"/>
              </w:rPr>
              <w:t xml:space="preserve">What multi-species study, and what dose-defining numbers?</w:t>
            </w:r>
          </w:p>
        </w:tc>
        <w:tc>
          <w:tcPr>
            <w:tcW w:type="dxa" w:w="2340"/>
            <w:tcBorders>
              <w:top w:val="single" w:color="FFFFFF" w:sz="2"/>
              <w:left w:val="single" w:color="FFFFFF" w:sz="2"/>
              <w:bottom w:val="single" w:color="FFFFFF" w:sz="2"/>
              <w:right w:val="single" w:color="FFFFFF" w:sz="2"/>
            </w:tcBorders>
            <w:shd w:fill="047857" w:val="clear"/>
            <w:tcMar>
              <w:top w:type="dxa" w:w="140"/>
              <w:left w:type="dxa" w:w="130"/>
              <w:bottom w:type="dxa" w:w="140"/>
              <w:right w:type="dxa" w:w="130"/>
            </w:tcMar>
            <w:vAlign w:val="top"/>
          </w:tcPr>
          <w:p>
            <w:pPr>
              <w:spacing w:after="40" w:line="250"/>
            </w:pPr>
            <w:r>
              <w:rPr>
                <w:rFonts w:ascii="Arial" w:cs="Arial" w:eastAsia="Arial" w:hAnsi="Arial"/>
                <w:b/>
                <w:bCs/>
                <w:i w:val="false"/>
                <w:iCs w:val="false"/>
                <w:color w:val="FFFFFF"/>
                <w:sz w:val="15"/>
                <w:szCs w:val="15"/>
              </w:rPr>
              <w:t xml:space="preserve">LAYER 4</w:t>
            </w:r>
          </w:p>
          <w:p>
            <w:pPr>
              <w:spacing w:after="75" w:line="252"/>
            </w:pPr>
            <w:r>
              <w:rPr>
                <w:rFonts w:ascii="Arial" w:cs="Arial" w:eastAsia="Arial" w:hAnsi="Arial"/>
                <w:b/>
                <w:bCs/>
                <w:i w:val="false"/>
                <w:iCs w:val="false"/>
                <w:color w:val="FFFFFF"/>
                <w:sz w:val="22"/>
                <w:szCs w:val="22"/>
              </w:rPr>
              <w:t xml:space="preserve">FIH Readiness</w:t>
            </w:r>
          </w:p>
          <w:p>
            <w:pPr>
              <w:spacing w:after="0" w:line="248"/>
            </w:pPr>
            <w:r>
              <w:rPr>
                <w:rFonts w:ascii="Arial" w:cs="Arial" w:eastAsia="Arial" w:hAnsi="Arial"/>
                <w:b w:val="false"/>
                <w:bCs w:val="false"/>
                <w:i w:val="false"/>
                <w:iCs w:val="false"/>
                <w:color w:val="FFFFFF"/>
                <w:sz w:val="16"/>
                <w:szCs w:val="16"/>
              </w:rPr>
              <w:t xml:space="preserve">What starting dose and IND-enabling package follow?</w:t>
            </w:r>
          </w:p>
        </w:tc>
      </w:tr>
    </w:tbl>
    <w:p>
      <w:pPr>
        <w:spacing w:after="210" w:before="70" w:line="262"/>
      </w:pPr>
      <w:r>
        <w:rPr>
          <w:rFonts w:ascii="Arial" w:cs="Arial" w:eastAsia="Arial" w:hAnsi="Arial"/>
          <w:b w:val="false"/>
          <w:bCs w:val="false"/>
          <w:i/>
          <w:iCs/>
          <w:color w:val="595968"/>
          <w:sz w:val="17"/>
          <w:szCs w:val="17"/>
        </w:rPr>
        <w:t xml:space="preserve">The four-layer preclinical cascade. An IVIVE (in-vitro to in-vivo extrapolation) gate sits between Layer 2 and Layer 3, confirming the cross-species evidence is strong enough to justify animal-study design.</w:t>
      </w:r>
    </w:p>
    <w:p>
      <w:pPr>
        <w:pStyle w:val="Heading2"/>
        <w:keepNext/>
      </w:pPr>
      <w:r>
        <w:t xml:space="preserve">3.3  The zero-lab advantage</w:t>
      </w:r>
    </w:p>
    <w:p>
      <w:pPr>
        <w:spacing w:after="150" w:line="292"/>
      </w:pPr>
      <w:r>
        <w:rPr>
          <w:rFonts w:ascii="Arial" w:cs="Arial" w:eastAsia="Arial" w:hAnsi="Arial"/>
          <w:b w:val="false"/>
          <w:bCs w:val="false"/>
          <w:i w:val="false"/>
          <w:iCs w:val="false"/>
          <w:color w:val="232333"/>
          <w:sz w:val="21"/>
          <w:szCs w:val="21"/>
        </w:rPr>
        <w:t xml:space="preserve">Hakase BioTwin is a </w:t>
      </w:r>
      <w:r>
        <w:rPr>
          <w:rFonts w:ascii="Arial" w:cs="Arial" w:eastAsia="Arial" w:hAnsi="Arial"/>
          <w:b/>
          <w:bCs/>
          <w:i w:val="false"/>
          <w:iCs w:val="false"/>
          <w:color w:val="232333"/>
          <w:sz w:val="21"/>
          <w:szCs w:val="21"/>
        </w:rPr>
        <w:t xml:space="preserve">100% zero-lab in-silico cascade</w:t>
      </w:r>
      <w:r>
        <w:rPr>
          <w:rFonts w:ascii="Arial" w:cs="Arial" w:eastAsia="Arial" w:hAnsi="Arial"/>
          <w:b w:val="false"/>
          <w:bCs w:val="false"/>
          <w:i w:val="false"/>
          <w:iCs w:val="false"/>
          <w:color w:val="232333"/>
          <w:sz w:val="21"/>
          <w:szCs w:val="21"/>
        </w:rPr>
        <w:t xml:space="preserve">. The pipeline is software-only from the molecule’s structure all the way to FIH readiness — no physical assays, no tissue chips, no organoids in the path. Where the pipeline needs tissue-level or cell-type-level evidence, it builds a high-fidelity </w:t>
      </w:r>
      <w:r>
        <w:rPr>
          <w:rFonts w:ascii="Arial" w:cs="Arial" w:eastAsia="Arial" w:hAnsi="Arial"/>
          <w:b/>
          <w:bCs/>
          <w:i w:val="false"/>
          <w:iCs w:val="false"/>
          <w:color w:val="232333"/>
          <w:sz w:val="21"/>
          <w:szCs w:val="21"/>
        </w:rPr>
        <w:t xml:space="preserve">computational tissue simulation</w:t>
      </w:r>
      <w:r>
        <w:rPr>
          <w:rFonts w:ascii="Arial" w:cs="Arial" w:eastAsia="Arial" w:hAnsi="Arial"/>
          <w:b w:val="false"/>
          <w:bCs w:val="false"/>
          <w:i w:val="false"/>
          <w:iCs w:val="false"/>
          <w:color w:val="232333"/>
          <w:sz w:val="21"/>
          <w:szCs w:val="21"/>
        </w:rPr>
        <w:t xml:space="preserve"> from leading public reference data — the GTEx tissue-expression atlas, the Tabula Sapiens cell-type atlas and the DepMap cell-line panel.</w:t>
      </w:r>
    </w:p>
    <w:p>
      <w:pPr>
        <w:spacing w:after="150" w:line="292"/>
      </w:pPr>
      <w:r>
        <w:rPr>
          <w:rFonts w:ascii="Arial" w:cs="Arial" w:eastAsia="Arial" w:hAnsi="Arial"/>
          <w:b w:val="false"/>
          <w:bCs w:val="false"/>
          <w:i w:val="false"/>
          <w:iCs w:val="false"/>
          <w:color w:val="232333"/>
          <w:sz w:val="21"/>
          <w:szCs w:val="21"/>
        </w:rPr>
        <w:t xml:space="preserve">This is not a refusal to use real data. Where a team holds genuine measured values — from the published literature or from their own bench or CRO work — they can enter those as curated inputs, and the platform weights them accordingly and carries them through to the final package. What zero-lab removes is the </w:t>
      </w:r>
      <w:r>
        <w:rPr>
          <w:rFonts w:ascii="Arial" w:cs="Arial" w:eastAsia="Arial" w:hAnsi="Arial"/>
          <w:b/>
          <w:bCs/>
          <w:i w:val="false"/>
          <w:iCs w:val="false"/>
          <w:color w:val="232333"/>
          <w:sz w:val="21"/>
          <w:szCs w:val="21"/>
        </w:rPr>
        <w:t xml:space="preserve">dependency</w:t>
      </w:r>
      <w:r>
        <w:rPr>
          <w:rFonts w:ascii="Arial" w:cs="Arial" w:eastAsia="Arial" w:hAnsi="Arial"/>
          <w:b w:val="false"/>
          <w:bCs w:val="false"/>
          <w:i w:val="false"/>
          <w:iCs w:val="false"/>
          <w:color w:val="232333"/>
          <w:sz w:val="21"/>
          <w:szCs w:val="21"/>
        </w:rPr>
        <w:t xml:space="preserve">: no CRO scheduling, no chip-vendor data-access agreements, no months of turnaround. A run takes hours, scales to hundreds of molecules at once, and keeps a team’s proprietary chemistry under its own control.</w:t>
      </w:r>
    </w:p>
    <w:p>
      <w:pPr>
        <w:pStyle w:val="Heading2"/>
        <w:keepNext/>
      </w:pPr>
      <w:r>
        <w:t xml:space="preserve">3.4  Evidence you can trust</w:t>
      </w:r>
    </w:p>
    <w:p>
      <w:pPr>
        <w:spacing w:after="150" w:line="292"/>
      </w:pPr>
      <w:r>
        <w:rPr>
          <w:rFonts w:ascii="Arial" w:cs="Arial" w:eastAsia="Arial" w:hAnsi="Arial"/>
          <w:b w:val="false"/>
          <w:bCs w:val="false"/>
          <w:i w:val="false"/>
          <w:iCs w:val="false"/>
          <w:color w:val="232333"/>
          <w:sz w:val="21"/>
          <w:szCs w:val="21"/>
        </w:rPr>
        <w:t xml:space="preserve">In a regulated industry, a prediction is only as valuable as the trust a team can place in it. Hakase BioTwin is engineered so that every number it produces is </w:t>
      </w:r>
      <w:r>
        <w:rPr>
          <w:rFonts w:ascii="Arial" w:cs="Arial" w:eastAsia="Arial" w:hAnsi="Arial"/>
          <w:b/>
          <w:bCs/>
          <w:i w:val="false"/>
          <w:iCs w:val="false"/>
          <w:color w:val="232333"/>
          <w:sz w:val="21"/>
          <w:szCs w:val="21"/>
        </w:rPr>
        <w:t xml:space="preserve">traceable to its source and labelled by evidence grade</w:t>
      </w:r>
      <w:r>
        <w:rPr>
          <w:rFonts w:ascii="Arial" w:cs="Arial" w:eastAsia="Arial" w:hAnsi="Arial"/>
          <w:b w:val="false"/>
          <w:bCs w:val="false"/>
          <w:i w:val="false"/>
          <w:iCs w:val="false"/>
          <w:color w:val="232333"/>
          <w:sz w:val="21"/>
          <w:szCs w:val="21"/>
        </w:rPr>
        <w:t xml:space="preserve">. A reviewer, a partner or a regulator can see exactly how each value was derived — whether it came from an exact measurement, a close measured analogue, a trained model or a calibrated estimate. Where a value cannot be derived with confidence, the platform says so clearly rather than presenting a placeholder. This discipline is what turns model outputs into </w:t>
      </w:r>
      <w:r>
        <w:rPr>
          <w:rFonts w:ascii="Arial" w:cs="Arial" w:eastAsia="Arial" w:hAnsi="Arial"/>
          <w:b/>
          <w:bCs/>
          <w:i w:val="false"/>
          <w:iCs w:val="false"/>
          <w:color w:val="232333"/>
          <w:sz w:val="21"/>
          <w:szCs w:val="21"/>
        </w:rPr>
        <w:t xml:space="preserve">defensible evidence</w:t>
      </w:r>
      <w:r>
        <w:rPr>
          <w:rFonts w:ascii="Arial" w:cs="Arial" w:eastAsia="Arial" w:hAnsi="Arial"/>
          <w:b w:val="false"/>
          <w:bCs w:val="false"/>
          <w:i w:val="false"/>
          <w:iCs w:val="false"/>
          <w:color w:val="232333"/>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6310"/>
      </w:tblGrid>
      <w:tr>
        <w:trPr>
          <w:tblHeader/>
        </w:trPr>
        <w:tc>
          <w:tcPr>
            <w:tcW w:type="dxa" w:w="205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Evidence grade</w:t>
            </w:r>
          </w:p>
        </w:tc>
        <w:tc>
          <w:tcPr>
            <w:tcW w:type="dxa" w:w="10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center"/>
            </w:pPr>
            <w:r>
              <w:rPr>
                <w:rFonts w:ascii="Arial" w:cs="Arial" w:eastAsia="Arial" w:hAnsi="Arial"/>
                <w:b/>
                <w:bCs/>
                <w:i w:val="false"/>
                <w:iCs w:val="false"/>
                <w:color w:val="FFFFFF"/>
                <w:sz w:val="19"/>
                <w:szCs w:val="19"/>
              </w:rPr>
              <w:t xml:space="preserve">Weight</w:t>
            </w:r>
          </w:p>
        </w:tc>
        <w:tc>
          <w:tcPr>
            <w:tcW w:type="dxa" w:w="631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Meaning</w:t>
            </w:r>
          </w:p>
        </w:tc>
      </w:tr>
      <w:tr>
        <w:tc>
          <w:tcPr>
            <w:tcW w:type="dxa" w:w="20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Experimental</w:t>
            </w:r>
          </w:p>
        </w:tc>
        <w:tc>
          <w:tcPr>
            <w:tcW w:type="dxa" w:w="10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0.90</w:t>
            </w:r>
          </w:p>
        </w:tc>
        <w:tc>
          <w:tcPr>
            <w:tcW w:type="dxa" w:w="63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An exact match to a measured value for this compound.</w:t>
            </w:r>
          </w:p>
        </w:tc>
      </w:tr>
      <w:tr>
        <w:tc>
          <w:tcPr>
            <w:tcW w:type="dxa" w:w="20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Enriched</w:t>
            </w:r>
          </w:p>
        </w:tc>
        <w:tc>
          <w:tcPr>
            <w:tcW w:type="dxa" w:w="10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0.80</w:t>
            </w:r>
          </w:p>
        </w:tc>
        <w:tc>
          <w:tcPr>
            <w:tcW w:type="dxa" w:w="63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Inferred from a close, measured analogue by structural similarity.</w:t>
            </w:r>
          </w:p>
        </w:tc>
      </w:tr>
      <w:tr>
        <w:tc>
          <w:tcPr>
            <w:tcW w:type="dxa" w:w="20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ML</w:t>
            </w:r>
          </w:p>
        </w:tc>
        <w:tc>
          <w:tcPr>
            <w:tcW w:type="dxa" w:w="10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0.70</w:t>
            </w:r>
          </w:p>
        </w:tc>
        <w:tc>
          <w:tcPr>
            <w:tcW w:type="dxa" w:w="63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Produced by a validated, trained machine-learning model.</w:t>
            </w:r>
          </w:p>
        </w:tc>
      </w:tr>
      <w:tr>
        <w:tc>
          <w:tcPr>
            <w:tcW w:type="dxa" w:w="20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Structural</w:t>
            </w:r>
          </w:p>
        </w:tc>
        <w:tc>
          <w:tcPr>
            <w:tcW w:type="dxa" w:w="10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0.60</w:t>
            </w:r>
          </w:p>
        </w:tc>
        <w:tc>
          <w:tcPr>
            <w:tcW w:type="dxa" w:w="63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deterministic match to a validated structural rule.</w:t>
            </w:r>
          </w:p>
        </w:tc>
      </w:tr>
      <w:tr>
        <w:tc>
          <w:tcPr>
            <w:tcW w:type="dxa" w:w="20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Heuristic</w:t>
            </w:r>
          </w:p>
        </w:tc>
        <w:tc>
          <w:tcPr>
            <w:tcW w:type="dxa" w:w="10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0.50</w:t>
            </w:r>
          </w:p>
        </w:tc>
        <w:tc>
          <w:tcPr>
            <w:tcW w:type="dxa" w:w="63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calibrated, model-based estimate from molecular structure.</w:t>
            </w:r>
          </w:p>
        </w:tc>
      </w:tr>
      <w:tr>
        <w:tc>
          <w:tcPr>
            <w:tcW w:type="dxa" w:w="20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Unavailable</w:t>
            </w:r>
          </w:p>
        </w:tc>
        <w:tc>
          <w:tcPr>
            <w:tcW w:type="dxa" w:w="10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w:t>
            </w:r>
          </w:p>
        </w:tc>
        <w:tc>
          <w:tcPr>
            <w:tcW w:type="dxa" w:w="63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No confident value could be derived; the field is shown as empty, never invented.</w:t>
            </w:r>
          </w:p>
        </w:tc>
      </w:tr>
    </w:tbl>
    <w:p>
      <w:pPr>
        <w:spacing w:after="60" w:line="292"/>
      </w:pPr>
      <w:r>
        <w:rPr>
          <w:rFonts w:ascii="Arial" w:cs="Arial" w:eastAsia="Arial" w:hAnsi="Arial"/>
          <w:b w:val="false"/>
          <w:bCs w:val="false"/>
          <w:i w:val="false"/>
          <w:iCs w:val="false"/>
          <w:color w:val="232333"/>
          <w:sz w:val="21"/>
          <w:szCs w:val="21"/>
        </w:rPr>
        <w:t xml:space="preserve">When an external reference database is briefly unavailable, the platform states this openly and confirms that no substitute values were introduced. That same transparency runs through every layer of the cascade — and it is the foundation the governance and regulatory story in Section 7 is built on.</w:t>
      </w:r>
    </w:p>
    <w:p>
      <w:pPr>
        <w:pStyle w:val="Heading2"/>
        <w:keepNext/>
      </w:pPr>
      <w:r>
        <w:t xml:space="preserve">3.5  The pipeline at a glance</w:t>
      </w:r>
    </w:p>
    <w:p>
      <w:pPr>
        <w:spacing w:after="150" w:line="292"/>
      </w:pPr>
      <w:r>
        <w:rPr>
          <w:rFonts w:ascii="Arial" w:cs="Arial" w:eastAsia="Arial" w:hAnsi="Arial"/>
          <w:b w:val="false"/>
          <w:bCs w:val="false"/>
          <w:i w:val="false"/>
          <w:iCs w:val="false"/>
          <w:color w:val="232333"/>
          <w:sz w:val="21"/>
          <w:szCs w:val="21"/>
        </w:rPr>
        <w:t xml:space="preserve">A typical single-compound run proceeds as follows. The user enters a molecule’s structure and, ideally, its protein target and a therapeutic-area preset. Layer 1 profiles the molecule and returns a clear GO / WATCH / NO-GO verdict in seconds. If the verdict and its evidence quality clear the platform’s quality gate, the molecule advances to Layer 2, where independent in-silico and ex-vivo evidence streams are reconciled and a Confirmation block is sealed. The IVIVE gate then confirms the cross-species evidence is strong enough; Layer 3 runs the simulated animal-study battery and derives a human-equivalent dose; and Layer 4 converts the full evidence chain into a First-In-Human strategy and an IND-readiness assessment. The next section walks through each layer in detail.</w:t>
      </w:r>
    </w:p>
    <w:p>
      <w:pPr>
        <w:pStyle w:val="Heading1"/>
        <w:keepNext/>
        <w:pageBreakBefore/>
      </w:pPr>
      <w:r>
        <w:t xml:space="preserve">4.  Inside the Platform — The Four-Layer Cascade</w:t>
      </w:r>
    </w:p>
    <w:p>
      <w:pPr>
        <w:spacing w:after="150" w:line="292"/>
      </w:pPr>
      <w:r>
        <w:rPr>
          <w:rFonts w:ascii="Arial" w:cs="Arial" w:eastAsia="Arial" w:hAnsi="Arial"/>
          <w:b w:val="false"/>
          <w:bCs w:val="false"/>
          <w:i w:val="false"/>
          <w:iCs w:val="false"/>
          <w:color w:val="232333"/>
          <w:sz w:val="21"/>
          <w:szCs w:val="21"/>
        </w:rPr>
        <w:t xml:space="preserve">The order of the four layers follows the cost curve of Section 3.1: the fastest and most decisive filters run first, so weak candidates are removed before expensive steps are funded. Every layer produces a sealed evidence block, and every layer is transparent — each stage reports its status explicitly, so a reviewer always knows precisely what was computed and what was not.</w:t>
      </w:r>
    </w:p>
    <w:p>
      <w:pPr>
        <w:pStyle w:val="Heading2"/>
        <w:keepNext/>
      </w:pPr>
      <w:r>
        <w:t xml:space="preserve">4.1  Layer 1 — In-Vitro Digital Twin</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Purpose.</w:t>
      </w:r>
      <w:r>
        <w:rPr>
          <w:rFonts w:ascii="Arial" w:cs="Arial" w:eastAsia="Arial" w:hAnsi="Arial"/>
          <w:b w:val="false"/>
          <w:bCs w:val="false"/>
          <w:i w:val="false"/>
          <w:iCs w:val="false"/>
          <w:color w:val="232333"/>
          <w:sz w:val="21"/>
          <w:szCs w:val="21"/>
        </w:rPr>
        <w:t xml:space="preserve"> Take a molecule’s structure and an optional target, and produce a full molecular profile — physicochemistry, ADMET, permeability, metabolism, cardiac and hepatic safety, structural liabilities and a binding estimate — together with a headline GO / WATCH / NO-GO verdict. Layer 1 answers the first question: is this molecule drug-like, safe, and worth advancing?</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Inputs.</w:t>
      </w:r>
      <w:r>
        <w:rPr>
          <w:rFonts w:ascii="Arial" w:cs="Arial" w:eastAsia="Arial" w:hAnsi="Arial"/>
          <w:b w:val="false"/>
          <w:bCs w:val="false"/>
          <w:i w:val="false"/>
          <w:iCs w:val="false"/>
          <w:color w:val="232333"/>
          <w:sz w:val="21"/>
          <w:szCs w:val="21"/>
        </w:rPr>
        <w:t xml:space="preserve"> The user supplies the molecule’s structure (validated in real time), an optional name, an optional protein target, an optional structure code, and a therapeutic-area preset — Oncology, CNS, Cardiovascular, Anti-infective, Metabolic, Rare Disease or Immunology — which tunes the analysis. Molecules can also be imported directly by identifier from major chemical databases, from a structure file, or as a batch of up to 500 compounds for screening.</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Three engines, working in parallel.</w:t>
      </w:r>
      <w:r>
        <w:rPr>
          <w:rFonts w:ascii="Arial" w:cs="Arial" w:eastAsia="Arial" w:hAnsi="Arial"/>
          <w:b w:val="false"/>
          <w:bCs w:val="false"/>
          <w:i w:val="false"/>
          <w:iCs w:val="false"/>
          <w:color w:val="232333"/>
          <w:sz w:val="21"/>
          <w:szCs w:val="21"/>
        </w:rPr>
        <w:t xml:space="preserve"> Every Layer 1 run executes three independent analytical engines at once, so a team sees corroboration — or a clearly flagged disagreement — rather than a single unexamined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Engine</w:t>
            </w:r>
          </w:p>
        </w:tc>
        <w:tc>
          <w:tcPr>
            <w:tcW w:type="dxa" w:w="23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Approach</w:t>
            </w:r>
          </w:p>
        </w:tc>
        <w:tc>
          <w:tcPr>
            <w:tcW w:type="dxa" w:w="51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delivers</w:t>
            </w:r>
          </w:p>
        </w:tc>
      </w:tr>
      <w:tr>
        <w:tc>
          <w:tcPr>
            <w:tcW w:type="dxa" w:w="19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ADMET engine</w:t>
            </w:r>
          </w:p>
        </w:tc>
        <w:tc>
          <w:tcPr>
            <w:tcW w:type="dxa" w:w="23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Calibrated, structure-based modelling</w:t>
            </w:r>
          </w:p>
        </w:tc>
        <w:tc>
          <w:tcPr>
            <w:tcW w:type="dxa" w:w="51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five-axis ADMET profile, toxicity alerts, organ-risk indicators, drug-likeness analysis and the GO/NO-GO verdict.</w:t>
            </w:r>
          </w:p>
        </w:tc>
      </w:tr>
      <w:tr>
        <w:tc>
          <w:tcPr>
            <w:tcW w:type="dxa" w:w="19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In-vitro engine</w:t>
            </w:r>
          </w:p>
        </w:tc>
        <w:tc>
          <w:tcPr>
            <w:tcW w:type="dxa" w:w="23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Calibrated, structure-based modelling</w:t>
            </w:r>
          </w:p>
        </w:tc>
        <w:tc>
          <w:tcPr>
            <w:tcW w:type="dxa" w:w="51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wet-lab-style assay panel: dose-response, permeability, metabolic stability, enzyme-inhibition panel, plasma binding, cardiac safety and selectivity.</w:t>
            </w:r>
          </w:p>
        </w:tc>
      </w:tr>
      <w:tr>
        <w:tc>
          <w:tcPr>
            <w:tcW w:type="dxa" w:w="19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Machine-learning suite</w:t>
            </w:r>
          </w:p>
        </w:tc>
        <w:tc>
          <w:tcPr>
            <w:tcW w:type="dxa" w:w="23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Six independently trained ML models</w:t>
            </w:r>
          </w:p>
        </w:tc>
        <w:tc>
          <w:tcPr>
            <w:tcW w:type="dxa" w:w="51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Independent, higher-resolution predictions that take priority when available — each a methodologically distinct second opinion.</w:t>
            </w:r>
          </w:p>
        </w:tc>
      </w:tr>
    </w:tbl>
    <w:p>
      <w:pPr>
        <w:spacing w:after="150" w:line="292"/>
      </w:pPr>
      <w:r>
        <w:rPr>
          <w:rFonts w:ascii="Arial" w:cs="Arial" w:eastAsia="Arial" w:hAnsi="Arial"/>
          <w:b w:val="false"/>
          <w:bCs w:val="false"/>
          <w:i w:val="false"/>
          <w:iCs w:val="false"/>
          <w:color w:val="232333"/>
          <w:sz w:val="21"/>
          <w:szCs w:val="21"/>
        </w:rPr>
        <w:t xml:space="preserve">Several panels show the machine-learning result and the calibrated model result side by side, so a reviewer can see at a glance where they agree — and confidence is highest where they do.</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What the run computes.</w:t>
      </w:r>
      <w:r>
        <w:rPr>
          <w:rFonts w:ascii="Arial" w:cs="Arial" w:eastAsia="Arial" w:hAnsi="Arial"/>
          <w:b w:val="false"/>
          <w:bCs w:val="false"/>
          <w:i w:val="false"/>
          <w:iCs w:val="false"/>
          <w:color w:val="232333"/>
          <w:sz w:val="21"/>
          <w:szCs w:val="21"/>
        </w:rPr>
        <w:t xml:space="preserve"> On each run, Layer 1 computes roughly forty exact molecular descriptors, retrieves target metadata and 3D structure from public reference databases, predicts solubility and binding affinity, runs a full ADMET prediction across 50+ endpoints, runs dedicated cardiac and hepatic safety classifiers, synthesises the in-vitro assay panel, and produces a weighted GO/NO-GO score with a clear rationale. A standard run completes in 5–30 seconds.</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Results and the quality gate.</w:t>
      </w:r>
      <w:r>
        <w:rPr>
          <w:rFonts w:ascii="Arial" w:cs="Arial" w:eastAsia="Arial" w:hAnsi="Arial"/>
          <w:b w:val="false"/>
          <w:bCs w:val="false"/>
          <w:i w:val="false"/>
          <w:iCs w:val="false"/>
          <w:color w:val="232333"/>
          <w:sz w:val="21"/>
          <w:szCs w:val="21"/>
        </w:rPr>
        <w:t xml:space="preserve"> The results panel presents the molecule’s profile as an ADMET consensus radar, paired cardiac and hepatic safety cards, a binding panel, a selectivity panel, the headline verdict with its supporting rationale, and a recommendations block. A built-in </w:t>
      </w:r>
      <w:r>
        <w:rPr>
          <w:rFonts w:ascii="Arial" w:cs="Arial" w:eastAsia="Arial" w:hAnsi="Arial"/>
          <w:b/>
          <w:bCs/>
          <w:i w:val="false"/>
          <w:iCs w:val="false"/>
          <w:color w:val="232333"/>
          <w:sz w:val="21"/>
          <w:szCs w:val="21"/>
        </w:rPr>
        <w:t xml:space="preserve">quality gate</w:t>
      </w:r>
      <w:r>
        <w:rPr>
          <w:rFonts w:ascii="Arial" w:cs="Arial" w:eastAsia="Arial" w:hAnsi="Arial"/>
          <w:b w:val="false"/>
          <w:bCs w:val="false"/>
          <w:i w:val="false"/>
          <w:iCs w:val="false"/>
          <w:color w:val="232333"/>
          <w:sz w:val="21"/>
          <w:szCs w:val="21"/>
        </w:rPr>
        <w:t xml:space="preserve"> then reviews the evidence grade of every output and decides whether the molecule may advance automatically to Layer 2 — a transparent, logged checkpoint that keeps weak candidates from progressing on thin evidence.</w:t>
      </w:r>
    </w:p>
    <w:p>
      <w:pPr>
        <w:pStyle w:val="Heading2"/>
        <w:keepNext/>
      </w:pPr>
      <w:r>
        <w:t xml:space="preserve">4.2  Layer 2 — The Confirmation Layer</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Purpose.</w:t>
      </w:r>
      <w:r>
        <w:rPr>
          <w:rFonts w:ascii="Arial" w:cs="Arial" w:eastAsia="Arial" w:hAnsi="Arial"/>
          <w:b w:val="false"/>
          <w:bCs w:val="false"/>
          <w:i w:val="false"/>
          <w:iCs w:val="false"/>
          <w:color w:val="232333"/>
          <w:sz w:val="21"/>
          <w:szCs w:val="21"/>
        </w:rPr>
        <w:t xml:space="preserve"> Take the Layer 1 profile and put it to the test. Layer 2 adds independent in-silico evidence — molecular docking, ML affinity, physiologically-based pharmacokinetic (PBPK) modelling and dose projection — and a parallel ex-vivo evidence stream, then reconciles every prediction against any measured data the team supplies. Layer 2 answers the second question: do independent lines of evidence corroborate what Layer 1 said?</w:t>
      </w:r>
    </w:p>
    <w:p>
      <w:pPr>
        <w:spacing w:after="150" w:line="292"/>
      </w:pPr>
      <w:r>
        <w:rPr>
          <w:rFonts w:ascii="Arial" w:cs="Arial" w:eastAsia="Arial" w:hAnsi="Arial"/>
          <w:b w:val="false"/>
          <w:bCs w:val="false"/>
          <w:i w:val="false"/>
          <w:iCs w:val="false"/>
          <w:color w:val="232333"/>
          <w:sz w:val="21"/>
          <w:szCs w:val="21"/>
        </w:rPr>
        <w:t xml:space="preserve">Layer 2 has two complementary halves. The first is a </w:t>
      </w:r>
      <w:r>
        <w:rPr>
          <w:rFonts w:ascii="Arial" w:cs="Arial" w:eastAsia="Arial" w:hAnsi="Arial"/>
          <w:b/>
          <w:bCs/>
          <w:i w:val="false"/>
          <w:iCs w:val="false"/>
          <w:color w:val="232333"/>
          <w:sz w:val="21"/>
          <w:szCs w:val="21"/>
        </w:rPr>
        <w:t xml:space="preserve">ten-stage in-silico pipeline</w:t>
      </w:r>
      <w:r>
        <w:rPr>
          <w:rFonts w:ascii="Arial" w:cs="Arial" w:eastAsia="Arial" w:hAnsi="Arial"/>
          <w:b w:val="false"/>
          <w:bCs w:val="false"/>
          <w:i w:val="false"/>
          <w:iCs w:val="false"/>
          <w:color w:val="232333"/>
          <w:sz w:val="21"/>
          <w:szCs w:val="21"/>
        </w:rPr>
        <w:t xml:space="preserve"> that builds out the molecule’s pharmacology and pharmacokinetics. The second is the </w:t>
      </w:r>
      <w:r>
        <w:rPr>
          <w:rFonts w:ascii="Arial" w:cs="Arial" w:eastAsia="Arial" w:hAnsi="Arial"/>
          <w:b/>
          <w:bCs/>
          <w:i w:val="false"/>
          <w:iCs w:val="false"/>
          <w:color w:val="232333"/>
          <w:sz w:val="21"/>
          <w:szCs w:val="21"/>
        </w:rPr>
        <w:t xml:space="preserve">Confirmation Engine</w:t>
      </w:r>
      <w:r>
        <w:rPr>
          <w:rFonts w:ascii="Arial" w:cs="Arial" w:eastAsia="Arial" w:hAnsi="Arial"/>
          <w:b w:val="false"/>
          <w:bCs w:val="false"/>
          <w:i w:val="false"/>
          <w:iCs w:val="false"/>
          <w:color w:val="232333"/>
          <w:sz w:val="21"/>
          <w:szCs w:val="21"/>
        </w:rPr>
        <w:t xml:space="preserve">, a governance framework that reconciles every prediction against real-world data and seals the result.</w:t>
      </w:r>
    </w:p>
    <w:p>
      <w:pPr>
        <w:pStyle w:val="Heading3"/>
        <w:keepNext/>
      </w:pPr>
      <w:r>
        <w:t xml:space="preserve">The ten-stage in-silico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6340"/>
      </w:tblGrid>
      <w:tr>
        <w:trPr>
          <w:tblHeader/>
        </w:trPr>
        <w:tc>
          <w:tcPr>
            <w:tcW w:type="dxa" w:w="52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center"/>
            </w:pPr>
            <w:r>
              <w:rPr>
                <w:rFonts w:ascii="Arial" w:cs="Arial" w:eastAsia="Arial" w:hAnsi="Arial"/>
                <w:b/>
                <w:bCs/>
                <w:i w:val="false"/>
                <w:iCs w:val="false"/>
                <w:color w:val="FFFFFF"/>
                <w:sz w:val="19"/>
                <w:szCs w:val="19"/>
              </w:rPr>
              <w:t xml:space="preserve">#</w:t>
            </w:r>
          </w:p>
        </w:tc>
        <w:tc>
          <w:tcPr>
            <w:tcW w:type="dxa" w:w="25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Stage</w:t>
            </w:r>
          </w:p>
        </w:tc>
        <w:tc>
          <w:tcPr>
            <w:tcW w:type="dxa" w:w="634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does</w:t>
            </w:r>
          </w:p>
        </w:tc>
      </w:tr>
      <w:tr>
        <w:tc>
          <w:tcPr>
            <w:tcW w:type="dxa" w:w="52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0</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Ingest Layer 1</w:t>
            </w:r>
          </w:p>
        </w:tc>
        <w:tc>
          <w:tcPr>
            <w:tcW w:type="dxa" w:w="63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Freezes the Layer 1 profile and links it as the evidence baseline.</w:t>
            </w:r>
          </w:p>
        </w:tc>
      </w:tr>
      <w:tr>
        <w:tc>
          <w:tcPr>
            <w:tcW w:type="dxa" w:w="52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1</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Target druggability</w:t>
            </w:r>
          </w:p>
        </w:tc>
        <w:tc>
          <w:tcPr>
            <w:tcW w:type="dxa" w:w="63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Protein-language-model assessment of how druggable the target is.</w:t>
            </w:r>
          </w:p>
        </w:tc>
      </w:tr>
      <w:tr>
        <w:tc>
          <w:tcPr>
            <w:tcW w:type="dxa" w:w="52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2</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Molecular docking</w:t>
            </w:r>
          </w:p>
        </w:tc>
        <w:tc>
          <w:tcPr>
            <w:tcW w:type="dxa" w:w="63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Physical docking against a quality-ranked protein structure (opt-in).</w:t>
            </w:r>
          </w:p>
        </w:tc>
      </w:tr>
      <w:tr>
        <w:tc>
          <w:tcPr>
            <w:tcW w:type="dxa" w:w="52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3</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ML affinity cross-check</w:t>
            </w:r>
          </w:p>
        </w:tc>
        <w:tc>
          <w:tcPr>
            <w:tcW w:type="dxa" w:w="63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An independent binding model tested against the Layer 1 estimate.</w:t>
            </w:r>
          </w:p>
        </w:tc>
      </w:tr>
      <w:tr>
        <w:tc>
          <w:tcPr>
            <w:tcW w:type="dxa" w:w="52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4</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Selectivity &amp; cardiac safety</w:t>
            </w:r>
          </w:p>
        </w:tc>
        <w:tc>
          <w:tcPr>
            <w:tcW w:type="dxa" w:w="63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An independent cardiac-safety classifier and a selectivity consensus check.</w:t>
            </w:r>
          </w:p>
        </w:tc>
      </w:tr>
      <w:tr>
        <w:tc>
          <w:tcPr>
            <w:tcW w:type="dxa" w:w="52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5</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Free-energy refinement</w:t>
            </w:r>
          </w:p>
        </w:tc>
        <w:tc>
          <w:tcPr>
            <w:tcW w:type="dxa" w:w="63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Rigorous free-energy perturbation on GPU for high-precision affinity (opt-in).</w:t>
            </w:r>
          </w:p>
        </w:tc>
      </w:tr>
      <w:tr>
        <w:tc>
          <w:tcPr>
            <w:tcW w:type="dxa" w:w="52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6</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PBPK projection</w:t>
            </w:r>
          </w:p>
        </w:tc>
        <w:tc>
          <w:tcPr>
            <w:tcW w:type="dxa" w:w="63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two-compartment pharmacokinetic model of how the drug moves through the body.</w:t>
            </w:r>
          </w:p>
        </w:tc>
      </w:tr>
      <w:tr>
        <w:tc>
          <w:tcPr>
            <w:tcW w:type="dxa" w:w="52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7</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Pharmacodynamic coupling</w:t>
            </w:r>
          </w:p>
        </w:tc>
        <w:tc>
          <w:tcPr>
            <w:tcW w:type="dxa" w:w="63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receptor-occupancy curve linking concentration to biological effect over time.</w:t>
            </w:r>
          </w:p>
        </w:tc>
      </w:tr>
      <w:tr>
        <w:tc>
          <w:tcPr>
            <w:tcW w:type="dxa" w:w="52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8</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Therapeutic-index ranking</w:t>
            </w:r>
          </w:p>
        </w:tc>
        <w:tc>
          <w:tcPr>
            <w:tcW w:type="dxa" w:w="634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first-pass human dose and the safety margins around it.</w:t>
            </w:r>
          </w:p>
        </w:tc>
      </w:tr>
      <w:tr>
        <w:tc>
          <w:tcPr>
            <w:tcW w:type="dxa" w:w="52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9</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Output &amp; handoff</w:t>
            </w:r>
          </w:p>
        </w:tc>
        <w:tc>
          <w:tcPr>
            <w:tcW w:type="dxa" w:w="634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Assembles the confirmed Layer 2 evidence block for handoff.</w:t>
            </w:r>
          </w:p>
        </w:tc>
      </w:tr>
    </w:tbl>
    <w:p>
      <w:pPr>
        <w:spacing w:after="150" w:line="292"/>
      </w:pPr>
      <w:r>
        <w:rPr>
          <w:rFonts w:ascii="Arial" w:cs="Arial" w:eastAsia="Arial" w:hAnsi="Arial"/>
          <w:b w:val="false"/>
          <w:bCs w:val="false"/>
          <w:i w:val="false"/>
          <w:iCs w:val="false"/>
          <w:color w:val="232333"/>
          <w:sz w:val="21"/>
          <w:szCs w:val="21"/>
        </w:rPr>
        <w:t xml:space="preserve">Two of the ten stages — molecular docking and free-energy refinement — are </w:t>
      </w:r>
      <w:r>
        <w:rPr>
          <w:rFonts w:ascii="Arial" w:cs="Arial" w:eastAsia="Arial" w:hAnsi="Arial"/>
          <w:b/>
          <w:bCs/>
          <w:i w:val="false"/>
          <w:iCs w:val="false"/>
          <w:color w:val="232333"/>
          <w:sz w:val="21"/>
          <w:szCs w:val="21"/>
        </w:rPr>
        <w:t xml:space="preserve">opt-in</w:t>
      </w:r>
      <w:r>
        <w:rPr>
          <w:rFonts w:ascii="Arial" w:cs="Arial" w:eastAsia="Arial" w:hAnsi="Arial"/>
          <w:b w:val="false"/>
          <w:bCs w:val="false"/>
          <w:i w:val="false"/>
          <w:iCs w:val="false"/>
          <w:color w:val="232333"/>
          <w:sz w:val="21"/>
          <w:szCs w:val="21"/>
        </w:rPr>
        <w:t xml:space="preserve">, because they involve real computational cost; the user confirms before they run, and every stage reports its status explicitly. A parallel </w:t>
      </w:r>
      <w:r>
        <w:rPr>
          <w:rFonts w:ascii="Arial" w:cs="Arial" w:eastAsia="Arial" w:hAnsi="Arial"/>
          <w:b/>
          <w:bCs/>
          <w:i w:val="false"/>
          <w:iCs w:val="false"/>
          <w:color w:val="232333"/>
          <w:sz w:val="21"/>
          <w:szCs w:val="21"/>
        </w:rPr>
        <w:t xml:space="preserve">ex-vivo sub-track</w:t>
      </w:r>
      <w:r>
        <w:rPr>
          <w:rFonts w:ascii="Arial" w:cs="Arial" w:eastAsia="Arial" w:hAnsi="Arial"/>
          <w:b w:val="false"/>
          <w:bCs w:val="false"/>
          <w:i w:val="false"/>
          <w:iCs w:val="false"/>
          <w:color w:val="232333"/>
          <w:sz w:val="21"/>
          <w:szCs w:val="21"/>
        </w:rPr>
        <w:t xml:space="preserve"> adds tissue-selectivity and transporter analysis across a 54-organ expression atlas, a hepatic-safety classifier, and cell-type and patient-line projections.</w:t>
      </w:r>
    </w:p>
    <w:p>
      <w:pPr>
        <w:pStyle w:val="Heading3"/>
        <w:keepNext/>
      </w:pPr>
      <w:r>
        <w:t xml:space="preserve">The Confirmation Engine</w:t>
      </w:r>
    </w:p>
    <w:p>
      <w:pPr>
        <w:spacing w:after="150" w:line="292"/>
      </w:pPr>
      <w:r>
        <w:rPr>
          <w:rFonts w:ascii="Arial" w:cs="Arial" w:eastAsia="Arial" w:hAnsi="Arial"/>
          <w:b w:val="false"/>
          <w:bCs w:val="false"/>
          <w:i w:val="false"/>
          <w:iCs w:val="false"/>
          <w:color w:val="232333"/>
          <w:sz w:val="21"/>
          <w:szCs w:val="21"/>
        </w:rPr>
        <w:t xml:space="preserve">The Confirmation Engine is what makes Layer 2 distinctive. It reconciles the in-silico predictions against the measured data a team enters, and produces an auditable, tamper-evident evidence block. It issues a prioritised list of the wet-lab measurements that would best confirm the predictions, checks each prediction against a confidence threshold, and then runs a structured </w:t>
      </w:r>
      <w:r>
        <w:rPr>
          <w:rFonts w:ascii="Arial" w:cs="Arial" w:eastAsia="Arial" w:hAnsi="Arial"/>
          <w:b/>
          <w:bCs/>
          <w:i w:val="false"/>
          <w:iCs w:val="false"/>
          <w:color w:val="232333"/>
          <w:sz w:val="21"/>
          <w:szCs w:val="21"/>
        </w:rPr>
        <w:t xml:space="preserve">falsifier check</w:t>
      </w:r>
      <w:r>
        <w:rPr>
          <w:rFonts w:ascii="Arial" w:cs="Arial" w:eastAsia="Arial" w:hAnsi="Arial"/>
          <w:b w:val="false"/>
          <w:bCs w:val="false"/>
          <w:i w:val="false"/>
          <w:iCs w:val="false"/>
          <w:color w:val="232333"/>
          <w:sz w:val="21"/>
          <w:szCs w:val="21"/>
        </w:rPr>
        <w:t xml:space="preserve"> — a set of pre-registered, machine-checkable conditions that would each prove a prediction wrong if a measurement contradicted it.</w:t>
      </w:r>
    </w:p>
    <w:p>
      <w:pPr>
        <w:spacing w:after="150" w:line="292"/>
      </w:pPr>
      <w:r>
        <w:rPr>
          <w:rFonts w:ascii="Arial" w:cs="Arial" w:eastAsia="Arial" w:hAnsi="Arial"/>
          <w:b w:val="false"/>
          <w:bCs w:val="false"/>
          <w:i w:val="false"/>
          <w:iCs w:val="false"/>
          <w:color w:val="232333"/>
          <w:sz w:val="21"/>
          <w:szCs w:val="21"/>
        </w:rPr>
        <w:t xml:space="preserve">Each prediction domain is then resolved to a clear status — corroborated, contradicted, partially confirmed, or awaiting data — and the Layer 2 block can be sealed only when every check is reconciled. Any exception must be authorised by a named role citing a specific policy, and the decision is digitally signed and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1F4" w:sz="2"/>
              <w:left w:val="single" w:color="0E7490" w:sz="26"/>
              <w:bottom w:val="single" w:color="E7F1F4" w:sz="2"/>
              <w:right w:val="single" w:color="E7F1F4" w:sz="2"/>
            </w:tcBorders>
            <w:shd w:fill="E7F1F4" w:val="clear"/>
            <w:tcMar>
              <w:top w:type="dxa" w:w="160"/>
              <w:left w:type="dxa" w:w="230"/>
              <w:bottom w:type="dxa" w:w="160"/>
              <w:right w:type="dxa" w:w="210"/>
            </w:tcMar>
          </w:tcPr>
          <w:p>
            <w:pPr>
              <w:spacing w:after="100" w:line="288"/>
            </w:pPr>
            <w:r>
              <w:rPr>
                <w:rFonts w:ascii="Arial" w:cs="Arial" w:eastAsia="Arial" w:hAnsi="Arial"/>
                <w:b/>
                <w:bCs/>
                <w:i w:val="false"/>
                <w:iCs w:val="false"/>
                <w:color w:val="0E7490"/>
                <w:sz w:val="21"/>
                <w:szCs w:val="21"/>
              </w:rPr>
              <w:t xml:space="preserve">Why Layer 2 matters</w:t>
            </w:r>
          </w:p>
          <w:p>
            <w:pPr>
              <w:spacing w:after="0" w:line="288"/>
            </w:pPr>
            <w:r>
              <w:rPr>
                <w:rFonts w:ascii="Arial" w:cs="Arial" w:eastAsia="Arial" w:hAnsi="Arial"/>
                <w:b w:val="false"/>
                <w:bCs w:val="false"/>
                <w:i w:val="false"/>
                <w:iCs w:val="false"/>
                <w:color w:val="232333"/>
                <w:sz w:val="20"/>
                <w:szCs w:val="20"/>
              </w:rPr>
              <w:t xml:space="preserve">Layer 2 turns predictions into confirmed, auditable evidence. It cross-checks every Layer 1 result against independent in-silico and ex-vivo streams, and against any measured data a team supplies — so the decision to advance a molecule rests on corroborated evidence, not a single model. This is exactly the discipline a regulator or a licensing partner expects to see.</w:t>
            </w:r>
          </w:p>
        </w:tc>
      </w:tr>
    </w:tbl>
    <w:p>
      <w:pPr>
        <w:pStyle w:val="Heading2"/>
        <w:keepNext/>
      </w:pPr>
      <w:r>
        <w:t xml:space="preserve">4.3  The IVIVE Gate</w:t>
      </w:r>
    </w:p>
    <w:p>
      <w:pPr>
        <w:spacing w:after="150" w:line="292"/>
      </w:pPr>
      <w:r>
        <w:rPr>
          <w:rFonts w:ascii="Arial" w:cs="Arial" w:eastAsia="Arial" w:hAnsi="Arial"/>
          <w:b w:val="false"/>
          <w:bCs w:val="false"/>
          <w:i w:val="false"/>
          <w:iCs w:val="false"/>
          <w:color w:val="232333"/>
          <w:sz w:val="21"/>
          <w:szCs w:val="21"/>
        </w:rPr>
        <w:t xml:space="preserve">Between Layer 2 and Layer 3 sits the </w:t>
      </w:r>
      <w:r>
        <w:rPr>
          <w:rFonts w:ascii="Arial" w:cs="Arial" w:eastAsia="Arial" w:hAnsi="Arial"/>
          <w:b/>
          <w:bCs/>
          <w:i w:val="false"/>
          <w:iCs w:val="false"/>
          <w:color w:val="232333"/>
          <w:sz w:val="21"/>
          <w:szCs w:val="21"/>
        </w:rPr>
        <w:t xml:space="preserve">IVIVE gate</w:t>
      </w:r>
      <w:r>
        <w:rPr>
          <w:rFonts w:ascii="Arial" w:cs="Arial" w:eastAsia="Arial" w:hAnsi="Arial"/>
          <w:b w:val="false"/>
          <w:bCs w:val="false"/>
          <w:i w:val="false"/>
          <w:iCs w:val="false"/>
          <w:color w:val="232333"/>
          <w:sz w:val="21"/>
          <w:szCs w:val="21"/>
        </w:rPr>
        <w:t xml:space="preserve"> — in-vitro to in-vivo extrapolation. Before any animal study is designed, the platform confirms a simple, important thing: that the cross-species evidence is strong enough to justify it. The gate captures three key pharmacokinetic measurements across up to five species and assigns a readiness tier from what is present — a clear, deterministic checkpoint, with no subjective judgement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tblHeader/>
        </w:trPr>
        <w:tc>
          <w:tcPr>
            <w:tcW w:type="dxa" w:w="205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Readiness tier</w:t>
            </w:r>
          </w:p>
        </w:tc>
        <w:tc>
          <w:tcPr>
            <w:tcW w:type="dxa" w:w="731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means</w:t>
            </w:r>
          </w:p>
        </w:tc>
      </w:tr>
      <w:tr>
        <w:tc>
          <w:tcPr>
            <w:tcW w:type="dxa" w:w="20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Insufficient</w:t>
            </w:r>
          </w:p>
        </w:tc>
        <w:tc>
          <w:tcPr>
            <w:tcW w:type="dxa" w:w="73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Core human data is missing — the gate holds until it is supplied.</w:t>
            </w:r>
          </w:p>
        </w:tc>
      </w:tr>
      <w:tr>
        <w:tc>
          <w:tcPr>
            <w:tcW w:type="dxa" w:w="20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Minimum</w:t>
            </w:r>
          </w:p>
        </w:tc>
        <w:tc>
          <w:tcPr>
            <w:tcW w:type="dxa" w:w="73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essentials are present; cross-species design proceeds with an explicit, recorded acknowledgement.</w:t>
            </w:r>
          </w:p>
        </w:tc>
      </w:tr>
      <w:tr>
        <w:tc>
          <w:tcPr>
            <w:tcW w:type="dxa" w:w="20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Standard</w:t>
            </w:r>
          </w:p>
        </w:tc>
        <w:tc>
          <w:tcPr>
            <w:tcW w:type="dxa" w:w="73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solid cross-species substrate — the gate is satisfied and animal-study design proceeds.</w:t>
            </w:r>
          </w:p>
        </w:tc>
      </w:tr>
      <w:tr>
        <w:tc>
          <w:tcPr>
            <w:tcW w:type="dxa" w:w="20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Premium</w:t>
            </w:r>
          </w:p>
        </w:tc>
        <w:tc>
          <w:tcPr>
            <w:tcW w:type="dxa" w:w="73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strongest substrate, carrying the highest confidence band through to the Layer 4 dose projection.</w:t>
            </w:r>
          </w:p>
        </w:tc>
      </w:tr>
    </w:tbl>
    <w:p>
      <w:pPr>
        <w:spacing w:after="150" w:line="292"/>
      </w:pPr>
      <w:r>
        <w:rPr>
          <w:rFonts w:ascii="Arial" w:cs="Arial" w:eastAsia="Arial" w:hAnsi="Arial"/>
          <w:b w:val="false"/>
          <w:bCs w:val="false"/>
          <w:i w:val="false"/>
          <w:iCs w:val="false"/>
          <w:color w:val="232333"/>
          <w:sz w:val="21"/>
          <w:szCs w:val="21"/>
        </w:rPr>
        <w:t xml:space="preserve">A separate defensibility flag confirms that the supporting values are anchored to genuine measured data rather than class-level estimates, and the gate’s sign-off records exactly which substrate it was sealed on. The result is that the strength of the evidence behind every animal-study decision is explicit and carried forward — never assumed.</w:t>
      </w:r>
    </w:p>
    <w:p>
      <w:pPr>
        <w:pStyle w:val="Heading2"/>
        <w:keepNext/>
      </w:pPr>
      <w:r>
        <w:t xml:space="preserve">4.4  Layer 3 — Animal Cohort</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Purpose.</w:t>
      </w:r>
      <w:r>
        <w:rPr>
          <w:rFonts w:ascii="Arial" w:cs="Arial" w:eastAsia="Arial" w:hAnsi="Arial"/>
          <w:b w:val="false"/>
          <w:bCs w:val="false"/>
          <w:i w:val="false"/>
          <w:iCs w:val="false"/>
          <w:color w:val="232333"/>
          <w:sz w:val="21"/>
          <w:szCs w:val="21"/>
        </w:rPr>
        <w:t xml:space="preserve"> Run a simulated animal-study battery aligned to international guidelines, compute the dose-defining safety thresholds, scale them to a human-equivalent dose, and produce a Phase-1-ready starting-dose proposal. Layer 3 answers the third question: what does the multi-species study look like, and what dose-defining numbers come out of it?</w:t>
      </w:r>
    </w:p>
    <w:p>
      <w:pPr>
        <w:spacing w:after="150" w:line="292"/>
      </w:pPr>
      <w:r>
        <w:rPr>
          <w:rFonts w:ascii="Arial" w:cs="Arial" w:eastAsia="Arial" w:hAnsi="Arial"/>
          <w:b w:val="false"/>
          <w:bCs w:val="false"/>
          <w:i w:val="false"/>
          <w:iCs w:val="false"/>
          <w:color w:val="232333"/>
          <w:sz w:val="21"/>
          <w:szCs w:val="21"/>
        </w:rPr>
        <w:t xml:space="preserve">The user selects a species and strain — mouse, rat, dog or cynomolgus monkey, each carrying its own physiological scaling parameters — a study type from single-dose through 90-day chronic, a route of administration, and, for oral routes, a formulation. The cohort simulation then computes allometric clearance, the </w:t>
      </w:r>
      <w:r>
        <w:rPr>
          <w:rFonts w:ascii="Arial" w:cs="Arial" w:eastAsia="Arial" w:hAnsi="Arial"/>
          <w:b/>
          <w:bCs/>
          <w:i w:val="false"/>
          <w:iCs w:val="false"/>
          <w:color w:val="232333"/>
          <w:sz w:val="21"/>
          <w:szCs w:val="21"/>
        </w:rPr>
        <w:t xml:space="preserve">No Observed Adverse Effect Level (NOAEL)</w:t>
      </w:r>
      <w:r>
        <w:rPr>
          <w:rFonts w:ascii="Arial" w:cs="Arial" w:eastAsia="Arial" w:hAnsi="Arial"/>
          <w:b w:val="false"/>
          <w:bCs w:val="false"/>
          <w:i w:val="false"/>
          <w:iCs w:val="false"/>
          <w:color w:val="232333"/>
          <w:sz w:val="21"/>
          <w:szCs w:val="21"/>
        </w:rPr>
        <w:t xml:space="preserve"> and </w:t>
      </w:r>
      <w:r>
        <w:rPr>
          <w:rFonts w:ascii="Arial" w:cs="Arial" w:eastAsia="Arial" w:hAnsi="Arial"/>
          <w:b/>
          <w:bCs/>
          <w:i w:val="false"/>
          <w:iCs w:val="false"/>
          <w:color w:val="232333"/>
          <w:sz w:val="21"/>
          <w:szCs w:val="21"/>
        </w:rPr>
        <w:t xml:space="preserve">Maximum Tolerated Dose (MTD)</w:t>
      </w:r>
      <w:r>
        <w:rPr>
          <w:rFonts w:ascii="Arial" w:cs="Arial" w:eastAsia="Arial" w:hAnsi="Arial"/>
          <w:b w:val="false"/>
          <w:bCs w:val="false"/>
          <w:i w:val="false"/>
          <w:iCs w:val="false"/>
          <w:color w:val="232333"/>
          <w:sz w:val="21"/>
          <w:szCs w:val="21"/>
        </w:rPr>
        <w:t xml:space="preserve">, a </w:t>
      </w:r>
      <w:r>
        <w:rPr>
          <w:rFonts w:ascii="Arial" w:cs="Arial" w:eastAsia="Arial" w:hAnsi="Arial"/>
          <w:b/>
          <w:bCs/>
          <w:i w:val="false"/>
          <w:iCs w:val="false"/>
          <w:color w:val="232333"/>
          <w:sz w:val="21"/>
          <w:szCs w:val="21"/>
        </w:rPr>
        <w:t xml:space="preserve">Human Equivalent Dose</w:t>
      </w:r>
      <w:r>
        <w:rPr>
          <w:rFonts w:ascii="Arial" w:cs="Arial" w:eastAsia="Arial" w:hAnsi="Arial"/>
          <w:b w:val="false"/>
          <w:bCs w:val="false"/>
          <w:i w:val="false"/>
          <w:iCs w:val="false"/>
          <w:color w:val="232333"/>
          <w:sz w:val="21"/>
          <w:szCs w:val="21"/>
        </w:rPr>
        <w:t xml:space="preserve"> by two independent methods, and a proposed First-In-Human dose.</w:t>
      </w:r>
    </w:p>
    <w:p>
      <w:pPr>
        <w:spacing w:after="150" w:line="292"/>
      </w:pPr>
      <w:r>
        <w:rPr>
          <w:rFonts w:ascii="Arial" w:cs="Arial" w:eastAsia="Arial" w:hAnsi="Arial"/>
          <w:b w:val="false"/>
          <w:bCs w:val="false"/>
          <w:i w:val="false"/>
          <w:iCs w:val="false"/>
          <w:color w:val="232333"/>
          <w:sz w:val="21"/>
          <w:szCs w:val="21"/>
        </w:rPr>
        <w:t xml:space="preserve">The results panel presents core pharmacokinetic metrics, animal-versus-human PK profiles, a full study-group design — vehicle, low, mid, high, recovery and satellite arms with per-arm dosing and animal counts — a predicted toxicity-signal panel spanning cardiovascular, hepatic, genotoxicity and systemic findings, a human-translation panel, and an IND-enabling regulatory checklist scored against the relevant ICH guidelines. Layer 3 emits an Animal Cohort evidence block carrying the study records, the dose-defining numbers and a link back to the sealed Layer 2 block.</w:t>
      </w:r>
    </w:p>
    <w:p>
      <w:pPr>
        <w:pStyle w:val="Heading2"/>
        <w:keepNext/>
      </w:pPr>
      <w:r>
        <w:t xml:space="preserve">4.5  Layer 4 — First-In-Human Readiness</w:t>
      </w:r>
    </w:p>
    <w:p>
      <w:pPr>
        <w:spacing w:after="150" w:line="292"/>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Purpose.</w:t>
      </w:r>
      <w:r>
        <w:rPr>
          <w:rFonts w:ascii="Arial" w:cs="Arial" w:eastAsia="Arial" w:hAnsi="Arial"/>
          <w:b w:val="false"/>
          <w:bCs w:val="false"/>
          <w:i w:val="false"/>
          <w:iCs w:val="false"/>
          <w:color w:val="232333"/>
          <w:sz w:val="21"/>
          <w:szCs w:val="21"/>
        </w:rPr>
        <w:t xml:space="preserve"> Convert the full accumulated evidence — Layers 1, 2 and 3 — into a Phase 1 strategy and an IND-readiness assessment. Layer 4 answers the final question: what starting dose, what escalation scheme, and what IND-enabling package follow?</w:t>
      </w:r>
    </w:p>
    <w:p>
      <w:pPr>
        <w:spacing w:after="150" w:line="292"/>
      </w:pPr>
      <w:r>
        <w:rPr>
          <w:rFonts w:ascii="Arial" w:cs="Arial" w:eastAsia="Arial" w:hAnsi="Arial"/>
          <w:b w:val="false"/>
          <w:bCs w:val="false"/>
          <w:i w:val="false"/>
          <w:iCs w:val="false"/>
          <w:color w:val="232333"/>
          <w:sz w:val="21"/>
          <w:szCs w:val="21"/>
        </w:rPr>
        <w:t xml:space="preserve">Layer 4 produces a </w:t>
      </w:r>
      <w:r>
        <w:rPr>
          <w:rFonts w:ascii="Arial" w:cs="Arial" w:eastAsia="Arial" w:hAnsi="Arial"/>
          <w:b/>
          <w:bCs/>
          <w:i w:val="false"/>
          <w:iCs w:val="false"/>
          <w:color w:val="232333"/>
          <w:sz w:val="21"/>
          <w:szCs w:val="21"/>
        </w:rPr>
        <w:t xml:space="preserve">MABEL-biased starting-dose recommendation</w:t>
      </w:r>
      <w:r>
        <w:rPr>
          <w:rFonts w:ascii="Arial" w:cs="Arial" w:eastAsia="Arial" w:hAnsi="Arial"/>
          <w:b w:val="false"/>
          <w:bCs w:val="false"/>
          <w:i w:val="false"/>
          <w:iCs w:val="false"/>
          <w:color w:val="232333"/>
          <w:sz w:val="21"/>
          <w:szCs w:val="21"/>
        </w:rPr>
        <w:t xml:space="preserve"> — the Minimum Anticipated Biological Effect Level, the conservative, regulator-preferred basis for a first human dose — with a clear safety-factor justification. It proposes a dose-escalation scheme and a single- then multiple-ascending-dose design, recommends special-population study arms driven by the upstream clearance and toxicity signals, and computes eligibility for expedited regulatory designations such as Breakthrough Therapy, Fast Track and Orphan Drug. An IND-gate readiness checklist scores toxicology coverage, manufacturing readiness, the Investigator’s Brochure outline and pre-IND meeting prerequisites, with every gap surfaced alongside a clear remediation path.</w:t>
      </w:r>
    </w:p>
    <w:p>
      <w:pPr>
        <w:spacing w:after="150" w:line="292"/>
      </w:pPr>
      <w:r>
        <w:rPr>
          <w:rFonts w:ascii="Arial" w:cs="Arial" w:eastAsia="Arial" w:hAnsi="Arial"/>
          <w:b w:val="false"/>
          <w:bCs w:val="false"/>
          <w:i w:val="false"/>
          <w:iCs w:val="false"/>
          <w:color w:val="232333"/>
          <w:sz w:val="21"/>
          <w:szCs w:val="21"/>
        </w:rPr>
        <w:t xml:space="preserve">The output of Layer 4 — and of the whole platform — is the sealed </w:t>
      </w:r>
      <w:r>
        <w:rPr>
          <w:rFonts w:ascii="Arial" w:cs="Arial" w:eastAsia="Arial" w:hAnsi="Arial"/>
          <w:b/>
          <w:bCs/>
          <w:i w:val="false"/>
          <w:iCs w:val="false"/>
          <w:color w:val="232333"/>
          <w:sz w:val="21"/>
          <w:szCs w:val="21"/>
        </w:rPr>
        <w:t xml:space="preserve">PreClinicalPackage</w:t>
      </w:r>
      <w:r>
        <w:rPr>
          <w:rFonts w:ascii="Arial" w:cs="Arial" w:eastAsia="Arial" w:hAnsi="Arial"/>
          <w:b w:val="false"/>
          <w:bCs w:val="false"/>
          <w:i w:val="false"/>
          <w:iCs w:val="false"/>
          <w:color w:val="232333"/>
          <w:sz w:val="21"/>
          <w:szCs w:val="21"/>
        </w:rPr>
        <w:t xml:space="preserve">. It bundles the Layer 1 verdict, the Layer 2 Confirmation block, the IVIVE sign-off, the Layer 3 Animal Cohort block and the Layer 4 IND-gate result into a single tamper-evident artefact that a CRO, a regulator or a licensing partner can ingest as-is. It is the deliverable every part of the platform is built to produce.</w:t>
      </w:r>
    </w:p>
    <w:p>
      <w:pPr>
        <w:pStyle w:val="Heading1"/>
        <w:keepNext/>
        <w:pageBreakBefore/>
      </w:pPr>
      <w:r>
        <w:t xml:space="preserve">5.  The Science &amp; Technology</w:t>
      </w:r>
    </w:p>
    <w:p>
      <w:pPr>
        <w:spacing w:after="150" w:line="292"/>
      </w:pPr>
      <w:r>
        <w:rPr>
          <w:rFonts w:ascii="Arial" w:cs="Arial" w:eastAsia="Arial" w:hAnsi="Arial"/>
          <w:b w:val="false"/>
          <w:bCs w:val="false"/>
          <w:i w:val="false"/>
          <w:iCs w:val="false"/>
          <w:color w:val="232333"/>
          <w:sz w:val="21"/>
          <w:szCs w:val="21"/>
        </w:rPr>
        <w:t xml:space="preserve">This section surveys the computational machinery behind the four layers — the exact-chemistry foundation, the trained machine-learning models, the calibrated prediction layer, and the physics-based methods — and shows how they combine into a platform that is both fast and rigorous.</w:t>
      </w:r>
    </w:p>
    <w:p>
      <w:pPr>
        <w:pStyle w:val="Heading2"/>
        <w:keepNext/>
      </w:pPr>
      <w:r>
        <w:t xml:space="preserve">5.1  An exact-chemistry foundation</w:t>
      </w:r>
    </w:p>
    <w:p>
      <w:pPr>
        <w:spacing w:after="150" w:line="292"/>
      </w:pPr>
      <w:r>
        <w:rPr>
          <w:rFonts w:ascii="Arial" w:cs="Arial" w:eastAsia="Arial" w:hAnsi="Arial"/>
          <w:b w:val="false"/>
          <w:bCs w:val="false"/>
          <w:i w:val="false"/>
          <w:iCs w:val="false"/>
          <w:color w:val="232333"/>
          <w:sz w:val="21"/>
          <w:szCs w:val="21"/>
        </w:rPr>
        <w:t xml:space="preserve">Everything in Layer 1 is built on a proven open-source cheminformatics foundation. From the molecule’s structure, the platform computes molecular weight, lipophilicity, polar surface area, hydrogen-bond donors and acceptors, rotatable bonds, ring systems and more. These are </w:t>
      </w:r>
      <w:r>
        <w:rPr>
          <w:rFonts w:ascii="Arial" w:cs="Arial" w:eastAsia="Arial" w:hAnsi="Arial"/>
          <w:b/>
          <w:bCs/>
          <w:i w:val="false"/>
          <w:iCs w:val="false"/>
          <w:color w:val="232333"/>
          <w:sz w:val="21"/>
          <w:szCs w:val="21"/>
        </w:rPr>
        <w:t xml:space="preserve">exact, deterministic calculations</w:t>
      </w:r>
      <w:r>
        <w:rPr>
          <w:rFonts w:ascii="Arial" w:cs="Arial" w:eastAsia="Arial" w:hAnsi="Arial"/>
          <w:b w:val="false"/>
          <w:bCs w:val="false"/>
          <w:i w:val="false"/>
          <w:iCs w:val="false"/>
          <w:color w:val="232333"/>
          <w:sz w:val="21"/>
          <w:szCs w:val="21"/>
        </w:rPr>
        <w:t xml:space="preserve"> — the same molecule always yields the same numbers. On top of them sit a quantitative drug-likeness score, a synthetic-accessibility score, structural pharmacophore detection, the industry-standard drug-likeness rules, and molecular fingerprints used for similarity analysis. This exact foundation is what every prediction in the platform is anchored to.</w:t>
      </w:r>
    </w:p>
    <w:p>
      <w:pPr>
        <w:pStyle w:val="Heading2"/>
        <w:keepNext/>
      </w:pPr>
      <w:r>
        <w:t xml:space="preserve">5.2  Validated machine-learning models</w:t>
      </w:r>
    </w:p>
    <w:p>
      <w:pPr>
        <w:spacing w:after="150" w:line="292"/>
      </w:pPr>
      <w:r>
        <w:rPr>
          <w:rFonts w:ascii="Arial" w:cs="Arial" w:eastAsia="Arial" w:hAnsi="Arial"/>
          <w:b w:val="false"/>
          <w:bCs w:val="false"/>
          <w:i w:val="false"/>
          <w:iCs w:val="false"/>
          <w:color w:val="232333"/>
          <w:sz w:val="21"/>
          <w:szCs w:val="21"/>
        </w:rPr>
        <w:t xml:space="preserve">Six machine-learning models run alongside the calibrated engines. Each is built to be </w:t>
      </w:r>
      <w:r>
        <w:rPr>
          <w:rFonts w:ascii="Arial" w:cs="Arial" w:eastAsia="Arial" w:hAnsi="Arial"/>
          <w:b/>
          <w:bCs/>
          <w:i w:val="false"/>
          <w:iCs w:val="false"/>
          <w:color w:val="232333"/>
          <w:sz w:val="21"/>
          <w:szCs w:val="21"/>
        </w:rPr>
        <w:t xml:space="preserve">methodologically independent</w:t>
      </w:r>
      <w:r>
        <w:rPr>
          <w:rFonts w:ascii="Arial" w:cs="Arial" w:eastAsia="Arial" w:hAnsi="Arial"/>
          <w:b w:val="false"/>
          <w:bCs w:val="false"/>
          <w:i w:val="false"/>
          <w:iCs w:val="false"/>
          <w:color w:val="232333"/>
          <w:sz w:val="21"/>
          <w:szCs w:val="21"/>
        </w:rPr>
        <w:t xml:space="preserve"> of the engine it cross-checks — a different training set, different features, a different algorithm class — and each is validated against public benchmark datasets and reports its own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Model</w:t>
            </w:r>
          </w:p>
        </w:tc>
        <w:tc>
          <w:tcPr>
            <w:tcW w:type="dxa" w:w="43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predicts</w:t>
            </w:r>
          </w:p>
        </w:tc>
        <w:tc>
          <w:tcPr>
            <w:tcW w:type="dxa" w:w="33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Validated performance</w:t>
            </w:r>
          </w:p>
        </w:tc>
      </w:tr>
      <w:tr>
        <w:tc>
          <w:tcPr>
            <w:tcW w:type="dxa" w:w="17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ADMET-AI</w:t>
            </w:r>
          </w:p>
        </w:tc>
        <w:tc>
          <w:tcPr>
            <w:tcW w:type="dxa" w:w="4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41 ADMET endpoints from molecular structure</w:t>
            </w:r>
          </w:p>
        </w:tc>
        <w:tc>
          <w:tcPr>
            <w:tcW w:type="dxa" w:w="33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ROC-AUC ~0.8–0.9 across endpoints</w:t>
            </w:r>
          </w:p>
        </w:tc>
      </w:tr>
      <w:tr>
        <w:tc>
          <w:tcPr>
            <w:tcW w:type="dxa" w:w="17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CardioTox</w:t>
            </w:r>
          </w:p>
        </w:tc>
        <w:tc>
          <w:tcPr>
            <w:tcW w:type="dxa" w:w="4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Cardiac (hERG) safety risk</w:t>
            </w:r>
          </w:p>
        </w:tc>
        <w:tc>
          <w:tcPr>
            <w:tcW w:type="dxa" w:w="33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Cross-validated ROC-AUC ≈ 0.87</w:t>
            </w:r>
          </w:p>
        </w:tc>
      </w:tr>
      <w:tr>
        <w:tc>
          <w:tcPr>
            <w:tcW w:type="dxa" w:w="17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DILI-ML</w:t>
            </w:r>
          </w:p>
        </w:tc>
        <w:tc>
          <w:tcPr>
            <w:tcW w:type="dxa" w:w="4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Drug-induced liver-injury risk</w:t>
            </w:r>
          </w:p>
        </w:tc>
        <w:tc>
          <w:tcPr>
            <w:tcW w:type="dxa" w:w="33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Cross-validated ROC-AUC ≈ 0.78–0.88</w:t>
            </w:r>
          </w:p>
        </w:tc>
      </w:tr>
      <w:tr>
        <w:tc>
          <w:tcPr>
            <w:tcW w:type="dxa" w:w="17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Solubility-ML</w:t>
            </w:r>
          </w:p>
        </w:tc>
        <w:tc>
          <w:tcPr>
            <w:tcW w:type="dxa" w:w="4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Aqueous solubility</w:t>
            </w:r>
          </w:p>
        </w:tc>
        <w:tc>
          <w:tcPr>
            <w:tcW w:type="dxa" w:w="33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Cross-validated R² ≈ 0.74</w:t>
            </w:r>
          </w:p>
        </w:tc>
      </w:tr>
      <w:tr>
        <w:tc>
          <w:tcPr>
            <w:tcW w:type="dxa" w:w="17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Binding-ML</w:t>
            </w:r>
          </w:p>
        </w:tc>
        <w:tc>
          <w:tcPr>
            <w:tcW w:type="dxa" w:w="4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Drug–target binding affinity</w:t>
            </w:r>
          </w:p>
        </w:tc>
        <w:tc>
          <w:tcPr>
            <w:tcW w:type="dxa" w:w="33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R² ≈ 0.6 on held-out pairs</w:t>
            </w:r>
          </w:p>
        </w:tc>
      </w:tr>
      <w:tr>
        <w:tc>
          <w:tcPr>
            <w:tcW w:type="dxa" w:w="17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Protein-ML</w:t>
            </w:r>
          </w:p>
        </w:tc>
        <w:tc>
          <w:tcPr>
            <w:tcW w:type="dxa" w:w="4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Target druggability</w:t>
            </w:r>
          </w:p>
        </w:tc>
        <w:tc>
          <w:tcPr>
            <w:tcW w:type="dxa" w:w="33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Cross-validated ROC-AUC ≈ 0.87</w:t>
            </w:r>
          </w:p>
        </w:tc>
      </w:tr>
    </w:tbl>
    <w:p>
      <w:pPr>
        <w:spacing w:after="150" w:line="292"/>
      </w:pPr>
      <w:r>
        <w:rPr>
          <w:rFonts w:ascii="Arial" w:cs="Arial" w:eastAsia="Arial" w:hAnsi="Arial"/>
          <w:b w:val="false"/>
          <w:bCs w:val="false"/>
          <w:i w:val="false"/>
          <w:iCs w:val="false"/>
          <w:color w:val="232333"/>
          <w:sz w:val="21"/>
          <w:szCs w:val="21"/>
        </w:rPr>
        <w:t xml:space="preserve">Each model also reports how structurally close a query molecule is to its training set, so a prediction on unusual chemistry is clearly flagged rather than presented with unwarranted confidence. This is a deliberate engineering choice in favour of trustworthy outputs.</w:t>
      </w:r>
    </w:p>
    <w:p>
      <w:pPr>
        <w:pStyle w:val="Heading2"/>
        <w:keepNext/>
      </w:pPr>
      <w:r>
        <w:t xml:space="preserve">5.3  A calibrated prediction layer</w:t>
      </w:r>
    </w:p>
    <w:p>
      <w:pPr>
        <w:spacing w:after="150" w:line="292"/>
      </w:pPr>
      <w:r>
        <w:rPr>
          <w:rFonts w:ascii="Arial" w:cs="Arial" w:eastAsia="Arial" w:hAnsi="Arial"/>
          <w:b w:val="false"/>
          <w:bCs w:val="false"/>
          <w:i w:val="false"/>
          <w:iCs w:val="false"/>
          <w:color w:val="232333"/>
          <w:sz w:val="21"/>
          <w:szCs w:val="21"/>
        </w:rPr>
        <w:t xml:space="preserve">Underpinning the machine-learning suite is a calibrated prediction layer of eleven models fitted to public measured datasets from the Therapeutics Data Commons — datasets spanning, in total, tens of thousands of measured compounds. These models cover permeability, plasma binding, clearance, half-life, intestinal absorption, cardiac safety and the major metabolic-enzyme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Endpoint</w:t>
            </w:r>
          </w:p>
        </w:tc>
        <w:tc>
          <w:tcPr>
            <w:tcW w:type="dxa" w:w="33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Validation dataset</w:t>
            </w:r>
          </w:p>
        </w:tc>
        <w:tc>
          <w:tcPr>
            <w:tcW w:type="dxa" w:w="25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center"/>
            </w:pPr>
            <w:r>
              <w:rPr>
                <w:rFonts w:ascii="Arial" w:cs="Arial" w:eastAsia="Arial" w:hAnsi="Arial"/>
                <w:b/>
                <w:bCs/>
                <w:i w:val="false"/>
                <w:iCs w:val="false"/>
                <w:color w:val="FFFFFF"/>
                <w:sz w:val="19"/>
                <w:szCs w:val="19"/>
              </w:rPr>
              <w:t xml:space="preserve">Compounds</w:t>
            </w:r>
          </w:p>
        </w:tc>
      </w:tr>
      <w:tr>
        <w:tc>
          <w:tcPr>
            <w:tcW w:type="dxa" w:w="3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Caco-2 permeability</w:t>
            </w:r>
          </w:p>
        </w:tc>
        <w:tc>
          <w:tcPr>
            <w:tcW w:type="dxa" w:w="3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Caco2_Wang</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910</w:t>
            </w:r>
          </w:p>
        </w:tc>
      </w:tr>
      <w:tr>
        <w:tc>
          <w:tcPr>
            <w:tcW w:type="dxa" w:w="3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Plasma protein binding</w:t>
            </w:r>
          </w:p>
        </w:tc>
        <w:tc>
          <w:tcPr>
            <w:tcW w:type="dxa" w:w="3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PPBR_AZ</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1,614</w:t>
            </w:r>
          </w:p>
        </w:tc>
      </w:tr>
      <w:tr>
        <w:tc>
          <w:tcPr>
            <w:tcW w:type="dxa" w:w="3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Half-life</w:t>
            </w:r>
          </w:p>
        </w:tc>
        <w:tc>
          <w:tcPr>
            <w:tcW w:type="dxa" w:w="3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Half_Life_Obach</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667</w:t>
            </w:r>
          </w:p>
        </w:tc>
      </w:tr>
      <w:tr>
        <w:tc>
          <w:tcPr>
            <w:tcW w:type="dxa" w:w="3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Hepatocyte clearance</w:t>
            </w:r>
          </w:p>
        </w:tc>
        <w:tc>
          <w:tcPr>
            <w:tcW w:type="dxa" w:w="3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Clearance_Hepatocyte_AZ</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1,213</w:t>
            </w:r>
          </w:p>
        </w:tc>
      </w:tr>
      <w:tr>
        <w:tc>
          <w:tcPr>
            <w:tcW w:type="dxa" w:w="3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Intestinal absorption</w:t>
            </w:r>
          </w:p>
        </w:tc>
        <w:tc>
          <w:tcPr>
            <w:tcW w:type="dxa" w:w="3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HIA_Hou</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578</w:t>
            </w:r>
          </w:p>
        </w:tc>
      </w:tr>
      <w:tr>
        <w:tc>
          <w:tcPr>
            <w:tcW w:type="dxa" w:w="3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Cardiac (hERG) safety</w:t>
            </w:r>
          </w:p>
        </w:tc>
        <w:tc>
          <w:tcPr>
            <w:tcW w:type="dxa" w:w="33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hERG_Karim</w:t>
            </w:r>
          </w:p>
        </w:tc>
        <w:tc>
          <w:tcPr>
            <w:tcW w:type="dxa" w:w="25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13,445</w:t>
            </w:r>
          </w:p>
        </w:tc>
      </w:tr>
      <w:tr>
        <w:tc>
          <w:tcPr>
            <w:tcW w:type="dxa" w:w="3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Metabolic-enzyme inhibition (5 isoforms)</w:t>
            </w:r>
          </w:p>
        </w:tc>
        <w:tc>
          <w:tcPr>
            <w:tcW w:type="dxa" w:w="33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CYP-Veith series</w:t>
            </w:r>
          </w:p>
        </w:tc>
        <w:tc>
          <w:tcPr>
            <w:tcW w:type="dxa" w:w="25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center"/>
            </w:pPr>
            <w:r>
              <w:rPr>
                <w:rFonts w:ascii="Arial" w:cs="Arial" w:eastAsia="Arial" w:hAnsi="Arial"/>
                <w:b w:val="false"/>
                <w:bCs w:val="false"/>
                <w:i w:val="false"/>
                <w:iCs w:val="false"/>
                <w:color w:val="232333"/>
                <w:sz w:val="19"/>
                <w:szCs w:val="19"/>
              </w:rPr>
              <w:t xml:space="preserve">~12,000–13,000 each</w:t>
            </w:r>
          </w:p>
        </w:tc>
      </w:tr>
    </w:tbl>
    <w:p>
      <w:pPr>
        <w:spacing w:after="150" w:line="292"/>
      </w:pPr>
      <w:r>
        <w:rPr>
          <w:rFonts w:ascii="Arial" w:cs="Arial" w:eastAsia="Arial" w:hAnsi="Arial"/>
          <w:b w:val="false"/>
          <w:bCs w:val="false"/>
          <w:i w:val="false"/>
          <w:iCs w:val="false"/>
          <w:color w:val="232333"/>
          <w:sz w:val="21"/>
          <w:szCs w:val="21"/>
        </w:rPr>
        <w:t xml:space="preserve">Validated by cross-validation, this layer performs in the same band as established commercial QSPR ADMET tools, and it keeps the platform fully responsive even when the machine-learning suite is offline — with the source of every number always clearly labelled.</w:t>
      </w:r>
    </w:p>
    <w:p>
      <w:pPr>
        <w:pStyle w:val="Heading2"/>
        <w:keepNext/>
      </w:pPr>
      <w:r>
        <w:t xml:space="preserve">5.4  Physics-based methods</w:t>
      </w:r>
    </w:p>
    <w:p>
      <w:pPr>
        <w:spacing w:after="150" w:line="292"/>
      </w:pPr>
      <w:r>
        <w:rPr>
          <w:rFonts w:ascii="Arial" w:cs="Arial" w:eastAsia="Arial" w:hAnsi="Arial"/>
          <w:b w:val="false"/>
          <w:bCs w:val="false"/>
          <w:i w:val="false"/>
          <w:iCs w:val="false"/>
          <w:color w:val="232333"/>
          <w:sz w:val="21"/>
          <w:szCs w:val="21"/>
        </w:rPr>
        <w:t xml:space="preserve">Three methods in Layer 2 are grounded in physics rather than statistics. </w:t>
      </w:r>
      <w:r>
        <w:rPr>
          <w:rFonts w:ascii="Arial" w:cs="Arial" w:eastAsia="Arial" w:hAnsi="Arial"/>
          <w:b/>
          <w:bCs/>
          <w:i w:val="false"/>
          <w:iCs w:val="false"/>
          <w:color w:val="232333"/>
          <w:sz w:val="21"/>
          <w:szCs w:val="21"/>
        </w:rPr>
        <w:t xml:space="preserve">Molecular docking</w:t>
      </w:r>
      <w:r>
        <w:rPr>
          <w:rFonts w:ascii="Arial" w:cs="Arial" w:eastAsia="Arial" w:hAnsi="Arial"/>
          <w:b w:val="false"/>
          <w:bCs w:val="false"/>
          <w:i w:val="false"/>
          <w:iCs w:val="false"/>
          <w:color w:val="232333"/>
          <w:sz w:val="21"/>
          <w:szCs w:val="21"/>
        </w:rPr>
        <w:t xml:space="preserve"> places the molecule into a quality-ranked protein structure and returns a real binding pose. </w:t>
      </w:r>
      <w:r>
        <w:rPr>
          <w:rFonts w:ascii="Arial" w:cs="Arial" w:eastAsia="Arial" w:hAnsi="Arial"/>
          <w:b/>
          <w:bCs/>
          <w:i w:val="false"/>
          <w:iCs w:val="false"/>
          <w:color w:val="232333"/>
          <w:sz w:val="21"/>
          <w:szCs w:val="21"/>
        </w:rPr>
        <w:t xml:space="preserve">Free-energy perturbation</w:t>
      </w:r>
      <w:r>
        <w:rPr>
          <w:rFonts w:ascii="Arial" w:cs="Arial" w:eastAsia="Arial" w:hAnsi="Arial"/>
          <w:b w:val="false"/>
          <w:bCs w:val="false"/>
          <w:i w:val="false"/>
          <w:iCs w:val="false"/>
          <w:color w:val="232333"/>
          <w:sz w:val="21"/>
          <w:szCs w:val="21"/>
        </w:rPr>
        <w:t xml:space="preserve"> — a rigorous, GPU-accelerated method — delivers high-precision relative binding affinities for closely related molecules. And a </w:t>
      </w:r>
      <w:r>
        <w:rPr>
          <w:rFonts w:ascii="Arial" w:cs="Arial" w:eastAsia="Arial" w:hAnsi="Arial"/>
          <w:b/>
          <w:bCs/>
          <w:i w:val="false"/>
          <w:iCs w:val="false"/>
          <w:color w:val="232333"/>
          <w:sz w:val="21"/>
          <w:szCs w:val="21"/>
        </w:rPr>
        <w:t xml:space="preserve">two-compartment PBPK model</w:t>
      </w:r>
      <w:r>
        <w:rPr>
          <w:rFonts w:ascii="Arial" w:cs="Arial" w:eastAsia="Arial" w:hAnsi="Arial"/>
          <w:b w:val="false"/>
          <w:bCs w:val="false"/>
          <w:i w:val="false"/>
          <w:iCs w:val="false"/>
          <w:color w:val="232333"/>
          <w:sz w:val="21"/>
          <w:szCs w:val="21"/>
        </w:rPr>
        <w:t xml:space="preserve">, solved with a high-order numerical integrator, projects the full concentration–time profile: peak concentration, total exposure, half-life and clearance. Together they give Layer 2 an orthogonal, physics-based check on the statistical predictions from Layer 1.</w:t>
      </w:r>
    </w:p>
    <w:p>
      <w:pPr>
        <w:pStyle w:val="Heading1"/>
        <w:keepNext/>
        <w:pageBreakBefore/>
      </w:pPr>
      <w:r>
        <w:t xml:space="preserve">6.  Performance &amp; Validation</w:t>
      </w:r>
    </w:p>
    <w:p>
      <w:pPr>
        <w:spacing w:after="150" w:line="292"/>
      </w:pPr>
      <w:r>
        <w:rPr>
          <w:rFonts w:ascii="Arial" w:cs="Arial" w:eastAsia="Arial" w:hAnsi="Arial"/>
          <w:b w:val="false"/>
          <w:bCs w:val="false"/>
          <w:i w:val="false"/>
          <w:iCs w:val="false"/>
          <w:color w:val="232333"/>
          <w:sz w:val="21"/>
          <w:szCs w:val="21"/>
        </w:rPr>
        <w:t xml:space="preserve">Hakase BioTwin is built to be measured. Its models are benchmarked against published wet-lab data, validated on public datasets, and recalibrated on an ongoing basis. This section summarises that evidence.</w:t>
      </w:r>
    </w:p>
    <w:p>
      <w:pPr>
        <w:pStyle w:val="Heading2"/>
        <w:keepNext/>
      </w:pPr>
      <w:r>
        <w:t xml:space="preserve">6.1  Benchmarked against measured data</w:t>
      </w:r>
    </w:p>
    <w:p>
      <w:pPr>
        <w:spacing w:after="150" w:line="292"/>
      </w:pPr>
      <w:r>
        <w:rPr>
          <w:rFonts w:ascii="Arial" w:cs="Arial" w:eastAsia="Arial" w:hAnsi="Arial"/>
          <w:b w:val="false"/>
          <w:bCs w:val="false"/>
          <w:i w:val="false"/>
          <w:iCs w:val="false"/>
          <w:color w:val="232333"/>
          <w:sz w:val="21"/>
          <w:szCs w:val="21"/>
        </w:rPr>
        <w:t xml:space="preserve">Hakase BioTwin’s ADMET and pharmacokinetic predictions are benchmarked head-to-head against published wet-lab values for panels of marketed drugs. A dedicated, ongoing calibration program — most recently in the May 2026 cycle — keeps the models fitted to the best available measured data. On the core endpoints, the platform predicts within the following accuracy of measured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Endpoint</w:t>
            </w:r>
          </w:p>
        </w:tc>
        <w:tc>
          <w:tcPr>
            <w:tcW w:type="dxa" w:w="59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Accuracy vs. measured wet-lab values</w:t>
            </w:r>
          </w:p>
        </w:tc>
      </w:tr>
      <w:tr>
        <w:tc>
          <w:tcPr>
            <w:tcW w:type="dxa" w:w="3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Caco-2 permeability</w:t>
            </w:r>
          </w:p>
        </w:tc>
        <w:tc>
          <w:tcPr>
            <w:tcW w:type="dxa" w:w="5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Within ~2.2× — high-confidence ranking and triage</w:t>
            </w:r>
          </w:p>
        </w:tc>
      </w:tr>
      <w:tr>
        <w:tc>
          <w:tcPr>
            <w:tcW w:type="dxa" w:w="3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Half-life</w:t>
            </w:r>
          </w:p>
        </w:tc>
        <w:tc>
          <w:tcPr>
            <w:tcW w:type="dxa" w:w="5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Within ~2.4× of measured values</w:t>
            </w:r>
          </w:p>
        </w:tc>
      </w:tr>
      <w:tr>
        <w:tc>
          <w:tcPr>
            <w:tcW w:type="dxa" w:w="3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Plasma protein binding</w:t>
            </w:r>
          </w:p>
        </w:tc>
        <w:tc>
          <w:tcPr>
            <w:tcW w:type="dxa" w:w="5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Within ~3.3× of measured values</w:t>
            </w:r>
          </w:p>
        </w:tc>
      </w:tr>
      <w:tr>
        <w:tc>
          <w:tcPr>
            <w:tcW w:type="dxa" w:w="3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Cardiac (hERG) safety</w:t>
            </w:r>
          </w:p>
        </w:tc>
        <w:tc>
          <w:tcPr>
            <w:tcW w:type="dxa" w:w="5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Within ~4.7× of measured values</w:t>
            </w:r>
          </w:p>
        </w:tc>
      </w:tr>
    </w:tbl>
    <w:p>
      <w:pPr>
        <w:spacing w:after="150" w:line="292"/>
      </w:pPr>
      <w:r>
        <w:rPr>
          <w:rFonts w:ascii="Arial" w:cs="Arial" w:eastAsia="Arial" w:hAnsi="Arial"/>
          <w:b w:val="false"/>
          <w:bCs w:val="false"/>
          <w:i w:val="false"/>
          <w:iCs w:val="false"/>
          <w:color w:val="232333"/>
          <w:sz w:val="21"/>
          <w:szCs w:val="21"/>
        </w:rPr>
        <w:t xml:space="preserve">These figures place Hakase BioTwin firmly within the accuracy band of leading commercial in-silico ADMET platforms — precise enough to rank, prioritise and de-risk candidate molecules with confidence. For perspective, a wet-lab Caco-2 assay itself carries meaningful run-to-run variability; the platform’s predictions are the same order of magnitude as the laboratory measurement, delivered in seconds instead of weeks.</w:t>
      </w:r>
    </w:p>
    <w:p>
      <w:pPr>
        <w:pStyle w:val="Heading2"/>
        <w:keepNext/>
      </w:pPr>
      <w:r>
        <w:t xml:space="preserve">6.2  Validated safety screening</w:t>
      </w:r>
    </w:p>
    <w:p>
      <w:pPr>
        <w:spacing w:after="150" w:line="292"/>
      </w:pPr>
      <w:r>
        <w:rPr>
          <w:rFonts w:ascii="Arial" w:cs="Arial" w:eastAsia="Arial" w:hAnsi="Arial"/>
          <w:b w:val="false"/>
          <w:bCs w:val="false"/>
          <w:i w:val="false"/>
          <w:iCs w:val="false"/>
          <w:color w:val="232333"/>
          <w:sz w:val="21"/>
          <w:szCs w:val="21"/>
        </w:rPr>
        <w:t xml:space="preserve">The platform’s safety classifiers — covering cardiac, hepatic, mutagenic and reactive-metabolite liabilities — are validated against public benchmark datasets at cross-validated ROC-AUC of roughly 0.75–0.90, in line with or ahead of established commercial tools. Because these screens run in seconds on nothing but a molecule’s structure, a team can apply them to an entire candidate series on day one — catching the liabilities that most often cause late, expensive failures before any wet-lab budget is committed.</w:t>
      </w:r>
    </w:p>
    <w:p>
      <w:pPr>
        <w:pStyle w:val="Heading2"/>
        <w:keepNext/>
      </w:pPr>
      <w:r>
        <w:t xml:space="preserve">6.3  Positioned to de-risk the IND path</w:t>
      </w:r>
    </w:p>
    <w:p>
      <w:pPr>
        <w:spacing w:after="150" w:line="292"/>
      </w:pPr>
      <w:r>
        <w:rPr>
          <w:rFonts w:ascii="Arial" w:cs="Arial" w:eastAsia="Arial" w:hAnsi="Arial"/>
          <w:b w:val="false"/>
          <w:bCs w:val="false"/>
          <w:i w:val="false"/>
          <w:iCs w:val="false"/>
          <w:color w:val="232333"/>
          <w:sz w:val="21"/>
          <w:szCs w:val="21"/>
        </w:rPr>
        <w:t xml:space="preserve">Hakase BioTwin is purpose-built as the </w:t>
      </w:r>
      <w:r>
        <w:rPr>
          <w:rFonts w:ascii="Arial" w:cs="Arial" w:eastAsia="Arial" w:hAnsi="Arial"/>
          <w:b/>
          <w:bCs/>
          <w:i w:val="false"/>
          <w:iCs w:val="false"/>
          <w:color w:val="232333"/>
          <w:sz w:val="21"/>
          <w:szCs w:val="21"/>
        </w:rPr>
        <w:t xml:space="preserve">decision-support and prioritisation layer</w:t>
      </w:r>
      <w:r>
        <w:rPr>
          <w:rFonts w:ascii="Arial" w:cs="Arial" w:eastAsia="Arial" w:hAnsi="Arial"/>
          <w:b w:val="false"/>
          <w:bCs w:val="false"/>
          <w:i w:val="false"/>
          <w:iCs w:val="false"/>
          <w:color w:val="232333"/>
          <w:sz w:val="21"/>
          <w:szCs w:val="21"/>
        </w:rPr>
        <w:t xml:space="preserve"> of the preclinical workflow. It identifies the candidates that merit investment, focuses confirmatory wet-lab and IND-enabling studies where they add the most value, and assembles the resulting evidence into a single, regulator-ready package. The confirmatory studies that remain part of every IND submission are not replaced — they are made faster, cheaper and better targeted, because the team enters them already knowing which molecule to back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EDFA" w:sz="2"/>
              <w:left w:val="single" w:color="5B3FA8" w:sz="26"/>
              <w:bottom w:val="single" w:color="F1EDFA" w:sz="2"/>
              <w:right w:val="single" w:color="F1EDFA" w:sz="2"/>
            </w:tcBorders>
            <w:shd w:fill="F1EDFA" w:val="clear"/>
            <w:tcMar>
              <w:top w:type="dxa" w:w="160"/>
              <w:left w:type="dxa" w:w="230"/>
              <w:bottom w:type="dxa" w:w="160"/>
              <w:right w:type="dxa" w:w="210"/>
            </w:tcMar>
          </w:tcPr>
          <w:p>
            <w:pPr>
              <w:spacing w:after="100" w:line="288"/>
            </w:pPr>
            <w:r>
              <w:rPr>
                <w:rFonts w:ascii="Arial" w:cs="Arial" w:eastAsia="Arial" w:hAnsi="Arial"/>
                <w:b/>
                <w:bCs/>
                <w:i w:val="false"/>
                <w:iCs w:val="false"/>
                <w:color w:val="5B3FA8"/>
                <w:sz w:val="21"/>
                <w:szCs w:val="21"/>
              </w:rPr>
              <w:t xml:space="preserve">How teams put Hakase BioTwin to work</w:t>
            </w:r>
          </w:p>
          <w:p>
            <w:pPr>
              <w:spacing w:after="90" w:line="288"/>
            </w:pPr>
            <w:r>
              <w:rPr>
                <w:rFonts w:ascii="Arial" w:cs="Arial" w:eastAsia="Arial" w:hAnsi="Arial"/>
                <w:b w:val="false"/>
                <w:bCs w:val="false"/>
                <w:i w:val="false"/>
                <w:iCs w:val="false"/>
                <w:color w:val="232333"/>
                <w:sz w:val="20"/>
                <w:szCs w:val="20"/>
              </w:rPr>
              <w:t xml:space="preserve">•  Triage a candidate series in hours, advancing only the molecules with the strongest evidence.</w:t>
            </w:r>
          </w:p>
          <w:p>
            <w:pPr>
              <w:spacing w:after="90" w:line="288"/>
            </w:pPr>
            <w:r>
              <w:rPr>
                <w:rFonts w:ascii="Arial" w:cs="Arial" w:eastAsia="Arial" w:hAnsi="Arial"/>
                <w:b w:val="false"/>
                <w:bCs w:val="false"/>
                <w:i w:val="false"/>
                <w:iCs w:val="false"/>
                <w:color w:val="232333"/>
                <w:sz w:val="20"/>
                <w:szCs w:val="20"/>
              </w:rPr>
              <w:t xml:space="preserve">•  Catch cardiac, hepatic and mutagenic liabilities on day one — before wet-lab spend is committed.</w:t>
            </w:r>
          </w:p>
          <w:p>
            <w:pPr>
              <w:spacing w:after="90" w:line="288"/>
            </w:pPr>
            <w:r>
              <w:rPr>
                <w:rFonts w:ascii="Arial" w:cs="Arial" w:eastAsia="Arial" w:hAnsi="Arial"/>
                <w:b w:val="false"/>
                <w:bCs w:val="false"/>
                <w:i w:val="false"/>
                <w:iCs w:val="false"/>
                <w:color w:val="232333"/>
                <w:sz w:val="20"/>
                <w:szCs w:val="20"/>
              </w:rPr>
              <w:t xml:space="preserve">•  Direct confirmatory studies precisely, cutting the cost and time of the IND-enabling package.</w:t>
            </w:r>
          </w:p>
          <w:p>
            <w:pPr>
              <w:spacing w:after="0" w:line="288"/>
            </w:pPr>
            <w:r>
              <w:rPr>
                <w:rFonts w:ascii="Arial" w:cs="Arial" w:eastAsia="Arial" w:hAnsi="Arial"/>
                <w:b w:val="false"/>
                <w:bCs w:val="false"/>
                <w:i w:val="false"/>
                <w:iCs w:val="false"/>
                <w:color w:val="232333"/>
                <w:sz w:val="20"/>
                <w:szCs w:val="20"/>
              </w:rPr>
              <w:t xml:space="preserve">•  Hand partners, CROs and regulators a sealed, traceable evidence package that accelerates every conversation.</w:t>
            </w:r>
          </w:p>
        </w:tc>
      </w:tr>
    </w:tbl>
    <w:p>
      <w:pPr>
        <w:pStyle w:val="Heading1"/>
        <w:keepNext/>
        <w:pageBreakBefore/>
      </w:pPr>
      <w:r>
        <w:t xml:space="preserve">7.  Governance, Safety &amp; Regulatory Alignment</w:t>
      </w:r>
    </w:p>
    <w:p>
      <w:pPr>
        <w:spacing w:after="150" w:line="292"/>
      </w:pPr>
      <w:r>
        <w:rPr>
          <w:rFonts w:ascii="Arial" w:cs="Arial" w:eastAsia="Arial" w:hAnsi="Arial"/>
          <w:b w:val="false"/>
          <w:bCs w:val="false"/>
          <w:i w:val="false"/>
          <w:iCs w:val="false"/>
          <w:color w:val="232333"/>
          <w:sz w:val="21"/>
          <w:szCs w:val="21"/>
        </w:rPr>
        <w:t xml:space="preserve">Hakase BioTwin is built so its outputs can stand up to scrutiny — by a regulator, an auditor, or a licensing partner. Governance is not a layer added at the end; it runs through the whole platform under the HAIOps framework, and it is one of the platform’s strongest assets.</w:t>
      </w:r>
    </w:p>
    <w:p>
      <w:pPr>
        <w:pStyle w:val="Heading2"/>
        <w:keepNext/>
      </w:pPr>
      <w:r>
        <w:t xml:space="preserve">7.1  HAIOps — five governance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Pillar</w:t>
            </w:r>
          </w:p>
        </w:tc>
        <w:tc>
          <w:tcPr>
            <w:tcW w:type="dxa" w:w="69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delivers</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Clinical Validation</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model card, training corpus and validation record for every machine-learning prediction.</w:t>
            </w:r>
          </w:p>
        </w:tc>
      </w:tr>
      <w:tr>
        <w:tc>
          <w:tcPr>
            <w:tcW w:type="dxa" w:w="2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Regulatory Audit Trail</w:t>
            </w:r>
          </w:p>
        </w:tc>
        <w:tc>
          <w:tcPr>
            <w:tcW w:type="dxa" w:w="6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Every decision and exception captured with the responsible role, the justification and the governing policy.</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Patient Safety Surveillance</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Safety Flag Cascade — a safety flag raised at any layer is carried forward to every layer that follows.</w:t>
            </w:r>
          </w:p>
        </w:tc>
      </w:tr>
      <w:tr>
        <w:tc>
          <w:tcPr>
            <w:tcW w:type="dxa" w:w="2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Compliance Monitoring</w:t>
            </w:r>
          </w:p>
        </w:tc>
        <w:tc>
          <w:tcPr>
            <w:tcW w:type="dxa" w:w="6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codified rules engine mapping platform outputs to ICH and FDA requirements.</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Confidence Scoring</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Evidence-grade labelling that follows every number through the entire pipeline.</w:t>
            </w:r>
          </w:p>
        </w:tc>
      </w:tr>
    </w:tbl>
    <w:p>
      <w:pPr>
        <w:pStyle w:val="Heading2"/>
        <w:keepNext/>
      </w:pPr>
      <w:r>
        <w:t xml:space="preserve">7.2  The Safety Flag Cascade</w:t>
      </w:r>
    </w:p>
    <w:p>
      <w:pPr>
        <w:spacing w:after="150" w:line="292"/>
      </w:pPr>
      <w:r>
        <w:rPr>
          <w:rFonts w:ascii="Arial" w:cs="Arial" w:eastAsia="Arial" w:hAnsi="Arial"/>
          <w:b w:val="false"/>
          <w:bCs w:val="false"/>
          <w:i w:val="false"/>
          <w:iCs w:val="false"/>
          <w:color w:val="232333"/>
          <w:sz w:val="21"/>
          <w:szCs w:val="21"/>
        </w:rPr>
        <w:t xml:space="preserve">Safety signals — cardiac, hepatic, drug-interaction, narrow-margin and others — are raised at the layer that first detects them and </w:t>
      </w:r>
      <w:r>
        <w:rPr>
          <w:rFonts w:ascii="Arial" w:cs="Arial" w:eastAsia="Arial" w:hAnsi="Arial"/>
          <w:b/>
          <w:bCs/>
          <w:i w:val="false"/>
          <w:iCs w:val="false"/>
          <w:color w:val="232333"/>
          <w:sz w:val="21"/>
          <w:szCs w:val="21"/>
        </w:rPr>
        <w:t xml:space="preserve">cascade forward</w:t>
      </w:r>
      <w:r>
        <w:rPr>
          <w:rFonts w:ascii="Arial" w:cs="Arial" w:eastAsia="Arial" w:hAnsi="Arial"/>
          <w:b w:val="false"/>
          <w:bCs w:val="false"/>
          <w:i w:val="false"/>
          <w:iCs w:val="false"/>
          <w:color w:val="232333"/>
          <w:sz w:val="21"/>
          <w:szCs w:val="21"/>
        </w:rPr>
        <w:t xml:space="preserve"> through every downstream layer. A flag raised in Layer 1 is still visible, and still requires acknowledgement, in Layer 4. Nothing is quietly dropped: a safety concern, once identified, stays in front of the team until it is formally addressed.</w:t>
      </w:r>
    </w:p>
    <w:p>
      <w:pPr>
        <w:pStyle w:val="Heading2"/>
        <w:keepNext/>
      </w:pPr>
      <w:r>
        <w:t xml:space="preserve">7.3  Sealed, tamper-evident evidence</w:t>
      </w:r>
    </w:p>
    <w:p>
      <w:pPr>
        <w:spacing w:after="150" w:line="292"/>
      </w:pPr>
      <w:r>
        <w:rPr>
          <w:rFonts w:ascii="Arial" w:cs="Arial" w:eastAsia="Arial" w:hAnsi="Arial"/>
          <w:b w:val="false"/>
          <w:bCs w:val="false"/>
          <w:i w:val="false"/>
          <w:iCs w:val="false"/>
          <w:color w:val="232333"/>
          <w:sz w:val="21"/>
          <w:szCs w:val="21"/>
        </w:rPr>
        <w:t xml:space="preserve">Every sealed block in the pipeline is cryptographically chained to the one before it. Because each block’s seal incorporates the seal of the block upstream, </w:t>
      </w:r>
      <w:r>
        <w:rPr>
          <w:rFonts w:ascii="Arial" w:cs="Arial" w:eastAsia="Arial" w:hAnsi="Arial"/>
          <w:b/>
          <w:bCs/>
          <w:i w:val="false"/>
          <w:iCs w:val="false"/>
          <w:color w:val="232333"/>
          <w:sz w:val="21"/>
          <w:szCs w:val="21"/>
        </w:rPr>
        <w:t xml:space="preserve">any later change to any upstream value invalidates every seal that follows</w:t>
      </w:r>
      <w:r>
        <w:rPr>
          <w:rFonts w:ascii="Arial" w:cs="Arial" w:eastAsia="Arial" w:hAnsi="Arial"/>
          <w:b w:val="false"/>
          <w:bCs w:val="false"/>
          <w:i w:val="false"/>
          <w:iCs w:val="false"/>
          <w:color w:val="232333"/>
          <w:sz w:val="21"/>
          <w:szCs w:val="21"/>
        </w:rPr>
        <w:t xml:space="preserve">. A regulator or a partner can re-verify the chain from the exported package, and if anything has been altered, the mismatch identifies exactly where. The result is an evidence package whose integrity can be proven, not merely asserted — a meaningful advantage in licensing, partnering and regulatory conversations.</w:t>
      </w:r>
    </w:p>
    <w:p>
      <w:pPr>
        <w:pStyle w:val="Heading2"/>
        <w:keepNext/>
      </w:pPr>
      <w:r>
        <w:t xml:space="preserve">7.4  Regulatory alignment</w:t>
      </w:r>
    </w:p>
    <w:p>
      <w:pPr>
        <w:spacing w:after="150" w:line="292"/>
      </w:pPr>
      <w:r>
        <w:rPr>
          <w:rFonts w:ascii="Arial" w:cs="Arial" w:eastAsia="Arial" w:hAnsi="Arial"/>
          <w:b w:val="false"/>
          <w:bCs w:val="false"/>
          <w:i w:val="false"/>
          <w:iCs w:val="false"/>
          <w:color w:val="232333"/>
          <w:sz w:val="21"/>
          <w:szCs w:val="21"/>
        </w:rPr>
        <w:t xml:space="preserve">The platform maps its outputs to recognised international standards rather than inventing its own. Study definitions and species selection follow ICH M3(R2); safety pharmacology follows ICH S7A and S7B; the genotoxicity battery follows ICH S2(R1); cardiac QT assessment follows ICH E14; and the First-In-Human starting dose follows established FDA and EMA guidance. Adverse-event signals are calibrated against the FDA’s post-market database, and toxicity predictions are cross-referenced to public toxicology references. The sealed PreClinicalPackage carries all of this through as the regulator-facing deliverable.</w:t>
      </w:r>
    </w:p>
    <w:p>
      <w:pPr>
        <w:pStyle w:val="Heading1"/>
        <w:keepNext/>
        <w:pageBreakBefore/>
      </w:pPr>
      <w:r>
        <w:t xml:space="preserve">8.  Why Hakase BioTwin</w:t>
      </w:r>
    </w:p>
    <w:p>
      <w:pPr>
        <w:spacing w:after="150" w:line="292"/>
      </w:pPr>
      <w:r>
        <w:rPr>
          <w:rFonts w:ascii="Arial" w:cs="Arial" w:eastAsia="Arial" w:hAnsi="Arial"/>
          <w:b w:val="false"/>
          <w:bCs w:val="false"/>
          <w:i w:val="false"/>
          <w:iCs w:val="false"/>
          <w:color w:val="232333"/>
          <w:sz w:val="21"/>
          <w:szCs w:val="21"/>
        </w:rPr>
        <w:t xml:space="preserve">Most teams approach preclinical triage with one of three things: a point ADMET-prediction tool, a panel of CRO assays, or expert analysis stitched together across many databases. Each has a real limitation — point tools predict without confirming or auditing; CRO panels are slow and costly; manual analysis does not scale. Hakase BioTwin is designed around exactly those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Differentiator</w:t>
            </w:r>
          </w:p>
        </w:tc>
        <w:tc>
          <w:tcPr>
            <w:tcW w:type="dxa" w:w="696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What it means for a team</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Zero-lab, end-to-end</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One in-silico cascade from structure to FIH readiness — no CRO scheduling, no vendor dependency. Runs in hours and scales to hundreds of molecules.</w:t>
            </w:r>
          </w:p>
        </w:tc>
      </w:tr>
      <w:tr>
        <w:tc>
          <w:tcPr>
            <w:tcW w:type="dxa" w:w="2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Evidence you can trust</w:t>
            </w:r>
          </w:p>
        </w:tc>
        <w:tc>
          <w:tcPr>
            <w:tcW w:type="dxa" w:w="6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Every number is traceable to its source and labelled by evidence grade — model outputs become defensible evidence.</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Predict-then-confirm</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governance engine corroborates every prediction against independent streams and real data — the discipline regulators and partners expect.</w:t>
            </w:r>
          </w:p>
        </w:tc>
      </w:tr>
      <w:tr>
        <w:tc>
          <w:tcPr>
            <w:tcW w:type="dxa" w:w="2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Sealed and verifiable</w:t>
            </w:r>
          </w:p>
        </w:tc>
        <w:tc>
          <w:tcPr>
            <w:tcW w:type="dxa" w:w="6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cryptographic seal chain makes the whole evidence trail tamper-evident — integrity that can be proven.</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Benchmarked accuracy</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ADMET and PK accuracy in line with leading commercial platforms, openly validated against public measured data.</w:t>
            </w:r>
          </w:p>
        </w:tc>
      </w:tr>
      <w:tr>
        <w:tc>
          <w:tcPr>
            <w:tcW w:type="dxa" w:w="240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Privacy-first</w:t>
            </w:r>
          </w:p>
        </w:tc>
        <w:tc>
          <w:tcPr>
            <w:tcW w:type="dxa" w:w="696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Proprietary chemistry stays under the team’s control — a critical advantage for novel pipelines.</w:t>
            </w:r>
          </w:p>
        </w:tc>
      </w:tr>
      <w:tr>
        <w:tc>
          <w:tcPr>
            <w:tcW w:type="dxa" w:w="240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Part of an enterprise platform</w:t>
            </w:r>
          </w:p>
        </w:tc>
        <w:tc>
          <w:tcPr>
            <w:tcW w:type="dxa" w:w="696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Bio is one surface on a shared engine — a molecule can flow from Diagen discovery through Bio to Hakase Clinical without leaving the ecosystem.</w:t>
            </w:r>
          </w:p>
        </w:tc>
      </w:tr>
    </w:tbl>
    <w:p>
      <w:pPr>
        <w:pStyle w:val="Heading1"/>
        <w:keepNext/>
        <w:pageBreakBefore/>
      </w:pPr>
      <w:r>
        <w:t xml:space="preserve">9.  Roadmap &amp; Vision</w:t>
      </w:r>
    </w:p>
    <w:p>
      <w:pPr>
        <w:spacing w:after="150" w:line="292"/>
      </w:pPr>
      <w:r>
        <w:rPr>
          <w:rFonts w:ascii="Arial" w:cs="Arial" w:eastAsia="Arial" w:hAnsi="Arial"/>
          <w:b w:val="false"/>
          <w:bCs w:val="false"/>
          <w:i w:val="false"/>
          <w:iCs w:val="false"/>
          <w:color w:val="232333"/>
          <w:sz w:val="21"/>
          <w:szCs w:val="21"/>
        </w:rPr>
        <w:t xml:space="preserve">Hakase BioTwin is complete and in use today as a four-layer preclinical platform. Continued investment is focused on deepening its evidence, broadening its data, and extending the Hakase enterprise platform around it.</w:t>
      </w:r>
    </w:p>
    <w:p>
      <w:pPr>
        <w:pStyle w:val="Heading2"/>
        <w:keepNext/>
      </w:pPr>
      <w:r>
        <w:t xml:space="preserve">Strengthening the platform</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Expanding the validated model library</w:t>
      </w:r>
      <w:r>
        <w:rPr>
          <w:rFonts w:ascii="Arial" w:cs="Arial" w:eastAsia="Arial" w:hAnsi="Arial"/>
          <w:b w:val="false"/>
          <w:bCs w:val="false"/>
          <w:i w:val="false"/>
          <w:iCs w:val="false"/>
          <w:color w:val="232333"/>
          <w:sz w:val="21"/>
          <w:szCs w:val="21"/>
        </w:rPr>
        <w:t xml:space="preserve"> — including next-generation cardiac and hepatic safety models trained on larger datasets, for even sharper early screening.</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Deeper cross-layer evidence flow</w:t>
      </w:r>
      <w:r>
        <w:rPr>
          <w:rFonts w:ascii="Arial" w:cs="Arial" w:eastAsia="Arial" w:hAnsi="Arial"/>
          <w:b w:val="false"/>
          <w:bCs w:val="false"/>
          <w:i w:val="false"/>
          <w:iCs w:val="false"/>
          <w:color w:val="232333"/>
          <w:sz w:val="21"/>
          <w:szCs w:val="21"/>
        </w:rPr>
        <w:t xml:space="preserve"> — so confirmation-stage measurements feed automatically into the dose-defining calculations downstream.</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Live cell-type and tissue-resolution analytics</w:t>
      </w:r>
      <w:r>
        <w:rPr>
          <w:rFonts w:ascii="Arial" w:cs="Arial" w:eastAsia="Arial" w:hAnsi="Arial"/>
          <w:b w:val="false"/>
          <w:bCs w:val="false"/>
          <w:i w:val="false"/>
          <w:iCs w:val="false"/>
          <w:color w:val="232333"/>
          <w:sz w:val="21"/>
          <w:szCs w:val="21"/>
        </w:rPr>
        <w:t xml:space="preserve"> — as additional public reference atlases are integrated into the ex-vivo evidence stream.</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An interactive First-In-Human planning workspace</w:t>
      </w:r>
      <w:r>
        <w:rPr>
          <w:rFonts w:ascii="Arial" w:cs="Arial" w:eastAsia="Arial" w:hAnsi="Arial"/>
          <w:b w:val="false"/>
          <w:bCs w:val="false"/>
          <w:i w:val="false"/>
          <w:iCs w:val="false"/>
          <w:color w:val="232333"/>
          <w:sz w:val="21"/>
          <w:szCs w:val="21"/>
        </w:rPr>
        <w:t xml:space="preserve"> — turning the Layer 4 readiness assessment into a hands-on planning tool.</w:t>
      </w:r>
    </w:p>
    <w:p>
      <w:pPr>
        <w:pStyle w:val="Heading2"/>
        <w:keepNext/>
      </w:pPr>
      <w:r>
        <w:t xml:space="preserve">Commercial and enterprise expansion</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A Premium data tier</w:t>
      </w:r>
      <w:r>
        <w:rPr>
          <w:rFonts w:ascii="Arial" w:cs="Arial" w:eastAsia="Arial" w:hAnsi="Arial"/>
          <w:b w:val="false"/>
          <w:bCs w:val="false"/>
          <w:i w:val="false"/>
          <w:iCs w:val="false"/>
          <w:color w:val="232333"/>
          <w:sz w:val="21"/>
          <w:szCs w:val="21"/>
        </w:rPr>
        <w:t xml:space="preserve"> — adding licensed, structured pharmacology, adverse-reaction and drug-interaction data for teams that want the deepest evidence base.</w:t>
      </w:r>
    </w:p>
    <w:p>
      <w:pPr>
        <w:pStyle w:val="ListParagraph"/>
        <w:numPr>
          <w:ilvl w:val="0"/>
          <w:numId w:val="3"/>
        </w:numPr>
        <w:spacing w:after="100" w:line="286"/>
      </w:pPr>
      <w:r>
        <w:rPr>
          <w:rFonts w:ascii="Arial" w:cs="Arial" w:eastAsia="Arial" w:hAnsi="Arial"/>
          <w:b w:val="false"/>
          <w:bCs w:val="false"/>
          <w:i w:val="false"/>
          <w:iCs w:val="false"/>
          <w:color w:val="232333"/>
          <w:sz w:val="21"/>
          <w:szCs w:val="21"/>
        </w:rPr>
        <w:t xml:space="preserve"/>
      </w:r>
      <w:r>
        <w:rPr>
          <w:rFonts w:ascii="Arial" w:cs="Arial" w:eastAsia="Arial" w:hAnsi="Arial"/>
          <w:b/>
          <w:bCs/>
          <w:i w:val="false"/>
          <w:iCs w:val="false"/>
          <w:color w:val="232333"/>
          <w:sz w:val="21"/>
          <w:szCs w:val="21"/>
        </w:rPr>
        <w:t xml:space="preserve">Enterprise expansion</w:t>
      </w:r>
      <w:r>
        <w:rPr>
          <w:rFonts w:ascii="Arial" w:cs="Arial" w:eastAsia="Arial" w:hAnsi="Arial"/>
          <w:b w:val="false"/>
          <w:bCs w:val="false"/>
          <w:i w:val="false"/>
          <w:iCs w:val="false"/>
          <w:color w:val="232333"/>
          <w:sz w:val="21"/>
          <w:szCs w:val="21"/>
        </w:rPr>
        <w:t xml:space="preserve"> — bringing the two roadmap modules, CMC and Quality, into full ownership on the same shared engine, completing end-to-end coverage of the pharmaceutical value chain.</w:t>
      </w:r>
    </w:p>
    <w:p>
      <w:pPr>
        <w:pStyle w:val="Heading1"/>
        <w:keepNext/>
        <w:pageBreakBefore/>
      </w:pPr>
      <w:r>
        <w:t xml:space="preserve">10.  The Opportunity</w:t>
      </w:r>
    </w:p>
    <w:p>
      <w:pPr>
        <w:spacing w:after="150" w:line="292"/>
      </w:pPr>
      <w:r>
        <w:rPr>
          <w:rFonts w:ascii="Arial" w:cs="Arial" w:eastAsia="Arial" w:hAnsi="Arial"/>
          <w:b w:val="false"/>
          <w:bCs w:val="false"/>
          <w:i w:val="false"/>
          <w:iCs w:val="false"/>
          <w:color w:val="232333"/>
          <w:sz w:val="21"/>
          <w:szCs w:val="21"/>
        </w:rPr>
        <w:t xml:space="preserve">Hakase BioTwin is complete, validated and in use today. It turns a chemical structure into a defensible First-In-Human readiness package in hours — compressing development timelines, reducing the cost of late-stage failure, and producing evidence that accelerates every downstream conversation.</w:t>
      </w:r>
    </w:p>
    <w:p>
      <w:pPr>
        <w:spacing w:after="150" w:line="292"/>
      </w:pPr>
      <w:r>
        <w:rPr>
          <w:rFonts w:ascii="Arial" w:cs="Arial" w:eastAsia="Arial" w:hAnsi="Arial"/>
          <w:b w:val="false"/>
          <w:bCs w:val="false"/>
          <w:i w:val="false"/>
          <w:iCs w:val="false"/>
          <w:color w:val="232333"/>
          <w:sz w:val="21"/>
          <w:szCs w:val="21"/>
        </w:rPr>
        <w:t xml:space="preserve">For drug-discovery teams, it is a decisive advantage in the most expensive decision in early development: knowing which molecules to back, and why. For partners and investors, it is the most mature module of a platform with a clear line of sight to covering the entire pharmaceutical value chain — one engine, many surfaces, from the first idea for a molecule to real-world patient evidence.</w:t>
      </w:r>
    </w:p>
    <w:p>
      <w:pPr>
        <w:spacing w:after="150" w:line="292"/>
      </w:pPr>
      <w:r>
        <w:rPr>
          <w:rFonts w:ascii="Arial" w:cs="Arial" w:eastAsia="Arial" w:hAnsi="Arial"/>
          <w:b w:val="false"/>
          <w:bCs w:val="false"/>
          <w:i w:val="false"/>
          <w:iCs w:val="false"/>
          <w:color w:val="232333"/>
          <w:sz w:val="21"/>
          <w:szCs w:val="21"/>
        </w:rPr>
        <w:t xml:space="preserve">The preclinical platform is ready. The enterprise vision is underway. </w:t>
      </w:r>
      <w:r>
        <w:rPr>
          <w:rFonts w:ascii="Arial" w:cs="Arial" w:eastAsia="Arial" w:hAnsi="Arial"/>
          <w:b/>
          <w:bCs/>
          <w:i w:val="false"/>
          <w:iCs w:val="false"/>
          <w:color w:val="232333"/>
          <w:sz w:val="21"/>
          <w:szCs w:val="21"/>
        </w:rPr>
        <w:t xml:space="preserve">Hakase BioTwin is where it begins.</w:t>
      </w:r>
      <w:r>
        <w:rPr>
          <w:rFonts w:ascii="Arial" w:cs="Arial" w:eastAsia="Arial" w:hAnsi="Arial"/>
          <w:b w:val="false"/>
          <w:bCs w:val="false"/>
          <w:i w:val="false"/>
          <w:iCs w:val="false"/>
          <w:color w:val="232333"/>
          <w:sz w:val="21"/>
          <w:szCs w:val="21"/>
        </w:rPr>
        <w:t xml:space="preserve"/>
      </w:r>
    </w:p>
    <w:p>
      <w:pPr>
        <w:pBdr>
          <w:top w:val="single" w:color="D9D2EC" w:sz="8" w:space="10"/>
        </w:pBdr>
        <w:spacing w:after="0" w:before="300"/>
      </w:pPr>
      <w:r>
        <w:rPr>
          <w:rFonts w:ascii="Arial" w:cs="Arial" w:eastAsia="Arial" w:hAnsi="Arial"/>
          <w:b w:val="false"/>
          <w:bCs w:val="false"/>
          <w:i/>
          <w:iCs/>
          <w:color w:val="595968"/>
          <w:sz w:val="18"/>
          <w:szCs w:val="18"/>
        </w:rPr>
        <w:t xml:space="preserve">Hakase BioTwin &amp; Hakase AI — Platform Overview  ·  Version 2.0  ·  May 2026</w:t>
      </w:r>
    </w:p>
    <w:p>
      <w:pPr>
        <w:pStyle w:val="Heading1"/>
        <w:keepNext/>
        <w:pageBreakBefore/>
      </w:pPr>
      <w:r>
        <w:t xml:space="preserve">Appendix A — Glossary</w:t>
      </w:r>
    </w:p>
    <w:p>
      <w:pPr>
        <w:spacing w:after="150" w:line="292"/>
      </w:pPr>
      <w:r>
        <w:rPr>
          <w:rFonts w:ascii="Arial" w:cs="Arial" w:eastAsia="Arial" w:hAnsi="Arial"/>
          <w:b w:val="false"/>
          <w:bCs w:val="false"/>
          <w:i/>
          <w:iCs/>
          <w:color w:val="595968"/>
          <w:sz w:val="19"/>
          <w:szCs w:val="19"/>
        </w:rPr>
        <w:t xml:space="preserve">Selected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7510"/>
      </w:tblGrid>
      <w:tr>
        <w:trPr>
          <w:tblHeader/>
        </w:trPr>
        <w:tc>
          <w:tcPr>
            <w:tcW w:type="dxa" w:w="185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Term</w:t>
            </w:r>
          </w:p>
        </w:tc>
        <w:tc>
          <w:tcPr>
            <w:tcW w:type="dxa" w:w="7510"/>
            <w:tcBorders>
              <w:top w:val="single" w:color="D9D2EC" w:sz="1"/>
              <w:left w:val="single" w:color="D9D2EC" w:sz="1"/>
              <w:bottom w:val="single" w:color="D9D2EC" w:sz="1"/>
              <w:right w:val="single" w:color="D9D2EC" w:sz="1"/>
            </w:tcBorders>
            <w:shd w:fill="5B3FA8" w:val="clear"/>
            <w:tcMar>
              <w:top w:type="dxa" w:w="95"/>
              <w:left w:type="dxa" w:w="115"/>
              <w:bottom w:type="dxa" w:w="95"/>
              <w:right w:type="dxa" w:w="115"/>
            </w:tcMar>
            <w:vAlign w:val="center"/>
          </w:tcPr>
          <w:p>
            <w:pPr>
              <w:spacing w:after="0" w:line="264"/>
              <w:jc w:val="left"/>
            </w:pPr>
            <w:r>
              <w:rPr>
                <w:rFonts w:ascii="Arial" w:cs="Arial" w:eastAsia="Arial" w:hAnsi="Arial"/>
                <w:b/>
                <w:bCs/>
                <w:i w:val="false"/>
                <w:iCs w:val="false"/>
                <w:color w:val="FFFFFF"/>
                <w:sz w:val="19"/>
                <w:szCs w:val="19"/>
              </w:rPr>
              <w:t xml:space="preserve">Definition</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ADMET</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Absorption, Distribution, Metabolism, Excretion, Toxicity — the five pharmacokinetic and safety axes profiled in Layer 1.</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Confirmation Engine</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Layer 2 governance framework that reconciles predictions against measured data and seals the result.</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Evidence grade</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traceability label on every output — experimental, enriched, ML, structural, heuristic or unavailable.</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Falsifier</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A pre-registered, machine-checkable condition that would prove a prediction wrong if a measurement contradicted it.</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FIH</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First-In-Human — the readiness assessment that Layer 4 produces.</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GO / WATCH / NO-GO</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headline Layer 1 verdict on whether a molecule is worth advancing.</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hERG</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cardiac ion channel whose blockade is a key cardiac-safety risk; a central screening endpoint.</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HED</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Human Equivalent Dose — computed in Layer 3 by two independent scaling methods.</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IND</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Investigational New Drug — the regulatory submission that Layer 4 prepares for.</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IVIVE</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In-Vitro to In-Vivo Extrapolation — the readiness gate between Layer 2 and Layer 3.</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MABEL</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Minimum Anticipated Biological Effect Level — the conservative basis for a first human dose.</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NOAEL / MTD</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No Observed Adverse Effect Level / Maximum Tolerated Dose — the dose-defining outputs of Layer 3.</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PBPK</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Physiologically-Based Pharmacokinetic modelling — a model of how a drug moves through the body.</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PreClinicalPackage</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sealed, tamper-evident evidence bundle that the platform produces as its final deliverable.</w:t>
            </w:r>
          </w:p>
        </w:tc>
      </w:tr>
      <w:tr>
        <w:tc>
          <w:tcPr>
            <w:tcW w:type="dxa" w:w="185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QSPR</w:t>
            </w:r>
          </w:p>
        </w:tc>
        <w:tc>
          <w:tcPr>
            <w:tcW w:type="dxa" w:w="7510"/>
            <w:tcBorders>
              <w:top w:val="single" w:color="D9D2EC" w:sz="1"/>
              <w:left w:val="single" w:color="D9D2EC" w:sz="1"/>
              <w:bottom w:val="single" w:color="D9D2EC" w:sz="1"/>
              <w:right w:val="single" w:color="D9D2EC" w:sz="1"/>
            </w:tcBorders>
            <w:shd w:fill="FFFFFF"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Quantitative Structure–Property Relationship — a model mapping chemical structure to a property.</w:t>
            </w:r>
          </w:p>
        </w:tc>
      </w:tr>
      <w:tr>
        <w:tc>
          <w:tcPr>
            <w:tcW w:type="dxa" w:w="185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Zero-lab</w:t>
            </w:r>
          </w:p>
        </w:tc>
        <w:tc>
          <w:tcPr>
            <w:tcW w:type="dxa" w:w="7510"/>
            <w:tcBorders>
              <w:top w:val="single" w:color="D9D2EC" w:sz="1"/>
              <w:left w:val="single" w:color="D9D2EC" w:sz="1"/>
              <w:bottom w:val="single" w:color="D9D2EC" w:sz="1"/>
              <w:right w:val="single" w:color="D9D2EC" w:sz="1"/>
            </w:tcBorders>
            <w:shd w:fill="F6F4FB" w:val="clear"/>
            <w:tcMar>
              <w:top w:type="dxa" w:w="85"/>
              <w:left w:type="dxa" w:w="115"/>
              <w:bottom w:type="dxa" w:w="85"/>
              <w:right w:type="dxa" w:w="115"/>
            </w:tcMar>
            <w:vAlign w:val="center"/>
          </w:tcPr>
          <w:p>
            <w:pPr>
              <w:spacing w:after="0" w:line="264"/>
              <w:jc w:val="left"/>
            </w:pPr>
            <w:r>
              <w:rPr>
                <w:rFonts w:ascii="Arial" w:cs="Arial" w:eastAsia="Arial" w:hAnsi="Arial"/>
                <w:b w:val="false"/>
                <w:bCs w:val="false"/>
                <w:i w:val="false"/>
                <w:iCs w:val="false"/>
                <w:color w:val="232333"/>
                <w:sz w:val="19"/>
                <w:szCs w:val="19"/>
              </w:rPr>
              <w:t xml:space="preserve">The principle that the pipeline runs 100% in software, with no physical assays in the path.</w:t>
            </w:r>
          </w:p>
        </w:tc>
      </w:tr>
    </w:tbl>
    <w:sectPr>
      <w:headerReference w:type="default" r:id="rId7"/>
      <w:footerReference w:type="default" r:id="rId8"/>
      <w:pgSz w:w="12240" w:h="15840" w:orient="portrait"/>
      <w:pgMar w:top="132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EC" w:sz="4" w:space="4"/>
      </w:pBdr>
      <w:tabs>
        <w:tab w:val="right" w:pos="9360"/>
      </w:tabs>
      <w:spacing w:before="0"/>
    </w:pPr>
    <w:r>
      <w:rPr>
        <w:rFonts w:ascii="Arial" w:cs="Arial" w:eastAsia="Arial" w:hAnsi="Arial"/>
        <w:color w:val="595968"/>
        <w:sz w:val="15"/>
        <w:szCs w:val="15"/>
      </w:rPr>
      <w:t xml:space="preserve">Hakase AI  ·  Platform Overview</w:t>
    </w:r>
    <w:r>
      <w:rPr>
        <w:rFonts w:ascii="Arial" w:cs="Arial" w:eastAsia="Arial" w:hAnsi="Arial"/>
        <w:color w:val="595968"/>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C" w:sz="4" w:space="4"/>
      </w:pBdr>
      <w:tabs>
        <w:tab w:val="right" w:pos="9360"/>
      </w:tabs>
      <w:spacing w:after="0"/>
    </w:pPr>
    <w:r>
      <w:rPr>
        <w:rFonts w:ascii="Arial" w:cs="Arial" w:eastAsia="Arial" w:hAnsi="Arial"/>
        <w:b/>
        <w:bCs/>
        <w:color w:val="5B3FA8"/>
        <w:sz w:val="15"/>
        <w:szCs w:val="15"/>
      </w:rPr>
      <w:t xml:space="preserve">HAKASE BIOTWIN</w:t>
    </w:r>
    <w:r>
      <w:rPr>
        <w:rFonts w:ascii="Arial" w:cs="Arial" w:eastAsia="Arial" w:hAnsi="Arial"/>
        <w:color w:val="595968"/>
        <w:sz w:val="15"/>
        <w:szCs w:val="15"/>
      </w:rPr>
      <w:t xml:space="preserve">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0"/>
      </w:pPr>
      <w:rPr>
        <w:color w:val="5B3FA8"/>
      </w:rPr>
    </w:lvl>
  </w:abstractNum>
  <w:abstractNum w:abstractNumId="3" w15:restartNumberingAfterBreak="0">
    <w:multiLevelType w:val="hybridMultilevel"/>
    <w:lvl w:ilvl="0" w15:tentative="1">
      <w:start w:val="1"/>
      <w:numFmt w:val="decimal"/>
      <w:lvlText w:val="%1."/>
      <w:lvlJc w:val="left"/>
      <w:pPr>
        <w:ind w:left="360" w:hanging="300"/>
      </w:pPr>
      <w:rPr>
        <w:b/>
        <w:bCs/>
        <w:color w:val="5B3FA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240"/>
      <w:outlineLvl w:val="0"/>
    </w:pPr>
    <w:rPr>
      <w:rFonts w:ascii="Arial" w:cs="Arial" w:eastAsia="Arial" w:hAnsi="Arial"/>
      <w:b/>
      <w:bCs/>
      <w:color w:val="5B3FA8"/>
      <w:sz w:val="32"/>
      <w:szCs w:val="32"/>
    </w:rPr>
  </w:style>
  <w:style w:type="paragraph" w:styleId="Heading2">
    <w:name w:val="Heading 2"/>
    <w:basedOn w:val="Normal"/>
    <w:next w:val="Normal"/>
    <w:qFormat/>
    <w:pPr>
      <w:keepNext/>
      <w:spacing w:after="140" w:before="260"/>
      <w:outlineLvl w:val="1"/>
    </w:pPr>
    <w:rPr>
      <w:rFonts w:ascii="Arial" w:cs="Arial" w:eastAsia="Arial" w:hAnsi="Arial"/>
      <w:b/>
      <w:bCs/>
      <w:color w:val="3A2470"/>
      <w:sz w:val="25"/>
      <w:szCs w:val="25"/>
    </w:rPr>
  </w:style>
  <w:style w:type="paragraph" w:styleId="Heading3">
    <w:name w:val="Heading 3"/>
    <w:basedOn w:val="Normal"/>
    <w:next w:val="Normal"/>
    <w:qFormat/>
    <w:pPr>
      <w:keepNext/>
      <w:spacing w:after="90" w:before="180"/>
      <w:outlineLvl w:val="2"/>
    </w:pPr>
    <w:rPr>
      <w:rFonts w:ascii="Arial" w:cs="Arial" w:eastAsia="Arial" w:hAnsi="Arial"/>
      <w:b/>
      <w:bCs/>
      <w:color w:val="0E749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Hakase BioTwin &amp; Hakase AI — Platform Overview</dc:title>
  <dc:creator>Hakase AI</dc:creator>
  <dc:description>Client and investor overview of Hakase BioTwin and the Hakase AI enterprise platform.</dc:description>
  <cp:lastModifiedBy>Un-named</cp:lastModifiedBy>
  <cp:revision>1</cp:revision>
  <dcterms:created xsi:type="dcterms:W3CDTF">2026-05-21T09:05:06.192Z</dcterms:created>
  <dcterms:modified xsi:type="dcterms:W3CDTF">2026-05-21T09:05:06.192Z</dcterms:modified>
</cp:coreProperties>
</file>

<file path=docProps/custom.xml><?xml version="1.0" encoding="utf-8"?>
<Properties xmlns="http://schemas.openxmlformats.org/officeDocument/2006/custom-properties" xmlns:vt="http://schemas.openxmlformats.org/officeDocument/2006/docPropsVTypes"/>
</file>