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100"/>
        <w:jc w:val="center"/>
      </w:pPr>
      <w:r>
        <w:rPr>
          <w:rFonts w:ascii="Arial" w:cs="Arial" w:eastAsia="Arial" w:hAnsi="Arial"/>
          <w:b/>
          <w:bCs/>
          <w:color w:val="5D6D7E"/>
          <w:sz w:val="28"/>
          <w:szCs w:val="28"/>
        </w:rPr>
        <w:t xml:space="preserve">HAKASE AI</w:t>
      </w:r>
    </w:p>
    <w:p>
      <w:pPr>
        <w:spacing w:before="200"/>
      </w:pPr>
    </w:p>
    <w:p>
      <w:pPr>
        <w:spacing w:after="200"/>
        <w:jc w:val="center"/>
      </w:pPr>
      <w:r>
        <w:rPr>
          <w:rFonts w:ascii="Arial" w:cs="Arial" w:eastAsia="Arial" w:hAnsi="Arial"/>
          <w:b/>
          <w:bCs/>
          <w:color w:val="1B4F72"/>
          <w:sz w:val="52"/>
          <w:szCs w:val="52"/>
        </w:rPr>
        <w:t xml:space="preserve">BioDigital Twin Platform</w:t>
      </w:r>
    </w:p>
    <w:p>
      <w:pPr>
        <w:spacing w:after="100"/>
        <w:jc w:val="center"/>
      </w:pPr>
      <w:r>
        <w:rPr>
          <w:rFonts w:ascii="Arial" w:cs="Arial" w:eastAsia="Arial" w:hAnsi="Arial"/>
          <w:color w:val="2E86C1"/>
          <w:sz w:val="36"/>
          <w:szCs w:val="36"/>
        </w:rPr>
        <w:t xml:space="preserve">AI Models Integration Guide</w:t>
      </w:r>
    </w:p>
    <w:p>
      <w:pPr>
        <w:spacing w:after="60"/>
        <w:jc w:val="center"/>
      </w:pPr>
      <w:r>
        <w:rPr>
          <w:rFonts w:ascii="Arial" w:cs="Arial" w:eastAsia="Arial" w:hAnsi="Arial"/>
          <w:color w:val="5D6D7E"/>
          <w:sz w:val="22"/>
          <w:szCs w:val="22"/>
        </w:rPr>
        <w:t xml:space="preserve">v2 Upgrade Roadmap: From QSAR Rules to AI-Powered Predictions</w:t>
      </w:r>
    </w:p>
    <w:p>
      <w:pPr>
        <w:spacing w:before="400"/>
      </w:pPr>
    </w:p>
    <w:p>
      <w:pPr>
        <w:spacing w:after="60"/>
        <w:jc w:val="center"/>
      </w:pPr>
      <w:r>
        <w:rPr>
          <w:rFonts w:ascii="Arial" w:cs="Arial" w:eastAsia="Arial" w:hAnsi="Arial"/>
          <w:color w:val="6C3483"/>
          <w:sz w:val="20"/>
          <w:szCs w:val="20"/>
        </w:rPr>
        <w:t xml:space="preserve">50+ AI Models Evaluated  |  8 Component Upgrades  |  3-Phase Rollout</w:t>
      </w:r>
    </w:p>
    <w:p>
      <w:pPr>
        <w:spacing w:before="200"/>
      </w:pPr>
    </w:p>
    <w:p>
      <w:pPr>
        <w:spacing w:after="60"/>
        <w:jc w:val="center"/>
      </w:pPr>
      <w:r>
        <w:rPr>
          <w:rFonts w:ascii="Arial" w:cs="Arial" w:eastAsia="Arial" w:hAnsi="Arial"/>
          <w:i/>
          <w:iCs/>
          <w:color w:val="5D6D7E"/>
          <w:sz w:val="18"/>
          <w:szCs w:val="18"/>
        </w:rPr>
        <w:t xml:space="preserve">Confidential — For Internal Use &amp; Client Upgrade Planning</w:t>
      </w:r>
    </w:p>
    <w:p>
      <w:pPr>
        <w:jc w:val="center"/>
      </w:pPr>
      <w:r>
        <w:rPr>
          <w:rFonts w:ascii="Arial" w:cs="Arial" w:eastAsia="Arial" w:hAnsi="Arial"/>
          <w:color w:val="5D6D7E"/>
          <w:sz w:val="18"/>
          <w:szCs w:val="18"/>
        </w:rPr>
        <w:t xml:space="preserve">March 2026</w:t>
      </w:r>
    </w:p>
    <w:p>
      <w:r>
        <w:br w:type="page"/>
      </w:r>
    </w:p>
    <w:p>
      <w:pPr>
        <w:pStyle w:val="Heading1"/>
      </w:pPr>
      <w:r>
        <w:t xml:space="preserve">1. Executive Summary</w:t>
      </w:r>
    </w:p>
    <w:p>
      <w:pPr>
        <w:spacing w:after="180"/>
      </w:pPr>
      <w:r>
        <w:t xml:space="preserve">This document catalogs every AI model evaluated for integration into the BioDigital Twin platform, organized by the simulation component each model upgrades. It covers 50+ models across molecular prediction (Layer 1), patient simulation (Layer 2), and trial design (Layer 3), with clear recommendations on which to implement first, their open-source status, accuracy benchmarks, deployment complexity, and privacy implications.</w:t>
      </w:r>
    </w:p>
    <w:p>
      <w:pPr>
        <w:spacing w:before="60"/>
      </w:pPr>
    </w:p>
    <w:p>
      <w:pPr>
        <w:spacing w:after="180"/>
      </w:pPr>
      <w:r>
        <w:rPr>
          <w:b/>
          <w:bCs/>
        </w:rPr>
        <w:t xml:space="preserve">Current state (v1): </w:t>
      </w:r>
      <w:r>
        <w:t xml:space="preserve">The engine uses QSAR rules, Lipinski thresholds, one-compartment PK models, and parametric survival curves. Every calculation runs client-side in the browser. No AI models, no server-side computation.</w:t>
      </w:r>
    </w:p>
    <w:p>
      <w:pPr>
        <w:spacing w:after="180"/>
      </w:pPr>
      <w:r>
        <w:rPr>
          <w:b/>
          <w:bCs/>
        </w:rPr>
        <w:t xml:space="preserve">Target state (v2): </w:t>
      </w:r>
      <w:r>
        <w:t xml:space="preserve">Each component is independently upgradeable to an AI-powered model. The client sends Morgan fingerprints (2048-bit one-way hash) to a Python/FastAPI backend that serves inference endpoints. SMILES structures never leave the browser, preserving the zero-knowledge privacy guarantee.</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1"/>
              <w:left w:val="single" w:color="6C3483" w:sz="12"/>
              <w:bottom w:val="single" w:color="6C3483" w:sz="1"/>
              <w:right w:val="single" w:color="6C3483" w:sz="1"/>
            </w:tcBorders>
            <w:shd w:fill="F5EEF8" w:val="clear"/>
            <w:tcMar>
              <w:top w:type="dxa" w:w="80"/>
              <w:left w:type="dxa" w:w="140"/>
              <w:bottom w:type="dxa" w:w="80"/>
              <w:right w:type="dxa" w:w="140"/>
            </w:tcMar>
          </w:tcPr>
          <w:p>
            <w:pPr>
              <w:spacing w:after="60"/>
            </w:pPr>
            <w:r>
              <w:rPr>
                <w:rFonts w:ascii="Arial" w:cs="Arial" w:eastAsia="Arial" w:hAnsi="Arial"/>
                <w:b/>
                <w:bCs/>
                <w:color w:val="6C3483"/>
                <w:sz w:val="20"/>
                <w:szCs w:val="20"/>
              </w:rPr>
              <w:t xml:space="preserve">Key Principle</w:t>
            </w:r>
          </w:p>
          <w:p>
            <w:r>
              <w:rPr>
                <w:rFonts w:ascii="Arial" w:cs="Arial" w:eastAsia="Arial" w:hAnsi="Arial"/>
                <w:color w:val="1C2833"/>
                <w:sz w:val="19"/>
                <w:szCs w:val="19"/>
              </w:rPr>
              <w:t xml:space="preserve">Every AI upgrade is modular. You can upgrade ADMET scoring to ChemBERTa without touching binding affinity. You can add DDI prediction without changing the PK model. This guide helps teams plan which upgrades to prioritize and in what order.</w:t>
            </w:r>
          </w:p>
        </w:tc>
      </w:tr>
    </w:tbl>
    <w:p>
      <w:pPr>
        <w:spacing w:before="80"/>
      </w:pPr>
    </w:p>
    <w:p>
      <w:pPr>
        <w:pStyle w:val="Heading2"/>
      </w:pPr>
      <w:r>
        <w:t xml:space="preserve">1.1 Quick Impact Summary</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1600"/>
        <w:gridCol w:w="1760"/>
      </w:tblGrid>
      <w:tr>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Top Model Pick</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Accuracy</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W w:type="dxa" w:w="17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Deploy</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ADMET Scoring</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ChemBERTa-2 + XGBoost</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AUC 0.85-0.92</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P0 - Critical</w:t>
            </w:r>
          </w:p>
        </w:tc>
        <w:tc>
          <w:tcPr>
            <w:tcW w:type="dxa" w:w="17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Server (ONNX)</w:t>
            </w:r>
          </w:p>
        </w:tc>
      </w:tr>
      <w:tr>
        <w:tc>
          <w:tcPr>
            <w:tcW w:type="dxa" w:w="20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Binding Affinity</w:t>
            </w:r>
          </w:p>
        </w:tc>
        <w:tc>
          <w:tcPr>
            <w:tcW w:type="dxa" w:w="2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ESM-2 + AQAffinity</w:t>
            </w:r>
          </w:p>
        </w:tc>
        <w:tc>
          <w:tcPr>
            <w:tcW w:type="dxa" w:w="1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RMSE 1.2 pKi</w:t>
            </w:r>
          </w:p>
        </w:tc>
        <w:tc>
          <w:tcPr>
            <w:tcW w:type="dxa" w:w="16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P0 - Critical</w:t>
            </w:r>
          </w:p>
        </w:tc>
        <w:tc>
          <w:tcPr>
            <w:tcW w:type="dxa" w:w="17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Server (PyTorch)</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Toxicity</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hERG-LTN + DILImap</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93%/88% acc</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P1 - High</w:t>
            </w:r>
          </w:p>
        </w:tc>
        <w:tc>
          <w:tcPr>
            <w:tcW w:type="dxa" w:w="17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Server (TF/Torch)</w:t>
            </w:r>
          </w:p>
        </w:tc>
      </w:tr>
      <w:tr>
        <w:tc>
          <w:tcPr>
            <w:tcW w:type="dxa" w:w="20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CYP Metabolism</w:t>
            </w:r>
          </w:p>
        </w:tc>
        <w:tc>
          <w:tcPr>
            <w:tcW w:type="dxa" w:w="2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DEEPCYPs</w:t>
            </w:r>
          </w:p>
        </w:tc>
        <w:tc>
          <w:tcPr>
            <w:tcW w:type="dxa" w:w="1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AUC 0.905</w:t>
            </w:r>
          </w:p>
        </w:tc>
        <w:tc>
          <w:tcPr>
            <w:tcW w:type="dxa" w:w="16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P1 - High</w:t>
            </w:r>
          </w:p>
        </w:tc>
        <w:tc>
          <w:tcPr>
            <w:tcW w:type="dxa" w:w="17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Server (Keras)</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BBB Penetration</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ADMETlab 3.0 BBB</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AUC 0.91</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P2 - Medium</w:t>
            </w:r>
          </w:p>
        </w:tc>
        <w:tc>
          <w:tcPr>
            <w:tcW w:type="dxa" w:w="17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Server (API)</w:t>
            </w:r>
          </w:p>
        </w:tc>
      </w:tr>
      <w:tr>
        <w:tc>
          <w:tcPr>
            <w:tcW w:type="dxa" w:w="20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PopPK Modeling</w:t>
            </w:r>
          </w:p>
        </w:tc>
        <w:tc>
          <w:tcPr>
            <w:tcW w:type="dxa" w:w="2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rxode2 + mrgsolve</w:t>
            </w:r>
          </w:p>
        </w:tc>
        <w:tc>
          <w:tcPr>
            <w:tcW w:type="dxa" w:w="1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Industry std</w:t>
            </w:r>
          </w:p>
        </w:tc>
        <w:tc>
          <w:tcPr>
            <w:tcW w:type="dxa" w:w="16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P0 - Critical</w:t>
            </w:r>
          </w:p>
        </w:tc>
        <w:tc>
          <w:tcPr>
            <w:tcW w:type="dxa" w:w="17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Server (R/C++)</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AE Prediction</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ClinicalBERT + FAERS</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AUC 0.82-0.87</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P1 - High</w:t>
            </w:r>
          </w:p>
        </w:tc>
        <w:tc>
          <w:tcPr>
            <w:tcW w:type="dxa" w:w="17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Server (Torch)</w:t>
            </w:r>
          </w:p>
        </w:tc>
      </w:tr>
      <w:tr>
        <w:tc>
          <w:tcPr>
            <w:tcW w:type="dxa" w:w="20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DDI Prediction</w:t>
            </w:r>
          </w:p>
        </w:tc>
        <w:tc>
          <w:tcPr>
            <w:tcW w:type="dxa" w:w="2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MUFFIN + DDInter 2.0</w:t>
            </w:r>
          </w:p>
        </w:tc>
        <w:tc>
          <w:tcPr>
            <w:tcW w:type="dxa" w:w="1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AUC 0.95+</w:t>
            </w:r>
          </w:p>
        </w:tc>
        <w:tc>
          <w:tcPr>
            <w:tcW w:type="dxa" w:w="16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P1 - High</w:t>
            </w:r>
          </w:p>
        </w:tc>
        <w:tc>
          <w:tcPr>
            <w:tcW w:type="dxa" w:w="17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Server (GNN)</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Trial Outcome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HINT</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AUC 0.77</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P2 - Medium</w:t>
            </w:r>
          </w:p>
        </w:tc>
        <w:tc>
          <w:tcPr>
            <w:tcW w:type="dxa" w:w="17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Server (GNN)</w:t>
            </w:r>
          </w:p>
        </w:tc>
      </w:tr>
      <w:tr>
        <w:tc>
          <w:tcPr>
            <w:tcW w:type="dxa" w:w="20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Survival Analysis</w:t>
            </w:r>
          </w:p>
        </w:tc>
        <w:tc>
          <w:tcPr>
            <w:tcW w:type="dxa" w:w="2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rpact + DeepSurv</w:t>
            </w:r>
          </w:p>
        </w:tc>
        <w:tc>
          <w:tcPr>
            <w:tcW w:type="dxa" w:w="1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C-index 0.68</w:t>
            </w:r>
          </w:p>
        </w:tc>
        <w:tc>
          <w:tcPr>
            <w:tcW w:type="dxa" w:w="16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P2 - Medium</w:t>
            </w:r>
          </w:p>
        </w:tc>
        <w:tc>
          <w:tcPr>
            <w:tcW w:type="dxa" w:w="17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Server (R/Torch)</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Protein Structure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AlphaFold3</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GDT 92+</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P2 - Medium</w:t>
            </w:r>
          </w:p>
        </w:tc>
        <w:tc>
          <w:tcPr>
            <w:tcW w:type="dxa" w:w="17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API (Google)</w:t>
            </w:r>
          </w:p>
        </w:tc>
      </w:tr>
      <w:tr>
        <w:tc>
          <w:tcPr>
            <w:tcW w:type="dxa" w:w="20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Biomedical NLP</w:t>
            </w:r>
          </w:p>
        </w:tc>
        <w:tc>
          <w:tcPr>
            <w:tcW w:type="dxa" w:w="2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BioGPT / PubMedBERT</w:t>
            </w:r>
          </w:p>
        </w:tc>
        <w:tc>
          <w:tcPr>
            <w:tcW w:type="dxa" w:w="1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SOTA on BC5CDR</w:t>
            </w:r>
          </w:p>
        </w:tc>
        <w:tc>
          <w:tcPr>
            <w:tcW w:type="dxa" w:w="16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P3 - Low</w:t>
            </w:r>
          </w:p>
        </w:tc>
        <w:tc>
          <w:tcPr>
            <w:tcW w:type="dxa" w:w="17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Server (HF)</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Mol. Generation</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REINVENT 4</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N/A (generative)</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P3 - Low</w:t>
            </w:r>
          </w:p>
        </w:tc>
        <w:tc>
          <w:tcPr>
            <w:tcW w:type="dxa" w:w="17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Server (Torch)</w:t>
            </w:r>
          </w:p>
        </w:tc>
      </w:tr>
    </w:tbl>
    <w:p>
      <w:r>
        <w:br w:type="page"/>
      </w:r>
    </w:p>
    <w:p>
      <w:pPr>
        <w:pStyle w:val="Heading1"/>
      </w:pPr>
      <w:r>
        <w:t xml:space="preserve">2. Architecture: Client-Side v1 to Hybrid v2</w:t>
      </w:r>
    </w:p>
    <w:p>
      <w:pPr>
        <w:spacing w:after="180"/>
      </w:pPr>
      <w:r>
        <w:t xml:space="preserve">The v1 engine runs entirely in the browser. The v2 upgrade introduces a Python/FastAPI backend for AI inference while maintaining the privacy-first architecture.</w:t>
      </w:r>
    </w:p>
    <w:p>
      <w:pPr>
        <w:spacing w:before="60"/>
      </w:pPr>
    </w:p>
    <w:p>
      <w:pPr>
        <w:pStyle w:val="Heading2"/>
      </w:pPr>
      <w:r>
        <w:t xml:space="preserve">2.1 Privacy-Preserving AI Pipeline</w:t>
      </w:r>
    </w:p>
    <w:p>
      <w:pPr>
        <w:spacing w:after="180"/>
      </w:pPr>
      <w:r>
        <w:rPr>
          <w:b/>
          <w:bCs/>
        </w:rPr>
        <w:t xml:space="preserve">Step 1: </w:t>
      </w:r>
      <w:r>
        <w:t xml:space="preserve">User enters SMILES in the browser. SMILES never leaves the client.</w:t>
      </w:r>
    </w:p>
    <w:p>
      <w:pPr>
        <w:spacing w:after="180"/>
      </w:pPr>
      <w:r>
        <w:rPr>
          <w:b/>
          <w:bCs/>
        </w:rPr>
        <w:t xml:space="preserve">Step 2: </w:t>
      </w:r>
      <w:r>
        <w:t xml:space="preserve">Client computes Morgan fingerprint (2048-bit, radius 2) using RDKit.js. This is a one-way hash — the original SMILES cannot be reconstructed.</w:t>
      </w:r>
    </w:p>
    <w:p>
      <w:pPr>
        <w:spacing w:after="180"/>
      </w:pPr>
      <w:r>
        <w:rPr>
          <w:b/>
          <w:bCs/>
        </w:rPr>
        <w:t xml:space="preserve">Step 3: </w:t>
      </w:r>
      <w:r>
        <w:t xml:space="preserve">Fingerprint is sent to FastAPI backend over HTTPS. Backend runs AI model inference.</w:t>
      </w:r>
    </w:p>
    <w:p>
      <w:pPr>
        <w:spacing w:after="180"/>
      </w:pPr>
      <w:r>
        <w:rPr>
          <w:b/>
          <w:bCs/>
        </w:rPr>
        <w:t xml:space="preserve">Step 4: </w:t>
      </w:r>
      <w:r>
        <w:t xml:space="preserve">Predictions (ADMET scores, binding affinity, toxicity probabilities) are returned to the client.</w:t>
      </w:r>
    </w:p>
    <w:p>
      <w:pPr>
        <w:spacing w:after="180"/>
      </w:pPr>
      <w:r>
        <w:rPr>
          <w:b/>
          <w:bCs/>
        </w:rPr>
        <w:t xml:space="preserve">Step 5: </w:t>
      </w:r>
      <w:r>
        <w:t xml:space="preserve">Client assembles results into the simulation. No molecular structure stored server-side.</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2"/>
              <w:bottom w:val="single" w:color="27AE60" w:sz="1"/>
              <w:right w:val="single" w:color="27AE60" w:sz="1"/>
            </w:tcBorders>
            <w:shd w:fill="E8F8F5" w:val="clear"/>
            <w:tcMar>
              <w:top w:type="dxa" w:w="80"/>
              <w:left w:type="dxa" w:w="140"/>
              <w:bottom w:type="dxa" w:w="80"/>
              <w:right w:type="dxa" w:w="140"/>
            </w:tcMar>
          </w:tcPr>
          <w:p>
            <w:pPr>
              <w:spacing w:after="60"/>
            </w:pPr>
            <w:r>
              <w:rPr>
                <w:rFonts w:ascii="Arial" w:cs="Arial" w:eastAsia="Arial" w:hAnsi="Arial"/>
                <w:b/>
                <w:bCs/>
                <w:color w:val="27AE60"/>
                <w:sz w:val="20"/>
                <w:szCs w:val="20"/>
              </w:rPr>
              <w:t xml:space="preserve">Zero-Knowledge Guarantee</w:t>
            </w:r>
          </w:p>
          <w:p>
            <w:r>
              <w:rPr>
                <w:rFonts w:ascii="Arial" w:cs="Arial" w:eastAsia="Arial" w:hAnsi="Arial"/>
                <w:color w:val="1C2833"/>
                <w:sz w:val="19"/>
                <w:szCs w:val="19"/>
              </w:rPr>
              <w:t xml:space="preserve">Morgan fingerprints are irreversible. Even if the server is compromised, attackers get 2048-dimensional binary vectors that cannot be decoded back to molecular structures. This is equivalent to sending a password hash instead of the password itself.</w:t>
            </w:r>
          </w:p>
        </w:tc>
      </w:tr>
    </w:tbl>
    <w:p>
      <w:pPr>
        <w:spacing w:before="80"/>
      </w:pPr>
    </w:p>
    <w:p>
      <w:pPr>
        <w:pStyle w:val="Heading2"/>
      </w:pPr>
      <w:r>
        <w:t xml:space="preserve">2.2 Server Infrastructure Requirements</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34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w:t>
            </w:r>
          </w:p>
        </w:tc>
        <w:tc>
          <w:tcPr>
            <w:tcW w:type="dxa" w:w="34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Compute</w:t>
            </w:r>
          </w:p>
        </w:tc>
        <w:tc>
          <w:tcPr>
            <w:tcW w:type="dxa" w:w="348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GPU instance (A10G or T4) for transformer models. CPU for tree-based models (XGBoost, Random Forest).</w:t>
            </w:r>
          </w:p>
        </w:tc>
        <w:tc>
          <w:tcPr>
            <w:tcW w:type="dxa" w:w="348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Start with single A10G. Scale horizontally per client load.</w:t>
            </w:r>
          </w:p>
        </w:tc>
      </w:tr>
      <w:tr>
        <w:tc>
          <w:tcPr>
            <w:tcW w:type="dxa" w:w="24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Framework</w:t>
            </w:r>
          </w:p>
        </w:tc>
        <w:tc>
          <w:tcPr>
            <w:tcW w:type="dxa" w:w="348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Python 3.10+, FastAPI, ONNX Runtime (GPU), PyTorch 2.x, TensorFlow 2.x.</w:t>
            </w:r>
          </w:p>
        </w:tc>
        <w:tc>
          <w:tcPr>
            <w:tcW w:type="dxa" w:w="348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ONNX Runtime preferred for production inference (2-5x faster than native PyTorch).</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R Runtime</w:t>
            </w:r>
          </w:p>
        </w:tc>
        <w:tc>
          <w:tcPr>
            <w:tcW w:type="dxa" w:w="348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R 4.3+ with rxode2, mrgsolve, rpact for pharmacometric models.</w:t>
            </w:r>
          </w:p>
        </w:tc>
        <w:tc>
          <w:tcPr>
            <w:tcW w:type="dxa" w:w="348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Expose via plumber API or rpy2 bridge from Python.</w:t>
            </w:r>
          </w:p>
        </w:tc>
      </w:tr>
      <w:tr>
        <w:tc>
          <w:tcPr>
            <w:tcW w:type="dxa" w:w="24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Memory</w:t>
            </w:r>
          </w:p>
        </w:tc>
        <w:tc>
          <w:tcPr>
            <w:tcW w:type="dxa" w:w="348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16GB RAM minimum. 32GB recommended for concurrent model loading.</w:t>
            </w:r>
          </w:p>
        </w:tc>
        <w:tc>
          <w:tcPr>
            <w:tcW w:type="dxa" w:w="348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ChemBERTa-2 ~400MB, ESM-2 ~700MB, hERG-LTN ~200MB per model.</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Latency Target</w:t>
            </w:r>
          </w:p>
        </w:tc>
        <w:tc>
          <w:tcPr>
            <w:tcW w:type="dxa" w:w="348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&lt; 2 seconds per prediction. &lt; 500ms for ADMET (most frequent call).</w:t>
            </w:r>
          </w:p>
        </w:tc>
        <w:tc>
          <w:tcPr>
            <w:tcW w:type="dxa" w:w="348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ONNX quantised models achieve 50-200ms inference on GPU.</w:t>
            </w:r>
          </w:p>
        </w:tc>
      </w:tr>
      <w:tr>
        <w:tc>
          <w:tcPr>
            <w:tcW w:type="dxa" w:w="24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Storage</w:t>
            </w:r>
          </w:p>
        </w:tc>
        <w:tc>
          <w:tcPr>
            <w:tcW w:type="dxa" w:w="348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50GB for model weights. 10GB for DrugBank cache. SSD required.</w:t>
            </w:r>
          </w:p>
        </w:tc>
        <w:tc>
          <w:tcPr>
            <w:tcW w:type="dxa" w:w="348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Model weights can be lazy-loaded per client request.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8"/>
              <w:bottom w:val="single" w:color="7C3AED" w:sz="1"/>
              <w:right w:val="single" w:color="7C3AED" w:sz="1"/>
            </w:tcBorders>
            <w:shd w:fill="7C3AED"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LAYER 1 — MOLECULAR DIGITAL TWIN AI MODELS</w:t>
            </w:r>
          </w:p>
        </w:tc>
      </w:tr>
    </w:tbl>
    <w:p>
      <w:pPr>
        <w:spacing w:before="100"/>
      </w:pPr>
    </w:p>
    <w:p>
      <w:pPr>
        <w:pStyle w:val="Heading1"/>
      </w:pPr>
      <w:r>
        <w:t xml:space="preserve">3. Layer 1: Molecular Prediction Models</w:t>
      </w:r>
    </w:p>
    <w:p>
      <w:pPr>
        <w:spacing w:after="180"/>
      </w:pPr>
      <w:r>
        <w:t xml:space="preserve">Layer 1 transforms a SMILES string into a complete molecular profile: ADMET properties, binding affinity, toxicity risk, CYP metabolism, and BBB penetration. These are the first models to upgrade because they feed into every downstream calculation in Layers 2 and 3.</w:t>
      </w:r>
    </w:p>
    <w:p>
      <w:pPr>
        <w:spacing w:before="80"/>
      </w:pPr>
    </w:p>
    <w:p>
      <w:pPr>
        <w:pStyle w:val="Heading2"/>
      </w:pPr>
      <w:r>
        <w:t xml:space="preserve">3.1 ADMET Scoring Models</w:t>
      </w:r>
    </w:p>
    <w:p>
      <w:pPr>
        <w:spacing w:after="180"/>
      </w:pPr>
      <w:r>
        <w:t xml:space="preserve">ADMET (Absorption, Distribution, Metabolism, Excretion, Toxicity) scoring is the most frequently called component. Every simulation starts here. Upgrading from QSAR rules to ML models has the single largest impact on prediction accuracy across the entire platform.</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1200"/>
        <w:gridCol w:w="1600"/>
        <w:gridCol w:w="1560"/>
      </w:tblGrid>
      <w:tr>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Model</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Performance</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License</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Training Data</w:t>
            </w:r>
          </w:p>
        </w:tc>
        <w:tc>
          <w:tcPr>
            <w:tcW w:type="dxa" w:w="1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Deploy Strategy</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ChemBERTa-2</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Transformer (RoBERTa pretrained on 77M SMILES)</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AUC 0.85-0.92 on MoleculeNet ADMET tasks</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MIT</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77M molecules from PubChem; fine-tune on ChEMBL ADMET</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ONNX export, GPU inference. ~400MB model.</w:t>
            </w:r>
          </w:p>
        </w:tc>
      </w:tr>
      <w:tr>
        <w:tc>
          <w:tcPr>
            <w:tcW w:type="dxa" w:w="1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ADMETlab 3.0</w:t>
            </w:r>
          </w:p>
        </w:tc>
        <w:tc>
          <w:tcPr>
            <w:tcW w:type="dxa" w:w="16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Web platform + models for 119 ADMET endpoints</w:t>
            </w:r>
          </w:p>
        </w:tc>
        <w:tc>
          <w:tcPr>
            <w:tcW w:type="dxa" w:w="16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State-of-art on multiple endpoints; AUC 0.88-0.94 on key tasks</w:t>
            </w:r>
          </w:p>
        </w:tc>
        <w:tc>
          <w:tcPr>
            <w:tcW w:type="dxa" w:w="1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Free API</w:t>
            </w:r>
          </w:p>
        </w:tc>
        <w:tc>
          <w:tcPr>
            <w:tcW w:type="dxa" w:w="16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Curated ADMET datasets from literature + ChEMBL</w:t>
            </w:r>
          </w:p>
        </w:tc>
        <w:tc>
          <w:tcPr>
            <w:tcW w:type="dxa" w:w="15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API integration (free tier). Can also self-host.</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ADMET-AI</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Chemprop (message-passing GNN) ensemble</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AUC 0.87-0.93 across 41 ADMET tasks</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MIT</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TDC (Therapeutics Data Commons) benchmark datasets</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Python package. Light model (~50MB). GPU optional.</w:t>
            </w:r>
          </w:p>
        </w:tc>
      </w:tr>
      <w:tr>
        <w:tc>
          <w:tcPr>
            <w:tcW w:type="dxa" w:w="1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Uni-Mol</w:t>
            </w:r>
          </w:p>
        </w:tc>
        <w:tc>
          <w:tcPr>
            <w:tcW w:type="dxa" w:w="16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3D molecular representation learning (transformer)</w:t>
            </w:r>
          </w:p>
        </w:tc>
        <w:tc>
          <w:tcPr>
            <w:tcW w:type="dxa" w:w="16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SOTA on 14/15 molecular property benchmarks</w:t>
            </w:r>
          </w:p>
        </w:tc>
        <w:tc>
          <w:tcPr>
            <w:tcW w:type="dxa" w:w="1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MIT</w:t>
            </w:r>
          </w:p>
        </w:tc>
        <w:tc>
          <w:tcPr>
            <w:tcW w:type="dxa" w:w="16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209M molecular conformations; 3M+ crystal structures</w:t>
            </w:r>
          </w:p>
        </w:tc>
        <w:tc>
          <w:tcPr>
            <w:tcW w:type="dxa" w:w="15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PyTorch. GPU required. ~600MB model.</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MolBERT</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BERT pretrained on molecular SMILES</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AUC 0.83-0.89 on ADMET benchmarks</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MIT</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1.6M molecules from ChEMBL + ZINC</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HuggingFace. ONNX compatible. ~350MB.</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2"/>
              <w:bottom w:val="single" w:color="27AE60" w:sz="1"/>
              <w:right w:val="single" w:color="27AE60" w:sz="1"/>
            </w:tcBorders>
            <w:shd w:fill="E8F8F5" w:val="clear"/>
            <w:tcMar>
              <w:top w:type="dxa" w:w="80"/>
              <w:left w:type="dxa" w:w="140"/>
              <w:bottom w:type="dxa" w:w="80"/>
              <w:right w:type="dxa" w:w="140"/>
            </w:tcMar>
          </w:tcPr>
          <w:p>
            <w:pPr>
              <w:spacing w:after="60"/>
            </w:pPr>
            <w:r>
              <w:rPr>
                <w:rFonts w:ascii="Arial" w:cs="Arial" w:eastAsia="Arial" w:hAnsi="Arial"/>
                <w:b/>
                <w:bCs/>
                <w:color w:val="27AE60"/>
                <w:sz w:val="20"/>
                <w:szCs w:val="20"/>
              </w:rPr>
              <w:t xml:space="preserve">Recommendation</w:t>
            </w:r>
          </w:p>
          <w:p>
            <w:r>
              <w:rPr>
                <w:rFonts w:ascii="Arial" w:cs="Arial" w:eastAsia="Arial" w:hAnsi="Arial"/>
                <w:color w:val="1C2833"/>
                <w:sz w:val="19"/>
                <w:szCs w:val="19"/>
              </w:rPr>
              <w:t xml:space="preserve">Start with ChemBERTa-2 as the primary ADMET model. It has the best balance of accuracy, open-source availability, and deployment simplicity. Use ADMETlab 3.0 API as a validation/fallback during the transition period. Fine-tune ChemBERTa-2 on your specific therapeutic areas using ChEMBL data.</w:t>
            </w:r>
          </w:p>
        </w:tc>
      </w:tr>
    </w:tbl>
    <w:p>
      <w:r>
        <w:br w:type="page"/>
      </w:r>
    </w:p>
    <w:p>
      <w:pPr>
        <w:pStyle w:val="Heading2"/>
      </w:pPr>
      <w:r>
        <w:t xml:space="preserve">3.2 Binding Affinity Prediction</w:t>
      </w:r>
    </w:p>
    <w:p>
      <w:pPr>
        <w:spacing w:after="180"/>
      </w:pPr>
      <w:r>
        <w:t xml:space="preserve">Binding affinity determines how well the drug candidate interacts with its target protein. This directly impacts responder rates and efficacy predictions in Layer 2. The current engine uses a QSAR target map with ~20 major targets. AI models expand coverage to thousands of targets with physics-informed predictions.</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600"/>
        <w:gridCol w:w="1200"/>
        <w:gridCol w:w="1400"/>
        <w:gridCol w:w="1560"/>
      </w:tblGrid>
      <w:tr>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Model</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Performance</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License</w:t>
            </w:r>
          </w:p>
        </w:tc>
        <w:tc>
          <w:tcPr>
            <w:tcW w:type="dxa" w:w="1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Input Needed</w:t>
            </w:r>
          </w:p>
        </w:tc>
        <w:tc>
          <w:tcPr>
            <w:tcW w:type="dxa" w:w="1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Deploy</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ESM-2</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Protein language model (Meta). 650M-15B params.</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SOTA protein embeddings for downstream tasks</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MIT</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Protein sequence (FASTA)</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HuggingFace. GPU. 650M version ~2.5GB.</w:t>
            </w:r>
          </w:p>
        </w:tc>
      </w:tr>
      <w:tr>
        <w:tc>
          <w:tcPr>
            <w:tcW w:type="dxa" w:w="1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AQAffinity</w:t>
            </w:r>
          </w:p>
        </w:tc>
        <w:tc>
          <w:tcPr>
            <w:tcW w:type="dxa" w:w="1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Attention-based binding affinity predictor</w:t>
            </w:r>
          </w:p>
        </w:tc>
        <w:tc>
          <w:tcPr>
            <w:tcW w:type="dxa" w:w="16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RMSE 1.2 pKi on PDBbind</w:t>
            </w:r>
          </w:p>
        </w:tc>
        <w:tc>
          <w:tcPr>
            <w:tcW w:type="dxa" w:w="1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Apache 2.0</w:t>
            </w:r>
          </w:p>
        </w:tc>
        <w:tc>
          <w:tcPr>
            <w:tcW w:type="dxa" w:w="14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Protein + ligand features</w:t>
            </w:r>
          </w:p>
        </w:tc>
        <w:tc>
          <w:tcPr>
            <w:tcW w:type="dxa" w:w="15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PyTorch. Light model (~100MB).</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Interformer</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Interaction-aware transformer for protein-ligand</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RMSE 1.15 on CASF-2016</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MIT</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Protein 3D + ligand 3D</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PyTorch. GPU recommended. ~300MB.</w:t>
            </w:r>
          </w:p>
        </w:tc>
      </w:tr>
      <w:tr>
        <w:tc>
          <w:tcPr>
            <w:tcW w:type="dxa" w:w="1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DiffDock</w:t>
            </w:r>
          </w:p>
        </w:tc>
        <w:tc>
          <w:tcPr>
            <w:tcW w:type="dxa" w:w="1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Diffusion model for molecular docking</w:t>
            </w:r>
          </w:p>
        </w:tc>
        <w:tc>
          <w:tcPr>
            <w:tcW w:type="dxa" w:w="16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Top-1 success 38% (vs 23% Glide)</w:t>
            </w:r>
          </w:p>
        </w:tc>
        <w:tc>
          <w:tcPr>
            <w:tcW w:type="dxa" w:w="1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MIT</w:t>
            </w:r>
          </w:p>
        </w:tc>
        <w:tc>
          <w:tcPr>
            <w:tcW w:type="dxa" w:w="14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Protein + ligand SMILES</w:t>
            </w:r>
          </w:p>
        </w:tc>
        <w:tc>
          <w:tcPr>
            <w:tcW w:type="dxa" w:w="15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PyTorch. GPU required. 10-30s per dock.</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AlphaFold3</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DeepMind structure prediction (protein + ligand + DNA/RNA)</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GDT &gt; 92 (protein), sub-2Å ligand RMSD</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API only</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Sequences</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Google API. Free for academic. Paid commercial.</w:t>
            </w:r>
          </w:p>
        </w:tc>
      </w:tr>
      <w:tr>
        <w:tc>
          <w:tcPr>
            <w:tcW w:type="dxa" w:w="1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RoseTTAFold AA</w:t>
            </w:r>
          </w:p>
        </w:tc>
        <w:tc>
          <w:tcPr>
            <w:tcW w:type="dxa" w:w="1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All-atom structure prediction (Baker Lab)</w:t>
            </w:r>
          </w:p>
        </w:tc>
        <w:tc>
          <w:tcPr>
            <w:tcW w:type="dxa" w:w="16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Near-AlphaFold on protein-ligand complexes</w:t>
            </w:r>
          </w:p>
        </w:tc>
        <w:tc>
          <w:tcPr>
            <w:tcW w:type="dxa" w:w="1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BSD-3</w:t>
            </w:r>
          </w:p>
        </w:tc>
        <w:tc>
          <w:tcPr>
            <w:tcW w:type="dxa" w:w="14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Sequences</w:t>
            </w:r>
          </w:p>
        </w:tc>
        <w:tc>
          <w:tcPr>
            <w:tcW w:type="dxa" w:w="15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Self-hosted. GPU heavy (~8GB VRAM).</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TankBind</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Trigonometry-aware protein-ligand binding</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Competitive with DiffDock; faster inference</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MIT</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Protein + ligand SMILES</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PyTorch. ~200MB. Faster than DiffDock.</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2"/>
              <w:bottom w:val="single" w:color="27AE60" w:sz="1"/>
              <w:right w:val="single" w:color="27AE60" w:sz="1"/>
            </w:tcBorders>
            <w:shd w:fill="E8F8F5" w:val="clear"/>
            <w:tcMar>
              <w:top w:type="dxa" w:w="80"/>
              <w:left w:type="dxa" w:w="140"/>
              <w:bottom w:type="dxa" w:w="80"/>
              <w:right w:type="dxa" w:w="140"/>
            </w:tcMar>
          </w:tcPr>
          <w:p>
            <w:pPr>
              <w:spacing w:after="60"/>
            </w:pPr>
            <w:r>
              <w:rPr>
                <w:rFonts w:ascii="Arial" w:cs="Arial" w:eastAsia="Arial" w:hAnsi="Arial"/>
                <w:b/>
                <w:bCs/>
                <w:color w:val="27AE60"/>
                <w:sz w:val="20"/>
                <w:szCs w:val="20"/>
              </w:rPr>
              <w:t xml:space="preserve">Recommendation</w:t>
            </w:r>
          </w:p>
          <w:p>
            <w:r>
              <w:rPr>
                <w:rFonts w:ascii="Arial" w:cs="Arial" w:eastAsia="Arial" w:hAnsi="Arial"/>
                <w:color w:val="1C2833"/>
                <w:sz w:val="19"/>
                <w:szCs w:val="19"/>
              </w:rPr>
              <w:t xml:space="preserve">Use ESM-2 (650M) for protein embeddings paired with AQAffinity for binding scores. This combination provides the best accuracy-to-compute ratio. Add DiffDock only for high-priority candidates where actual docking poses are needed. AlphaFold3 API for structural validation of novel targets.</w:t>
            </w:r>
          </w:p>
        </w:tc>
      </w:tr>
    </w:tbl>
    <w:p>
      <w:r>
        <w:br w:type="page"/>
      </w:r>
    </w:p>
    <w:p>
      <w:pPr>
        <w:pStyle w:val="Heading2"/>
      </w:pPr>
      <w:r>
        <w:t xml:space="preserve">3.3 Toxicity Prediction Models</w:t>
      </w:r>
    </w:p>
    <w:p>
      <w:pPr>
        <w:spacing w:after="180"/>
      </w:pPr>
      <w:r>
        <w:t xml:space="preserve">Toxicity prediction is the most safety-critical component. The current engine uses three structural flags (hERG, hepatotoxicity, BBB). AI models provide per-organ toxicity scores with confidence intervals, covering cardiac (hERG), liver (DILI), kidney, and general cytotoxicity.</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800"/>
        <w:gridCol w:w="1200"/>
        <w:gridCol w:w="2360"/>
      </w:tblGrid>
      <w:tr>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Model</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Specialization</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Performance</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License</w:t>
            </w:r>
          </w:p>
        </w:tc>
        <w:tc>
          <w:tcPr>
            <w:tcW w:type="dxa" w:w="2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Clinical Significance</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hERG-LTN</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hERG channel inhibition (cardiac toxicity). Learning-to-Not-Learn transfer.</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93.1% accuracy; AUC 0.95</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Open</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hERG is the #1 reason for drug withdrawal. This model catches cardiotoxic compounds before clinical trials.</w:t>
            </w:r>
          </w:p>
        </w:tc>
      </w:tr>
      <w:tr>
        <w:tc>
          <w:tcPr>
            <w:tcW w:type="dxa" w:w="1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DILImap</w:t>
            </w:r>
          </w:p>
        </w:tc>
        <w:tc>
          <w:tcPr>
            <w:tcW w:type="dxa" w:w="2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Drug-Induced Liver Injury prediction using structural features.</w:t>
            </w:r>
          </w:p>
        </w:tc>
        <w:tc>
          <w:tcPr>
            <w:tcW w:type="dxa" w:w="1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88% sensitivity, 100% specificity</w:t>
            </w:r>
          </w:p>
        </w:tc>
        <w:tc>
          <w:tcPr>
            <w:tcW w:type="dxa" w:w="1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Open</w:t>
            </w:r>
          </w:p>
        </w:tc>
        <w:tc>
          <w:tcPr>
            <w:tcW w:type="dxa" w:w="23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DILI is the #2 reason for drug failure. 100% specificity means zero false positives — critical for go/no-go decisions.</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DeepTox</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Multi-task DNN for general toxicity across 12 Tox21 assays.</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AUC 0.84-0.90 on Tox21 challenge</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Open</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Broad-spectrum screening. Covers nuclear receptor disruption, stress response, genotoxicity.</w:t>
            </w:r>
          </w:p>
        </w:tc>
      </w:tr>
      <w:tr>
        <w:tc>
          <w:tcPr>
            <w:tcW w:type="dxa" w:w="1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ClinTox models</w:t>
            </w:r>
          </w:p>
        </w:tc>
        <w:tc>
          <w:tcPr>
            <w:tcW w:type="dxa" w:w="2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Clinical trial toxicity (FDA approval failure prediction).</w:t>
            </w:r>
          </w:p>
        </w:tc>
        <w:tc>
          <w:tcPr>
            <w:tcW w:type="dxa" w:w="1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AUC 0.87-0.92 on ClinTox benchmark</w:t>
            </w:r>
          </w:p>
        </w:tc>
        <w:tc>
          <w:tcPr>
            <w:tcW w:type="dxa" w:w="1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Open (MoleculeNet)</w:t>
            </w:r>
          </w:p>
        </w:tc>
        <w:tc>
          <w:tcPr>
            <w:tcW w:type="dxa" w:w="23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Predicts whether a compound will fail in clinical trials due to toxicity. Directly relevant to go/no-go.</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2"/>
              <w:bottom w:val="single" w:color="27AE60" w:sz="1"/>
              <w:right w:val="single" w:color="27AE60" w:sz="1"/>
            </w:tcBorders>
            <w:shd w:fill="E8F8F5" w:val="clear"/>
            <w:tcMar>
              <w:top w:type="dxa" w:w="80"/>
              <w:left w:type="dxa" w:w="140"/>
              <w:bottom w:type="dxa" w:w="80"/>
              <w:right w:type="dxa" w:w="140"/>
            </w:tcMar>
          </w:tcPr>
          <w:p>
            <w:pPr>
              <w:spacing w:after="60"/>
            </w:pPr>
            <w:r>
              <w:rPr>
                <w:rFonts w:ascii="Arial" w:cs="Arial" w:eastAsia="Arial" w:hAnsi="Arial"/>
                <w:b/>
                <w:bCs/>
                <w:color w:val="27AE60"/>
                <w:sz w:val="20"/>
                <w:szCs w:val="20"/>
              </w:rPr>
              <w:t xml:space="preserve">Recommendation</w:t>
            </w:r>
          </w:p>
          <w:p>
            <w:r>
              <w:rPr>
                <w:rFonts w:ascii="Arial" w:cs="Arial" w:eastAsia="Arial" w:hAnsi="Arial"/>
                <w:color w:val="1C2833"/>
                <w:sz w:val="19"/>
                <w:szCs w:val="19"/>
              </w:rPr>
              <w:t xml:space="preserve">Deploy hERG-LTN first (highest clinical impact, most common drug withdrawal cause). Then DILImap (liver toxicity). These two models cover the top two toxicity failure modes. DeepTox for broad-spectrum screening as a second phase.</w:t>
            </w:r>
          </w:p>
        </w:tc>
      </w:tr>
    </w:tbl>
    <w:p>
      <w:r>
        <w:br w:type="page"/>
      </w:r>
    </w:p>
    <w:p>
      <w:pPr>
        <w:pStyle w:val="Heading2"/>
      </w:pPr>
      <w:r>
        <w:t xml:space="preserve">3.4 CYP Metabolism Prediction</w:t>
      </w:r>
    </w:p>
    <w:p>
      <w:pPr>
        <w:spacing w:after="180"/>
      </w:pPr>
      <w:r>
        <w:t xml:space="preserve">CYP enzymes metabolize ~75% of all drugs. Knowing which CYP isoforms a compound interacts with is critical for predicting drug-drug interactions, dosing, and metabolic clearance. The current engine uses a LogP + rotatable bond heuristic. AI models predict specific CYP isoform interactions.</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800"/>
        <w:gridCol w:w="1200"/>
        <w:gridCol w:w="2360"/>
      </w:tblGrid>
      <w:tr>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Model</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Coverage</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Performance</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License</w:t>
            </w:r>
          </w:p>
        </w:tc>
        <w:tc>
          <w:tcPr>
            <w:tcW w:type="dxa" w:w="2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Platform Impact</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DEEPCYPs</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Substrate prediction for CYP2D6, 3A4, 2C19, 2C9, 1A2. Multi-task deep learning.</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AUC 0.905 average across 5 isoforms</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Open</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Replaces generic metabolism score with per-isoform substrate prediction. Directly feeds DDI risk calculation.</w:t>
            </w:r>
          </w:p>
        </w:tc>
      </w:tr>
      <w:tr>
        <w:tc>
          <w:tcPr>
            <w:tcW w:type="dxa" w:w="1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CYPstrate</w:t>
            </w:r>
          </w:p>
        </w:tc>
        <w:tc>
          <w:tcPr>
            <w:tcW w:type="dxa" w:w="2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Substrate and inhibitor classification for 9 CYP isoforms.</w:t>
            </w:r>
          </w:p>
        </w:tc>
        <w:tc>
          <w:tcPr>
            <w:tcW w:type="dxa" w:w="1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AUC 0.82-0.91 per isoform</w:t>
            </w:r>
          </w:p>
        </w:tc>
        <w:tc>
          <w:tcPr>
            <w:tcW w:type="dxa" w:w="1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Open</w:t>
            </w:r>
          </w:p>
        </w:tc>
        <w:tc>
          <w:tcPr>
            <w:tcW w:type="dxa" w:w="23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Wider isoform coverage (9 vs 5). Can identify both substrates and inhibitors for comprehensive DDI modeling.</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StarDrop (Optibrium)</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Commercial ADMET platform with CYP metabolism module.</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Industry-validated; used by top 20 pharma</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Commercial</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Premium option for clients requiring regulatory-grade CYP predictions. Can be offered as an add-on tier.</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2"/>
              <w:bottom w:val="single" w:color="27AE60" w:sz="1"/>
              <w:right w:val="single" w:color="27AE60" w:sz="1"/>
            </w:tcBorders>
            <w:shd w:fill="E8F8F5" w:val="clear"/>
            <w:tcMar>
              <w:top w:type="dxa" w:w="80"/>
              <w:left w:type="dxa" w:w="140"/>
              <w:bottom w:type="dxa" w:w="80"/>
              <w:right w:type="dxa" w:w="140"/>
            </w:tcMar>
          </w:tcPr>
          <w:p>
            <w:pPr>
              <w:spacing w:after="60"/>
            </w:pPr>
            <w:r>
              <w:rPr>
                <w:rFonts w:ascii="Arial" w:cs="Arial" w:eastAsia="Arial" w:hAnsi="Arial"/>
                <w:b/>
                <w:bCs/>
                <w:color w:val="27AE60"/>
                <w:sz w:val="20"/>
                <w:szCs w:val="20"/>
              </w:rPr>
              <w:t xml:space="preserve">Recommendation</w:t>
            </w:r>
          </w:p>
          <w:p>
            <w:r>
              <w:rPr>
                <w:rFonts w:ascii="Arial" w:cs="Arial" w:eastAsia="Arial" w:hAnsi="Arial"/>
                <w:color w:val="1C2833"/>
                <w:sz w:val="19"/>
                <w:szCs w:val="19"/>
              </w:rPr>
              <w:t xml:space="preserve">DEEPCYPs as the primary CYP model (best accuracy, open source, covers the 5 most important isoforms). CYPstrate as a complementary model for broader coverage (9 isoforms). StarDrop can be offered as a premium add-on for pharma clients needing regulatory-validated predictions.</w:t>
            </w:r>
          </w:p>
        </w:tc>
      </w:tr>
    </w:tbl>
    <w:p>
      <w:r>
        <w:br w:type="page"/>
      </w:r>
    </w:p>
    <w:p>
      <w:pPr>
        <w:pStyle w:val="Heading2"/>
      </w:pPr>
      <w:r>
        <w:t xml:space="preserve">3.5 Blood-Brain Barrier Penetration</w:t>
      </w:r>
    </w:p>
    <w:p>
      <w:pPr>
        <w:spacing w:after="180"/>
      </w:pPr>
      <w:r>
        <w:t xml:space="preserve">BBB prediction is critical for CNS drug programs. The current engine uses a TPSA + MW heuristic. AI models trained on BBB penetration assay data provide significantly more accurate predictions.</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800"/>
        <w:gridCol w:w="1200"/>
        <w:gridCol w:w="1960"/>
      </w:tblGrid>
      <w:tr>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Model</w:t>
            </w:r>
          </w:p>
        </w:tc>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Approach</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Performance</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License</w:t>
            </w:r>
          </w:p>
        </w:tc>
        <w:tc>
          <w:tcPr>
            <w:tcW w:type="dxa" w:w="19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ADMETlab 3.0 BBB</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ML model within ADMETlab suite, trained on BBB+ assay data.</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AUC 0.91</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Free API</w:t>
            </w:r>
          </w:p>
        </w:tc>
        <w:tc>
          <w:tcPr>
            <w:tcW w:type="dxa" w:w="19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Best standalone BBB model. Can query via ADMETlab API.</w:t>
            </w:r>
          </w:p>
        </w:tc>
      </w:tr>
      <w:tr>
        <w:tc>
          <w:tcPr>
            <w:tcW w:type="dxa" w:w="20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LightBBB</w:t>
            </w:r>
          </w:p>
        </w:tc>
        <w:tc>
          <w:tcPr>
            <w:tcW w:type="dxa" w:w="24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Gradient-boosted trees on molecular descriptors.</w:t>
            </w:r>
          </w:p>
        </w:tc>
        <w:tc>
          <w:tcPr>
            <w:tcW w:type="dxa" w:w="1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AUC 0.88</w:t>
            </w:r>
          </w:p>
        </w:tc>
        <w:tc>
          <w:tcPr>
            <w:tcW w:type="dxa" w:w="1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Open</w:t>
            </w:r>
          </w:p>
        </w:tc>
        <w:tc>
          <w:tcPr>
            <w:tcW w:type="dxa" w:w="19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Lightweight, fast. Good for browser-side with WASM.</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DeePred-BBB</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Deep learning on molecular graphs for BBB permeability.</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AUC 0.89</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Open</w:t>
            </w:r>
          </w:p>
        </w:tc>
        <w:tc>
          <w:tcPr>
            <w:tcW w:type="dxa" w:w="19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Graph neural network. Requires molecular graph input.</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2"/>
              <w:bottom w:val="single" w:color="27AE60" w:sz="1"/>
              <w:right w:val="single" w:color="27AE60" w:sz="1"/>
            </w:tcBorders>
            <w:shd w:fill="E8F8F5" w:val="clear"/>
            <w:tcMar>
              <w:top w:type="dxa" w:w="80"/>
              <w:left w:type="dxa" w:w="140"/>
              <w:bottom w:type="dxa" w:w="80"/>
              <w:right w:type="dxa" w:w="140"/>
            </w:tcMar>
          </w:tcPr>
          <w:p>
            <w:pPr>
              <w:spacing w:after="60"/>
            </w:pPr>
            <w:r>
              <w:rPr>
                <w:rFonts w:ascii="Arial" w:cs="Arial" w:eastAsia="Arial" w:hAnsi="Arial"/>
                <w:b/>
                <w:bCs/>
                <w:color w:val="27AE60"/>
                <w:sz w:val="20"/>
                <w:szCs w:val="20"/>
              </w:rPr>
              <w:t xml:space="preserve">Recommendation</w:t>
            </w:r>
          </w:p>
          <w:p>
            <w:r>
              <w:rPr>
                <w:rFonts w:ascii="Arial" w:cs="Arial" w:eastAsia="Arial" w:hAnsi="Arial"/>
                <w:color w:val="1C2833"/>
                <w:sz w:val="19"/>
                <w:szCs w:val="19"/>
              </w:rPr>
              <w:t xml:space="preserve">ADMETlab 3.0 BBB model via API for best accuracy. LightBBB as a fallback that can potentially run client-side via WASM for CNS drug programs that need instant feedback.</w:t>
            </w:r>
          </w:p>
        </w:tc>
      </w:tr>
    </w:tbl>
    <w:p>
      <w:r>
        <w:br w:type="page"/>
      </w:r>
    </w:p>
    <w:p>
      <w:pPr>
        <w:pStyle w:val="Heading2"/>
      </w:pPr>
      <w:r>
        <w:t xml:space="preserve">3.6 Foundation &amp; Generative Models (Future)</w:t>
      </w:r>
    </w:p>
    <w:p>
      <w:pPr>
        <w:spacing w:after="180"/>
      </w:pPr>
      <w:r>
        <w:t xml:space="preserve">These models represent the next frontier: molecular generation (designing new drug candidates) and foundation models (general-purpose molecular representations). These are longer-term investments for v3+.</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600"/>
        <w:gridCol w:w="1200"/>
        <w:gridCol w:w="2560"/>
      </w:tblGrid>
      <w:tr>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Model</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Capability</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License</w:t>
            </w:r>
          </w:p>
        </w:tc>
        <w:tc>
          <w:tcPr>
            <w:tcW w:type="dxa" w:w="2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Platform Potential</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REINVENT 4</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Molecular generation via reinforcement learning. Generates novel SMILES optimized for desired properties.</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AstraZeneca production use</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Apache 2.0</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Future feature: Generate optimized analogs of a user's lead compound. Premium feature for lead optimization.</w:t>
            </w:r>
          </w:p>
        </w:tc>
      </w:tr>
      <w:tr>
        <w:tc>
          <w:tcPr>
            <w:tcW w:type="dxa" w:w="1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MolGPT</w:t>
            </w:r>
          </w:p>
        </w:tc>
        <w:tc>
          <w:tcPr>
            <w:tcW w:type="dxa" w:w="2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GPT-style autoregressive molecular generation.</w:t>
            </w:r>
          </w:p>
        </w:tc>
        <w:tc>
          <w:tcPr>
            <w:tcW w:type="dxa" w:w="16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Competitive diversity + validity</w:t>
            </w:r>
          </w:p>
        </w:tc>
        <w:tc>
          <w:tcPr>
            <w:tcW w:type="dxa" w:w="1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Open</w:t>
            </w:r>
          </w:p>
        </w:tc>
        <w:tc>
          <w:tcPr>
            <w:tcW w:type="dxa" w:w="25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Can generate molecules conditioned on property targets. Potential lead optimization module.</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DrugGPT</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Protein-target-conditioned drug generation using GPT architecture.</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Novel approach; early research</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Open</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Generate candidate molecules given a specific protein target. Futuristic but high potential.</w:t>
            </w:r>
          </w:p>
        </w:tc>
      </w:tr>
      <w:tr>
        <w:tc>
          <w:tcPr>
            <w:tcW w:type="dxa" w:w="1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ChemCrow</w:t>
            </w:r>
          </w:p>
        </w:tc>
        <w:tc>
          <w:tcPr>
            <w:tcW w:type="dxa" w:w="2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LLM agent that uses chemistry tools (RDKit, web search, reaction planners).</w:t>
            </w:r>
          </w:p>
        </w:tc>
        <w:tc>
          <w:tcPr>
            <w:tcW w:type="dxa" w:w="16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Research prototype</w:t>
            </w:r>
          </w:p>
        </w:tc>
        <w:tc>
          <w:tcPr>
            <w:tcW w:type="dxa" w:w="1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Open</w:t>
            </w:r>
          </w:p>
        </w:tc>
        <w:tc>
          <w:tcPr>
            <w:tcW w:type="dxa" w:w="25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Conversational chemistry assistant. Could power a 'Chat with your molecule' feature.</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Uni-Mol</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Universal 3D molecular representation. Foundation model for all downstream tasks.</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SOTA 14/15 benchmarks</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MIT</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Could replace ChemBERTa as backbone. Better 3D awareness. Heavier compute requirement.</w:t>
            </w:r>
          </w:p>
        </w:tc>
      </w:tr>
      <w:tr>
        <w:tc>
          <w:tcPr>
            <w:tcW w:type="dxa" w:w="1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MolFormer</w:t>
            </w:r>
          </w:p>
        </w:tc>
        <w:tc>
          <w:tcPr>
            <w:tcW w:type="dxa" w:w="2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IBM. Large-scale molecular transformer trained on 1.1B molecules.</w:t>
            </w:r>
          </w:p>
        </w:tc>
        <w:tc>
          <w:tcPr>
            <w:tcW w:type="dxa" w:w="16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Strong on property prediction</w:t>
            </w:r>
          </w:p>
        </w:tc>
        <w:tc>
          <w:tcPr>
            <w:tcW w:type="dxa" w:w="1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Apache 2.0</w:t>
            </w:r>
          </w:p>
        </w:tc>
        <w:tc>
          <w:tcPr>
            <w:tcW w:type="dxa" w:w="25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Alternative foundation model. Pre-trained representations for fine-tuning.</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1"/>
              <w:left w:val="single" w:color="F39C12" w:sz="12"/>
              <w:bottom w:val="single" w:color="F39C12" w:sz="1"/>
              <w:right w:val="single" w:color="F39C12" w:sz="1"/>
            </w:tcBorders>
            <w:shd w:fill="FEF9E7" w:val="clear"/>
            <w:tcMar>
              <w:top w:type="dxa" w:w="80"/>
              <w:left w:type="dxa" w:w="140"/>
              <w:bottom w:type="dxa" w:w="80"/>
              <w:right w:type="dxa" w:w="140"/>
            </w:tcMar>
          </w:tcPr>
          <w:p>
            <w:pPr>
              <w:spacing w:after="60"/>
            </w:pPr>
            <w:r>
              <w:rPr>
                <w:rFonts w:ascii="Arial" w:cs="Arial" w:eastAsia="Arial" w:hAnsi="Arial"/>
                <w:b/>
                <w:bCs/>
                <w:color w:val="F39C12"/>
                <w:sz w:val="20"/>
                <w:szCs w:val="20"/>
              </w:rPr>
              <w:t xml:space="preserve">Future Roadmap</w:t>
            </w:r>
          </w:p>
          <w:p>
            <w:r>
              <w:rPr>
                <w:rFonts w:ascii="Arial" w:cs="Arial" w:eastAsia="Arial" w:hAnsi="Arial"/>
                <w:color w:val="1C2833"/>
                <w:sz w:val="19"/>
                <w:szCs w:val="19"/>
              </w:rPr>
              <w:t xml:space="preserve">Generative models are a v3 feature. The immediate v2 priority is upgrading prediction accuracy. However, REINVENT 4 (Apache 2.0, AstraZeneca production-proven) should be the first generative model piloted when the team is ready.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8"/>
              <w:bottom w:val="single" w:color="2563EB" w:sz="1"/>
              <w:right w:val="single" w:color="2563EB" w:sz="1"/>
            </w:tcBorders>
            <w:shd w:fill="2563EB"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LAYER 2 — PATIENT COHORT AI MODELS</w:t>
            </w:r>
          </w:p>
        </w:tc>
      </w:tr>
    </w:tbl>
    <w:p>
      <w:pPr>
        <w:spacing w:before="100"/>
      </w:pPr>
    </w:p>
    <w:p>
      <w:pPr>
        <w:pStyle w:val="Heading1"/>
      </w:pPr>
      <w:r>
        <w:t xml:space="preserve">4. Layer 2: Patient Simulation Models</w:t>
      </w:r>
    </w:p>
    <w:p>
      <w:pPr>
        <w:spacing w:after="180"/>
      </w:pPr>
      <w:r>
        <w:t xml:space="preserve">Layer 2 models simulate how a drug behaves in a population of patients. They take molecular predictions from Layer 1 and model pharmacokinetics, adverse events, drug-drug interactions, and pharmacogenomics at the patient level. These models drive the PK curves, AE tables, and cohort subgroup analyses.</w:t>
      </w:r>
    </w:p>
    <w:p>
      <w:pPr>
        <w:spacing w:before="80"/>
      </w:pPr>
    </w:p>
    <w:p>
      <w:pPr>
        <w:pStyle w:val="Heading2"/>
      </w:pPr>
      <w:r>
        <w:t xml:space="preserve">4.1 Population Pharmacokinetics (PopPK)</w:t>
      </w:r>
    </w:p>
    <w:p>
      <w:pPr>
        <w:spacing w:after="180"/>
      </w:pPr>
      <w:r>
        <w:t xml:space="preserve">PopPK is the cornerstone of Layer 2. It models how drug concentration changes over time across a diverse patient population, accounting for inter-individual variability in weight, age, organ function, and genetics. The current engine uses a one-compartment model with ADMET-driven parameters.</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600"/>
        <w:gridCol w:w="1200"/>
        <w:gridCol w:w="2560"/>
      </w:tblGrid>
      <w:tr>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Model/Tool</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Capability</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Validation</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License</w:t>
            </w:r>
          </w:p>
        </w:tc>
        <w:tc>
          <w:tcPr>
            <w:tcW w:type="dxa" w:w="2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Platform Integration</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rxode2</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R package for ODE-based PK/PD modeling. Multi-compartment, complex dosing regimens, covariates.</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FDA-accepted for regulatory submissions</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GPL-3</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Primary PopPK engine. Run via plumber API. Generates PK curves with inter-individual variability from MIMIC-IV covariates.</w:t>
            </w:r>
          </w:p>
        </w:tc>
      </w:tr>
      <w:tr>
        <w:tc>
          <w:tcPr>
            <w:tcW w:type="dxa" w:w="1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mrgsolve</w:t>
            </w:r>
          </w:p>
        </w:tc>
        <w:tc>
          <w:tcPr>
            <w:tcW w:type="dxa" w:w="2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C++ ODE solver with R interface. Very fast simulation of PopPK models.</w:t>
            </w:r>
          </w:p>
        </w:tc>
        <w:tc>
          <w:tcPr>
            <w:tcW w:type="dxa" w:w="16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Industry standard; used by Metrum</w:t>
            </w:r>
          </w:p>
        </w:tc>
        <w:tc>
          <w:tcPr>
            <w:tcW w:type="dxa" w:w="1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GPL-2</w:t>
            </w:r>
          </w:p>
        </w:tc>
        <w:tc>
          <w:tcPr>
            <w:tcW w:type="dxa" w:w="25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Alternative/complementary to rxode2. Better performance for Monte Carlo simulations (10K+ patients).</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nlmixr2</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R package for nonlinear mixed-effects modeling (NLME). Estimates PK parameters from data.</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Published in CPT:PSP</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GPL-3</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Parameter estimation from real data. Use with MIMIC-IV/HCUP to fit PopPK models for known drug classes.</w:t>
            </w:r>
          </w:p>
        </w:tc>
      </w:tr>
      <w:tr>
        <w:tc>
          <w:tcPr>
            <w:tcW w:type="dxa" w:w="1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Pumas.jl</w:t>
            </w:r>
          </w:p>
        </w:tc>
        <w:tc>
          <w:tcPr>
            <w:tcW w:type="dxa" w:w="2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Julia-based PK/PD modeling. 10-100x faster than R for large simulations.</w:t>
            </w:r>
          </w:p>
        </w:tc>
        <w:tc>
          <w:tcPr>
            <w:tcW w:type="dxa" w:w="16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Growing regulatory acceptance</w:t>
            </w:r>
          </w:p>
        </w:tc>
        <w:tc>
          <w:tcPr>
            <w:tcW w:type="dxa" w:w="1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Commercial (free academic)</w:t>
            </w:r>
          </w:p>
        </w:tc>
        <w:tc>
          <w:tcPr>
            <w:tcW w:type="dxa" w:w="25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Future option for high-performance PopPK. Julia offers massive speed gains but requires Julia runtime on server.</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Neural ODE PK</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PyTorch neural ODEs that learn PK dynamics from data. Data-driven alternative to mechanistic models.</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Research; promising results on warfarin/vancomycin</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Open (research)</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v3 research track. Could learn PK dynamics directly from patient data without pre-specifying compartmental structure.</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2"/>
              <w:bottom w:val="single" w:color="27AE60" w:sz="1"/>
              <w:right w:val="single" w:color="27AE60" w:sz="1"/>
            </w:tcBorders>
            <w:shd w:fill="E8F8F5" w:val="clear"/>
            <w:tcMar>
              <w:top w:type="dxa" w:w="80"/>
              <w:left w:type="dxa" w:w="140"/>
              <w:bottom w:type="dxa" w:w="80"/>
              <w:right w:type="dxa" w:w="140"/>
            </w:tcMar>
          </w:tcPr>
          <w:p>
            <w:pPr>
              <w:spacing w:after="60"/>
            </w:pPr>
            <w:r>
              <w:rPr>
                <w:rFonts w:ascii="Arial" w:cs="Arial" w:eastAsia="Arial" w:hAnsi="Arial"/>
                <w:b/>
                <w:bCs/>
                <w:color w:val="27AE60"/>
                <w:sz w:val="20"/>
                <w:szCs w:val="20"/>
              </w:rPr>
              <w:t xml:space="preserve">Recommendation</w:t>
            </w:r>
          </w:p>
          <w:p>
            <w:r>
              <w:rPr>
                <w:rFonts w:ascii="Arial" w:cs="Arial" w:eastAsia="Arial" w:hAnsi="Arial"/>
                <w:color w:val="1C2833"/>
                <w:sz w:val="19"/>
                <w:szCs w:val="19"/>
              </w:rPr>
              <w:t xml:space="preserve">rxode2 as the primary PopPK engine (FDA-accepted, regulatory standard). mrgsolve for Monte Carlo simulation of large cohorts (10K+ patients). Both are R packages — expose via plumber API from the FastAPI backend. nlmixr2 for parameter fitting when real patient data (MIMIC-IV) is available.</w:t>
            </w:r>
          </w:p>
        </w:tc>
      </w:tr>
    </w:tbl>
    <w:p>
      <w:r>
        <w:br w:type="page"/>
      </w:r>
    </w:p>
    <w:p>
      <w:pPr>
        <w:pStyle w:val="Heading2"/>
      </w:pPr>
      <w:r>
        <w:t xml:space="preserve">4.2 Adverse Event Prediction</w:t>
      </w:r>
    </w:p>
    <w:p>
      <w:pPr>
        <w:spacing w:after="180"/>
      </w:pPr>
      <w:r>
        <w:t xml:space="preserve">AE prediction currently uses rule-based organ risk scores mapped to fixed CTCAE grade ranges. AI models use real pharmacovigilance data (FAERS, AEMS) and clinical text mining to predict adverse events with actual incidence rates and confidence intervals.</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600"/>
        <w:gridCol w:w="1200"/>
        <w:gridCol w:w="2560"/>
      </w:tblGrid>
      <w:tr>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Model</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Approach</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Performance</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License</w:t>
            </w:r>
          </w:p>
        </w:tc>
        <w:tc>
          <w:tcPr>
            <w:tcW w:type="dxa" w:w="2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Platform Impact</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ClinicalBERT</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BERT fine-tuned on clinical notes (MIMIC-III). AE extraction from unstructured medical text.</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AUC 0.82-0.87 on AE extraction tasks</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MIT</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Process clinical trial reports and extract AE patterns. Powers data-driven AE incidence rates replacing fixed estimates.</w:t>
            </w:r>
          </w:p>
        </w:tc>
      </w:tr>
      <w:tr>
        <w:tc>
          <w:tcPr>
            <w:tcW w:type="dxa" w:w="1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FAERS GNN</w:t>
            </w:r>
          </w:p>
        </w:tc>
        <w:tc>
          <w:tcPr>
            <w:tcW w:type="dxa" w:w="2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Graph neural network trained on FDA FAERS database. Predicts AEs from drug structure + known reports.</w:t>
            </w:r>
          </w:p>
        </w:tc>
        <w:tc>
          <w:tcPr>
            <w:tcW w:type="dxa" w:w="16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AUC 0.85 on FAERS validation set</w:t>
            </w:r>
          </w:p>
        </w:tc>
        <w:tc>
          <w:tcPr>
            <w:tcW w:type="dxa" w:w="1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Open (research)</w:t>
            </w:r>
          </w:p>
        </w:tc>
        <w:tc>
          <w:tcPr>
            <w:tcW w:type="dxa" w:w="25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Connects molecular structure directly to reported adverse events. Leverages 20M+ FAERS reports.</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BiMPADR</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Bidirectional multi-perspective attention for adverse drug reaction prediction.</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AUC 0.89 on ADR benchmark</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Open</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Attention-based model that explains which structural features drive AE predictions. Provides interpretability.</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2"/>
              <w:bottom w:val="single" w:color="27AE60" w:sz="1"/>
              <w:right w:val="single" w:color="27AE60" w:sz="1"/>
            </w:tcBorders>
            <w:shd w:fill="E8F8F5" w:val="clear"/>
            <w:tcMar>
              <w:top w:type="dxa" w:w="80"/>
              <w:left w:type="dxa" w:w="140"/>
              <w:bottom w:type="dxa" w:w="80"/>
              <w:right w:type="dxa" w:w="140"/>
            </w:tcMar>
          </w:tcPr>
          <w:p>
            <w:pPr>
              <w:spacing w:after="60"/>
            </w:pPr>
            <w:r>
              <w:rPr>
                <w:rFonts w:ascii="Arial" w:cs="Arial" w:eastAsia="Arial" w:hAnsi="Arial"/>
                <w:b/>
                <w:bCs/>
                <w:color w:val="27AE60"/>
                <w:sz w:val="20"/>
                <w:szCs w:val="20"/>
              </w:rPr>
              <w:t xml:space="preserve">Recommendation</w:t>
            </w:r>
          </w:p>
          <w:p>
            <w:r>
              <w:rPr>
                <w:rFonts w:ascii="Arial" w:cs="Arial" w:eastAsia="Arial" w:hAnsi="Arial"/>
                <w:color w:val="1C2833"/>
                <w:sz w:val="19"/>
                <w:szCs w:val="19"/>
              </w:rPr>
              <w:t xml:space="preserve">ClinicalBERT for NLP-based AE extraction from literature + trial reports. Combine with FAERS GNN for structure-based AE prediction. Together, these provide both literature evidence (ClinicalBERT) and structural reasoning (FAERS GNN) for AE risk scoring.</w:t>
            </w:r>
          </w:p>
        </w:tc>
      </w:tr>
    </w:tbl>
    <w:p>
      <w:r>
        <w:br w:type="page"/>
      </w:r>
    </w:p>
    <w:p>
      <w:pPr>
        <w:pStyle w:val="Heading2"/>
      </w:pPr>
      <w:r>
        <w:t xml:space="preserve">4.3 Drug-Drug Interaction Prediction</w:t>
      </w:r>
    </w:p>
    <w:p>
      <w:pPr>
        <w:spacing w:after="180"/>
      </w:pPr>
      <w:r>
        <w:t xml:space="preserve">DDI prediction is currently not available in the engine. This is one of the most requested features, especially combined with DrugBank Premium. AI models can predict novel DDIs not yet in any database, while DrugBank provides 1.37M known interactions.</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600"/>
        <w:gridCol w:w="1200"/>
        <w:gridCol w:w="2560"/>
      </w:tblGrid>
      <w:tr>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Model</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Approach</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Performance</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License</w:t>
            </w:r>
          </w:p>
        </w:tc>
        <w:tc>
          <w:tcPr>
            <w:tcW w:type="dxa" w:w="2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Platform Integration</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MUFFIN</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Multi-modal fusion of drug fingerprints, interaction networks, and textual descriptions.</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AUC 0.95+ on DDI prediction</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Open</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Predicts novel DDIs for compounds not in DrugBank. Complements DrugBank's known interactions with predictions for novel molecules.</w:t>
            </w:r>
          </w:p>
        </w:tc>
      </w:tr>
      <w:tr>
        <w:tc>
          <w:tcPr>
            <w:tcW w:type="dxa" w:w="1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DeepDDI</w:t>
            </w:r>
          </w:p>
        </w:tc>
        <w:tc>
          <w:tcPr>
            <w:tcW w:type="dxa" w:w="2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DNN that predicts DDI type (86 categories) from structural features.</w:t>
            </w:r>
          </w:p>
        </w:tc>
        <w:tc>
          <w:tcPr>
            <w:tcW w:type="dxa" w:w="16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AUC 0.92 on DrugBank test set</w:t>
            </w:r>
          </w:p>
        </w:tc>
        <w:tc>
          <w:tcPr>
            <w:tcW w:type="dxa" w:w="1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Open</w:t>
            </w:r>
          </w:p>
        </w:tc>
        <w:tc>
          <w:tcPr>
            <w:tcW w:type="dxa" w:w="25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Classifies DDI mechanism type (not just presence/absence). Explains why two drugs interact.</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DDInter 2.0</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Database + prediction tool. 0.24M DDI pairs across 1,833 drugs with severity levels.</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Curated database; high precision</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Free (academic)</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Direct database lookup for known drugs. API for querying. Combines with MUFFIN for novel predictions.</w:t>
            </w:r>
          </w:p>
        </w:tc>
      </w:tr>
      <w:tr>
        <w:tc>
          <w:tcPr>
            <w:tcW w:type="dxa" w:w="1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DrugComb</w:t>
            </w:r>
          </w:p>
        </w:tc>
        <w:tc>
          <w:tcPr>
            <w:tcW w:type="dxa" w:w="2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Database of drug combination effects and synergy scores. 739K+ combinations.</w:t>
            </w:r>
          </w:p>
        </w:tc>
        <w:tc>
          <w:tcPr>
            <w:tcW w:type="dxa" w:w="16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Largest synergy database</w:t>
            </w:r>
          </w:p>
        </w:tc>
        <w:tc>
          <w:tcPr>
            <w:tcW w:type="dxa" w:w="1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Open</w:t>
            </w:r>
          </w:p>
        </w:tc>
        <w:tc>
          <w:tcPr>
            <w:tcW w:type="dxa" w:w="25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Drug combination therapy optimization. Synergy/antagonism scores for combination regimens.</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1"/>
              <w:left w:val="single" w:color="6C3483" w:sz="12"/>
              <w:bottom w:val="single" w:color="6C3483" w:sz="1"/>
              <w:right w:val="single" w:color="6C3483" w:sz="1"/>
            </w:tcBorders>
            <w:shd w:fill="F5EEF8" w:val="clear"/>
            <w:tcMar>
              <w:top w:type="dxa" w:w="80"/>
              <w:left w:type="dxa" w:w="140"/>
              <w:bottom w:type="dxa" w:w="80"/>
              <w:right w:type="dxa" w:w="140"/>
            </w:tcMar>
          </w:tcPr>
          <w:p>
            <w:pPr>
              <w:spacing w:after="60"/>
            </w:pPr>
            <w:r>
              <w:rPr>
                <w:rFonts w:ascii="Arial" w:cs="Arial" w:eastAsia="Arial" w:hAnsi="Arial"/>
                <w:b/>
                <w:bCs/>
                <w:color w:val="6C3483"/>
                <w:sz w:val="20"/>
                <w:szCs w:val="20"/>
              </w:rPr>
              <w:t xml:space="preserve">Strategy</w:t>
            </w:r>
          </w:p>
          <w:p>
            <w:r>
              <w:rPr>
                <w:rFonts w:ascii="Arial" w:cs="Arial" w:eastAsia="Arial" w:hAnsi="Arial"/>
                <w:color w:val="1C2833"/>
                <w:sz w:val="19"/>
                <w:szCs w:val="19"/>
              </w:rPr>
              <w:t xml:space="preserve">DrugBank Premium (1.37M DDIs) + MUFFIN (novel DDI prediction) + DDInter 2.0 (severity classification). This three-tier approach covers: (1) known DDIs from DrugBank, (2) predicted DDIs for novel molecules from MUFFIN, and (3) severity/mechanism classification from DDInter and DeepDDI.</w:t>
            </w:r>
          </w:p>
        </w:tc>
      </w:tr>
    </w:tbl>
    <w:p>
      <w:r>
        <w:br w:type="page"/>
      </w:r>
    </w:p>
    <w:p>
      <w:pPr>
        <w:pStyle w:val="Heading2"/>
      </w:pPr>
      <w:r>
        <w:t xml:space="preserve">4.4 Pharmacogenomics (PGx) Models</w:t>
      </w:r>
    </w:p>
    <w:p>
      <w:pPr>
        <w:spacing w:after="180"/>
      </w:pPr>
      <w:r>
        <w:t xml:space="preserve">Pharmacogenomics models predict how genetic variations affect drug response. Combined with DrugBank PGx data, these enable genotype-stratified subgroup analysis and precision dosing recommendations.</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600"/>
        <w:gridCol w:w="1200"/>
        <w:gridCol w:w="2560"/>
      </w:tblGrid>
      <w:tr>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Tool</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Capability</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License</w:t>
            </w:r>
          </w:p>
        </w:tc>
        <w:tc>
          <w:tcPr>
            <w:tcW w:type="dxa" w:w="2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Platform Use</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PharmCAT</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Pharmacogenomics Clinical Annotation Tool. Matches genotypes to CPIC dosing guidelines.</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Clinical-grade; used in hospitals</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MPL-2.0</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Map patient genotypes to recommended dose adjustments. Powers the subgroup analysis module.</w:t>
            </w:r>
          </w:p>
        </w:tc>
      </w:tr>
      <w:tr>
        <w:tc>
          <w:tcPr>
            <w:tcW w:type="dxa" w:w="1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CPIC Guidelines</w:t>
            </w:r>
          </w:p>
        </w:tc>
        <w:tc>
          <w:tcPr>
            <w:tcW w:type="dxa" w:w="2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Clinical Pharmacogenetics Implementation Consortium. Standardized gene-drug guidelines.</w:t>
            </w:r>
          </w:p>
        </w:tc>
        <w:tc>
          <w:tcPr>
            <w:tcW w:type="dxa" w:w="16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Gold standard for PGx</w:t>
            </w:r>
          </w:p>
        </w:tc>
        <w:tc>
          <w:tcPr>
            <w:tcW w:type="dxa" w:w="1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Open</w:t>
            </w:r>
          </w:p>
        </w:tc>
        <w:tc>
          <w:tcPr>
            <w:tcW w:type="dxa" w:w="25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Reference database for dosing adjustments. Integrate as lookup tables into subgroup logic.</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DGIdb 5.0</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Drug-Gene Interaction Database. 100K+ interactions from 40+ sources.</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Well-maintained; v5.0 (2023)</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MIT</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Comprehensive drug-gene relationship database. Powers the target identification and druggability assessment modules.</w:t>
            </w:r>
          </w:p>
        </w:tc>
      </w:tr>
    </w:tbl>
    <w:p>
      <w:pPr>
        <w:spacing w:before="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single" w:color="059669" w:sz="8"/>
              <w:bottom w:val="single" w:color="059669" w:sz="1"/>
              <w:right w:val="single" w:color="059669" w:sz="1"/>
            </w:tcBorders>
            <w:shd w:fill="059669"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LAYER 3 — TRIAL DIGITAL TWIN AI MODELS</w:t>
            </w:r>
          </w:p>
        </w:tc>
      </w:tr>
    </w:tbl>
    <w:p>
      <w:pPr>
        <w:spacing w:before="100"/>
      </w:pPr>
    </w:p>
    <w:p>
      <w:pPr>
        <w:pStyle w:val="Heading1"/>
      </w:pPr>
      <w:r>
        <w:t xml:space="preserve">5. Layer 3: Clinical Trial Simulation Models</w:t>
      </w:r>
    </w:p>
    <w:p>
      <w:pPr>
        <w:spacing w:after="180"/>
      </w:pPr>
      <w:r>
        <w:t xml:space="preserve">Layer 3 models predict trial outcomes, optimize trial design, simulate survival curves, and forecast probability of success. These are the models that directly impact the go/no-go decision and trial design parameters that matter most to biotech executives and investors.</w:t>
      </w:r>
    </w:p>
    <w:p>
      <w:pPr>
        <w:spacing w:before="80"/>
      </w:pPr>
    </w:p>
    <w:p>
      <w:pPr>
        <w:pStyle w:val="Heading2"/>
      </w:pPr>
      <w:r>
        <w:t xml:space="preserve">5.1 Trial Outcome Prediction</w:t>
      </w:r>
    </w:p>
    <w:p>
      <w:pPr>
        <w:spacing w:after="180"/>
      </w:pPr>
      <w:r>
        <w:t xml:space="preserve">These models predict whether a clinical trial will succeed, fail, or need design modifications. The current engine uses parametric survival curves. AI models leverage historical trial databases to make data-driven predictions.</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600"/>
        <w:gridCol w:w="1200"/>
        <w:gridCol w:w="2560"/>
      </w:tblGrid>
      <w:tr>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Model</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Approach</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Performance</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License</w:t>
            </w:r>
          </w:p>
        </w:tc>
        <w:tc>
          <w:tcPr>
            <w:tcW w:type="dxa" w:w="2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Platform Impact</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HINT</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Hierarchical Interaction Network. Predicts trial outcome from drug, disease, and eligibility criteria.</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AUC 0.77 on Phase III; 0.69 on Phase I</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Open (research)</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The most validated AI model for trial success prediction. Takes drug features + indication + trial design and outputs probability of success.</w:t>
            </w:r>
          </w:p>
        </w:tc>
      </w:tr>
      <w:tr>
        <w:tc>
          <w:tcPr>
            <w:tcW w:type="dxa" w:w="1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SPOT</w:t>
            </w:r>
          </w:p>
        </w:tc>
        <w:tc>
          <w:tcPr>
            <w:tcW w:type="dxa" w:w="2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Sequential Predictive Modeling of Clinical Trial Outcome. Multi-phase trajectory prediction.</w:t>
            </w:r>
          </w:p>
        </w:tc>
        <w:tc>
          <w:tcPr>
            <w:tcW w:type="dxa" w:w="16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Improved over HINT on multi-phase</w:t>
            </w:r>
          </w:p>
        </w:tc>
        <w:tc>
          <w:tcPr>
            <w:tcW w:type="dxa" w:w="1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Open</w:t>
            </w:r>
          </w:p>
        </w:tc>
        <w:tc>
          <w:tcPr>
            <w:tcW w:type="dxa" w:w="25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Predicts trajectory across Phase I/II/III. Better at capturing cross-phase dependencies.</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TrialBench</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Comprehensive benchmark for trial outcome prediction. Multiple models + datasets.</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Benchmark framework</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Open</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Use as evaluation framework to validate Hakase's trial predictions against standardized benchmarks.</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2"/>
              <w:bottom w:val="single" w:color="27AE60" w:sz="1"/>
              <w:right w:val="single" w:color="27AE60" w:sz="1"/>
            </w:tcBorders>
            <w:shd w:fill="E8F8F5" w:val="clear"/>
            <w:tcMar>
              <w:top w:type="dxa" w:w="80"/>
              <w:left w:type="dxa" w:w="140"/>
              <w:bottom w:type="dxa" w:w="80"/>
              <w:right w:type="dxa" w:w="140"/>
            </w:tcMar>
          </w:tcPr>
          <w:p>
            <w:pPr>
              <w:spacing w:after="60"/>
            </w:pPr>
            <w:r>
              <w:rPr>
                <w:rFonts w:ascii="Arial" w:cs="Arial" w:eastAsia="Arial" w:hAnsi="Arial"/>
                <w:b/>
                <w:bCs/>
                <w:color w:val="27AE60"/>
                <w:sz w:val="20"/>
                <w:szCs w:val="20"/>
              </w:rPr>
              <w:t xml:space="preserve">Recommendation</w:t>
            </w:r>
          </w:p>
          <w:p>
            <w:r>
              <w:rPr>
                <w:rFonts w:ascii="Arial" w:cs="Arial" w:eastAsia="Arial" w:hAnsi="Arial"/>
                <w:color w:val="1C2833"/>
                <w:sz w:val="19"/>
                <w:szCs w:val="19"/>
              </w:rPr>
              <w:t xml:space="preserve">HINT as the primary trial outcome predictor. Validated in peer-reviewed publications, open source, and specifically designed for clinical trial success prediction. SPOT as an enhancement for multi-phase predictions. TrialBench for internal validation.</w:t>
            </w:r>
          </w:p>
        </w:tc>
      </w:tr>
    </w:tbl>
    <w:p>
      <w:r>
        <w:br w:type="page"/>
      </w:r>
    </w:p>
    <w:p>
      <w:pPr>
        <w:pStyle w:val="Heading2"/>
      </w:pPr>
      <w:r>
        <w:t xml:space="preserve">5.2 Survival Analysis &amp; Power Calculation</w:t>
      </w:r>
    </w:p>
    <w:p>
      <w:pPr>
        <w:spacing w:after="180"/>
      </w:pPr>
      <w:r>
        <w:t xml:space="preserve">Survival analysis powers the Kaplan-Meier curves, hazard ratios, and statistical power calculations in the trial simulation. The current engine uses parametric distributions (exponential/Weibull). Upgrading to simulation-based approaches provides non-parametric survival estimates with realistic event timing.</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600"/>
        <w:gridCol w:w="1200"/>
        <w:gridCol w:w="2560"/>
      </w:tblGrid>
      <w:tr>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Tool</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Capability</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Validation</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License</w:t>
            </w:r>
          </w:p>
        </w:tc>
        <w:tc>
          <w:tcPr>
            <w:tcW w:type="dxa" w:w="2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Platform Use</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rpact</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R package for confirmatory adaptive clinical trial design. Group-sequential, multi-arm, sample size recalculation.</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Validated; regulatory-accepted designs</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LGPL-3</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Primary trial design engine. Group-sequential designs (O'Brien-Fleming), adaptive sample size, interim analysis boundaries.</w:t>
            </w:r>
          </w:p>
        </w:tc>
      </w:tr>
      <w:tr>
        <w:tc>
          <w:tcPr>
            <w:tcW w:type="dxa" w:w="1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simtrial</w:t>
            </w:r>
          </w:p>
        </w:tc>
        <w:tc>
          <w:tcPr>
            <w:tcW w:type="dxa" w:w="2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Monte Carlo simulation of clinical trial events (10K+ replicates). Non-parametric survival.</w:t>
            </w:r>
          </w:p>
        </w:tc>
        <w:tc>
          <w:tcPr>
            <w:tcW w:type="dxa" w:w="16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Merck production use</w:t>
            </w:r>
          </w:p>
        </w:tc>
        <w:tc>
          <w:tcPr>
            <w:tcW w:type="dxa" w:w="1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GPL-3</w:t>
            </w:r>
          </w:p>
        </w:tc>
        <w:tc>
          <w:tcPr>
            <w:tcW w:type="dxa" w:w="25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Non-parametric survival curves via simulation. Replaces parametric assumptions with simulated event distributions.</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DeepSurv</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Deep learning Cox proportional hazards. Neural network for survival prediction from patient features.</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C-index 0.68 on clinical data; outperforms CPH on non-linear data</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MIT</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AI-powered survival prediction. Can incorporate non-linear covariate effects that traditional Cox models miss.</w:t>
            </w:r>
          </w:p>
        </w:tc>
      </w:tr>
      <w:tr>
        <w:tc>
          <w:tcPr>
            <w:tcW w:type="dxa" w:w="1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Cox-nnet</w:t>
            </w:r>
          </w:p>
        </w:tc>
        <w:tc>
          <w:tcPr>
            <w:tcW w:type="dxa" w:w="2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Neural network extension of Cox model. Handles high-dimensional genomic data.</w:t>
            </w:r>
          </w:p>
        </w:tc>
        <w:tc>
          <w:tcPr>
            <w:tcW w:type="dxa" w:w="16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Improved C-index over traditional Cox on genomic data</w:t>
            </w:r>
          </w:p>
        </w:tc>
        <w:tc>
          <w:tcPr>
            <w:tcW w:type="dxa" w:w="1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Open</w:t>
            </w:r>
          </w:p>
        </w:tc>
        <w:tc>
          <w:tcPr>
            <w:tcW w:type="dxa" w:w="25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For pharmacogenomics-enhanced survival prediction. When genotype data is available from PGx module.</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2"/>
              <w:bottom w:val="single" w:color="27AE60" w:sz="1"/>
              <w:right w:val="single" w:color="27AE60" w:sz="1"/>
            </w:tcBorders>
            <w:shd w:fill="E8F8F5" w:val="clear"/>
            <w:tcMar>
              <w:top w:type="dxa" w:w="80"/>
              <w:left w:type="dxa" w:w="140"/>
              <w:bottom w:type="dxa" w:w="80"/>
              <w:right w:type="dxa" w:w="140"/>
            </w:tcMar>
          </w:tcPr>
          <w:p>
            <w:pPr>
              <w:spacing w:after="60"/>
            </w:pPr>
            <w:r>
              <w:rPr>
                <w:rFonts w:ascii="Arial" w:cs="Arial" w:eastAsia="Arial" w:hAnsi="Arial"/>
                <w:b/>
                <w:bCs/>
                <w:color w:val="27AE60"/>
                <w:sz w:val="20"/>
                <w:szCs w:val="20"/>
              </w:rPr>
              <w:t xml:space="preserve">Recommendation</w:t>
            </w:r>
          </w:p>
          <w:p>
            <w:r>
              <w:rPr>
                <w:rFonts w:ascii="Arial" w:cs="Arial" w:eastAsia="Arial" w:hAnsi="Arial"/>
                <w:color w:val="1C2833"/>
                <w:sz w:val="19"/>
                <w:szCs w:val="19"/>
              </w:rPr>
              <w:t xml:space="preserve">rpact for regulatory-standard trial design (group-sequential, adaptive). simtrial for Monte Carlo simulation replacing parametric assumptions. DeepSurv for AI-enhanced survival modeling when real patient covariates (MIMIC-IV) are available.</w:t>
            </w:r>
          </w:p>
        </w:tc>
      </w:tr>
    </w:tbl>
    <w:p>
      <w:r>
        <w:br w:type="page"/>
      </w:r>
    </w:p>
    <w:p>
      <w:pPr>
        <w:pStyle w:val="Heading2"/>
      </w:pPr>
      <w:r>
        <w:t xml:space="preserve">5.3 Protein Structure Prediction</w:t>
      </w:r>
    </w:p>
    <w:p>
      <w:pPr>
        <w:spacing w:after="180"/>
      </w:pPr>
      <w:r>
        <w:t xml:space="preserve">Protein structure prediction enables virtual screening, binding site identification, and structure-based drug design. These models complement the binding affinity predictions in Layer 1 by providing 3D structural context.</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600"/>
        <w:gridCol w:w="1200"/>
        <w:gridCol w:w="2160"/>
      </w:tblGrid>
      <w:tr>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Model</w:t>
            </w:r>
          </w:p>
        </w:tc>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Capability</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Performance</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License</w:t>
            </w:r>
          </w:p>
        </w:tc>
        <w:tc>
          <w:tcPr>
            <w:tcW w:type="dxa" w:w="21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Platform Integration</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AlphaFold3</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Google DeepMind. Predicts protein, DNA, RNA, ligand, and ion complex structures.</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GDT &gt; 92; sub-2Å ligand RMSD</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API (free academic; paid commercial)</w:t>
            </w:r>
          </w:p>
        </w:tc>
        <w:tc>
          <w:tcPr>
            <w:tcW w:type="dxa" w:w="21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Novel target structure prediction. When users input a target not in PDB, predict its structure for binding analysis.</w:t>
            </w:r>
          </w:p>
        </w:tc>
      </w:tr>
      <w:tr>
        <w:tc>
          <w:tcPr>
            <w:tcW w:type="dxa" w:w="20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ESMFold</w:t>
            </w:r>
          </w:p>
        </w:tc>
        <w:tc>
          <w:tcPr>
            <w:tcW w:type="dxa" w:w="24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Meta. Single-sequence protein structure from ESM-2 language model. No MSA needed.</w:t>
            </w:r>
          </w:p>
        </w:tc>
        <w:tc>
          <w:tcPr>
            <w:tcW w:type="dxa" w:w="16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Competitive with AlphaFold2 for most targets</w:t>
            </w:r>
          </w:p>
        </w:tc>
        <w:tc>
          <w:tcPr>
            <w:tcW w:type="dxa" w:w="1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MIT</w:t>
            </w:r>
          </w:p>
        </w:tc>
        <w:tc>
          <w:tcPr>
            <w:tcW w:type="dxa" w:w="21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Fast structure prediction (seconds vs minutes). Self-hostable. Good for real-time target visualization.</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OpenFold</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Open-source reimplementation of AlphaFold2. Trainable on custom data.</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Matches AlphaFold2 accuracy</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Apache 2.0</w:t>
            </w:r>
          </w:p>
        </w:tc>
        <w:tc>
          <w:tcPr>
            <w:tcW w:type="dxa" w:w="21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Self-hosted alternative to AlphaFold API. Full control over compute and data. Can fine-tune on specific target families.</w:t>
            </w:r>
          </w:p>
        </w:tc>
      </w:tr>
    </w:tbl>
    <w:p>
      <w:pPr>
        <w:spacing w:before="80"/>
      </w:pPr>
    </w:p>
    <w:p>
      <w:r>
        <w:br w:type="page"/>
      </w:r>
    </w:p>
    <w:p>
      <w:pPr>
        <w:pStyle w:val="Heading2"/>
      </w:pPr>
      <w:r>
        <w:t xml:space="preserve">5.4 Biomedical NLP Models</w:t>
      </w:r>
    </w:p>
    <w:p>
      <w:pPr>
        <w:spacing w:after="180"/>
      </w:pPr>
      <w:r>
        <w:t xml:space="preserve">NLP models process scientific literature, clinical trial reports, and drug labels to extract structured information. They power automated evidence synthesis and can be used to build knowledge graphs feeding into the simulation engine.</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600"/>
        <w:gridCol w:w="1200"/>
        <w:gridCol w:w="2560"/>
      </w:tblGrid>
      <w:tr>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Model</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Capability</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Performance</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License</w:t>
            </w:r>
          </w:p>
        </w:tc>
        <w:tc>
          <w:tcPr>
            <w:tcW w:type="dxa" w:w="2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Platform Use</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BioGPT</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Microsoft. GPT-2 trained on PubMed abstracts. Biomedical text generation and QA.</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SOTA on BC5CDR, KD-DTI, PubMedQA</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MIT</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Auto-generate simulation report narratives. Extract drug-target-disease relationships from literature.</w:t>
            </w:r>
          </w:p>
        </w:tc>
      </w:tr>
      <w:tr>
        <w:tc>
          <w:tcPr>
            <w:tcW w:type="dxa" w:w="1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PubMedBERT</w:t>
            </w:r>
          </w:p>
        </w:tc>
        <w:tc>
          <w:tcPr>
            <w:tcW w:type="dxa" w:w="2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BERT pre-trained from scratch on PubMed. Biomedical NER, RE, QA.</w:t>
            </w:r>
          </w:p>
        </w:tc>
        <w:tc>
          <w:tcPr>
            <w:tcW w:type="dxa" w:w="16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SOTA on BLURB biomedical benchmark</w:t>
            </w:r>
          </w:p>
        </w:tc>
        <w:tc>
          <w:tcPr>
            <w:tcW w:type="dxa" w:w="1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MIT</w:t>
            </w:r>
          </w:p>
        </w:tc>
        <w:tc>
          <w:tcPr>
            <w:tcW w:type="dxa" w:w="25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Named entity recognition for drug, target, disease extraction. Power knowledge graph construction.</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BioMedLM</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Stanford. 2.7B param model trained on PubMed. More capable than PubMedBERT.</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Strong on biomedical QA and summarization</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Open (research)</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Intelligent report generation. Summarize simulation results in clinical language for regulatory context.</w:t>
            </w:r>
          </w:p>
        </w:tc>
      </w:tr>
      <w:tr>
        <w:tc>
          <w:tcPr>
            <w:tcW w:type="dxa" w:w="1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SciBERT</w:t>
            </w:r>
          </w:p>
        </w:tc>
        <w:tc>
          <w:tcPr>
            <w:tcW w:type="dxa" w:w="2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BERT trained on scientific papers (1.14M papers from Semantic Scholar).</w:t>
            </w:r>
          </w:p>
        </w:tc>
        <w:tc>
          <w:tcPr>
            <w:tcW w:type="dxa" w:w="16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SOTA on SciERC, relation extraction</w:t>
            </w:r>
          </w:p>
        </w:tc>
        <w:tc>
          <w:tcPr>
            <w:tcW w:type="dxa" w:w="1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Apache 2.0</w:t>
            </w:r>
          </w:p>
        </w:tc>
        <w:tc>
          <w:tcPr>
            <w:tcW w:type="dxa" w:w="25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Broader scientific literature understanding. Cross-domain entity linking for drug-target-pathway relationships.</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1"/>
              <w:left w:val="single" w:color="F39C12" w:sz="12"/>
              <w:bottom w:val="single" w:color="F39C12" w:sz="1"/>
              <w:right w:val="single" w:color="F39C12" w:sz="1"/>
            </w:tcBorders>
            <w:shd w:fill="FEF9E7" w:val="clear"/>
            <w:tcMar>
              <w:top w:type="dxa" w:w="80"/>
              <w:left w:type="dxa" w:w="140"/>
              <w:bottom w:type="dxa" w:w="80"/>
              <w:right w:type="dxa" w:w="140"/>
            </w:tcMar>
          </w:tcPr>
          <w:p>
            <w:pPr>
              <w:spacing w:after="60"/>
            </w:pPr>
            <w:r>
              <w:rPr>
                <w:rFonts w:ascii="Arial" w:cs="Arial" w:eastAsia="Arial" w:hAnsi="Arial"/>
                <w:b/>
                <w:bCs/>
                <w:color w:val="F39C12"/>
                <w:sz w:val="20"/>
                <w:szCs w:val="20"/>
              </w:rPr>
              <w:t xml:space="preserve">Future Feature</w:t>
            </w:r>
          </w:p>
          <w:p>
            <w:r>
              <w:rPr>
                <w:rFonts w:ascii="Arial" w:cs="Arial" w:eastAsia="Arial" w:hAnsi="Arial"/>
                <w:color w:val="1C2833"/>
                <w:sz w:val="19"/>
                <w:szCs w:val="19"/>
              </w:rPr>
              <w:t xml:space="preserve">NLP models enable a 'Research Assistant' module that auto-summarizes published evidence for the drug being simulated. Could auto-generate IND submission narrative sections from simulation results. This is a P3 priority but high differentiation value.</w:t>
            </w:r>
          </w:p>
        </w:tc>
      </w:tr>
    </w:tbl>
    <w:p>
      <w:r>
        <w:br w:type="page"/>
      </w:r>
    </w:p>
    <w:p>
      <w:pPr>
        <w:pStyle w:val="Heading1"/>
      </w:pPr>
      <w:r>
        <w:t xml:space="preserve">6. Implementation Roadmap: 3-Phase Rollout</w:t>
      </w:r>
    </w:p>
    <w:p>
      <w:pPr>
        <w:spacing w:after="180"/>
      </w:pPr>
      <w:r>
        <w:t xml:space="preserve">The AI upgrade is structured in three phases, each independently deployable. Phase 1 delivers the highest-impact models with the least infrastructure change. Phase 3 introduces cutting-edge features that differentiate the platform.</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1"/>
              <w:left w:val="single" w:color="6C3483" w:sz="8"/>
              <w:bottom w:val="single" w:color="6C3483" w:sz="1"/>
              <w:right w:val="single" w:color="6C3483" w:sz="1"/>
            </w:tcBorders>
            <w:shd w:fill="6C3483"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PHASE 1 — FOUNDATION (Months 1-3)</w:t>
            </w:r>
          </w:p>
        </w:tc>
      </w:tr>
    </w:tbl>
    <w:p>
      <w:pPr>
        <w:spacing w:before="80"/>
      </w:pPr>
    </w:p>
    <w:p>
      <w:pPr>
        <w:spacing w:after="180"/>
      </w:pPr>
      <w:r>
        <w:rPr>
          <w:b/>
          <w:bCs/>
        </w:rPr>
        <w:t xml:space="preserve">Goal: </w:t>
      </w:r>
      <w:r>
        <w:t xml:space="preserve">Replace the 3 highest-impact QSAR components with AI models. Stand up the FastAPI inference backend.</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800"/>
        <w:gridCol w:w="1800"/>
        <w:gridCol w:w="1960"/>
      </w:tblGrid>
      <w:tr>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Model</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Effort</w:t>
            </w:r>
          </w:p>
        </w:tc>
        <w:tc>
          <w:tcPr>
            <w:tcW w:type="dxa" w:w="19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Dependencies</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P0</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ChemBERTa-2 + XGBoost</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ADMET Scoring</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3-4 weeks (model + API + client integration)</w:t>
            </w:r>
          </w:p>
        </w:tc>
        <w:tc>
          <w:tcPr>
            <w:tcW w:type="dxa" w:w="19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FastAPI backend, ONNX Runtime, RDKit</w:t>
            </w:r>
          </w:p>
        </w:tc>
      </w:tr>
      <w:tr>
        <w:tc>
          <w:tcPr>
            <w:tcW w:type="dxa" w:w="16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P0</w:t>
            </w:r>
          </w:p>
        </w:tc>
        <w:tc>
          <w:tcPr>
            <w:tcW w:type="dxa" w:w="2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ESM-2 + AQAffinity</w:t>
            </w:r>
          </w:p>
        </w:tc>
        <w:tc>
          <w:tcPr>
            <w:tcW w:type="dxa" w:w="1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Binding Affinity</w:t>
            </w:r>
          </w:p>
        </w:tc>
        <w:tc>
          <w:tcPr>
            <w:tcW w:type="dxa" w:w="1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3-4 weeks (protein embedding + affinity model)</w:t>
            </w:r>
          </w:p>
        </w:tc>
        <w:tc>
          <w:tcPr>
            <w:tcW w:type="dxa" w:w="19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PyTorch, HuggingFace, GPU instance</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P0</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rxode2 + mrgsolve</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PopPK Model</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4-5 weeks (R runtime + plumber API + multi-compartment)</w:t>
            </w:r>
          </w:p>
        </w:tc>
        <w:tc>
          <w:tcPr>
            <w:tcW w:type="dxa" w:w="19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R 4.3+, plumber, MIMIC-IV access</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1"/>
              <w:left w:val="single" w:color="6C3483" w:sz="12"/>
              <w:bottom w:val="single" w:color="6C3483" w:sz="1"/>
              <w:right w:val="single" w:color="6C3483" w:sz="1"/>
            </w:tcBorders>
            <w:shd w:fill="F5EEF8" w:val="clear"/>
            <w:tcMar>
              <w:top w:type="dxa" w:w="80"/>
              <w:left w:type="dxa" w:w="140"/>
              <w:bottom w:type="dxa" w:w="80"/>
              <w:right w:type="dxa" w:w="140"/>
            </w:tcMar>
          </w:tcPr>
          <w:p>
            <w:pPr>
              <w:spacing w:after="60"/>
            </w:pPr>
            <w:r>
              <w:rPr>
                <w:rFonts w:ascii="Arial" w:cs="Arial" w:eastAsia="Arial" w:hAnsi="Arial"/>
                <w:b/>
                <w:bCs/>
                <w:color w:val="6C3483"/>
                <w:sz w:val="20"/>
                <w:szCs w:val="20"/>
              </w:rPr>
              <w:t xml:space="preserve">Phase 1 Infrastructure</w:t>
            </w:r>
          </w:p>
          <w:p>
            <w:r>
              <w:rPr>
                <w:rFonts w:ascii="Arial" w:cs="Arial" w:eastAsia="Arial" w:hAnsi="Arial"/>
                <w:color w:val="1C2833"/>
                <w:sz w:val="19"/>
                <w:szCs w:val="19"/>
              </w:rPr>
              <w:t xml:space="preserve">Deploy: 1x A10G GPU instance (AWS g5.xlarge ~$1/hr). FastAPI + ONNX Runtime + PyTorch. R/plumber sidecar for PopPK. Total compute cost: ~$750/month for initial capacity. Estimated development: 2 engineers, 3 months.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
              <w:left w:val="single" w:color="1A5276" w:sz="8"/>
              <w:bottom w:val="single" w:color="1A5276" w:sz="1"/>
              <w:right w:val="single" w:color="1A5276" w:sz="1"/>
            </w:tcBorders>
            <w:shd w:fill="1A5276"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PHASE 2 — SAFETY &amp; INTERACTIONS (Months 4-6)</w:t>
            </w:r>
          </w:p>
        </w:tc>
      </w:tr>
    </w:tbl>
    <w:p>
      <w:pPr>
        <w:spacing w:before="80"/>
      </w:pPr>
    </w:p>
    <w:p>
      <w:pPr>
        <w:spacing w:after="180"/>
      </w:pPr>
      <w:r>
        <w:rPr>
          <w:b/>
          <w:bCs/>
        </w:rPr>
        <w:t xml:space="preserve">Goal: </w:t>
      </w:r>
      <w:r>
        <w:t xml:space="preserve">Add safety-critical AI models (toxicity, DDI, AE prediction) and CYP metabolism. These models directly impact patient safety predictions and are the most clinically impactful upgrades.</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800"/>
        <w:gridCol w:w="1800"/>
        <w:gridCol w:w="1960"/>
      </w:tblGrid>
      <w:tr>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Model</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Effort</w:t>
            </w:r>
          </w:p>
        </w:tc>
        <w:tc>
          <w:tcPr>
            <w:tcW w:type="dxa" w:w="19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Dependencies</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P1</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hERG-LTN + DILImap</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Toxicity</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2-3 weeks (2 independent models)</w:t>
            </w:r>
          </w:p>
        </w:tc>
        <w:tc>
          <w:tcPr>
            <w:tcW w:type="dxa" w:w="19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Phase 1 backend already running</w:t>
            </w:r>
          </w:p>
        </w:tc>
      </w:tr>
      <w:tr>
        <w:tc>
          <w:tcPr>
            <w:tcW w:type="dxa" w:w="16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P1</w:t>
            </w:r>
          </w:p>
        </w:tc>
        <w:tc>
          <w:tcPr>
            <w:tcW w:type="dxa" w:w="2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DEEPCYPs + CYPstrate</w:t>
            </w:r>
          </w:p>
        </w:tc>
        <w:tc>
          <w:tcPr>
            <w:tcW w:type="dxa" w:w="1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CYP Metabolism</w:t>
            </w:r>
          </w:p>
        </w:tc>
        <w:tc>
          <w:tcPr>
            <w:tcW w:type="dxa" w:w="1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2 weeks (lightweight models)</w:t>
            </w:r>
          </w:p>
        </w:tc>
        <w:tc>
          <w:tcPr>
            <w:tcW w:type="dxa" w:w="19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Feeds into DDI prediction</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P1</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MUFFIN + DDInter 2.0</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DDI Prediction</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3-4 weeks (GNN + database + API)</w:t>
            </w:r>
          </w:p>
        </w:tc>
        <w:tc>
          <w:tcPr>
            <w:tcW w:type="dxa" w:w="19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CYP models + DrugBank Premium</w:t>
            </w:r>
          </w:p>
        </w:tc>
      </w:tr>
      <w:tr>
        <w:tc>
          <w:tcPr>
            <w:tcW w:type="dxa" w:w="16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P1</w:t>
            </w:r>
          </w:p>
        </w:tc>
        <w:tc>
          <w:tcPr>
            <w:tcW w:type="dxa" w:w="2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ClinicalBERT + FAERS GNN</w:t>
            </w:r>
          </w:p>
        </w:tc>
        <w:tc>
          <w:tcPr>
            <w:tcW w:type="dxa" w:w="1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AE Prediction</w:t>
            </w:r>
          </w:p>
        </w:tc>
        <w:tc>
          <w:tcPr>
            <w:tcW w:type="dxa" w:w="1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3-4 weeks (NLP + GNN integration)</w:t>
            </w:r>
          </w:p>
        </w:tc>
        <w:tc>
          <w:tcPr>
            <w:tcW w:type="dxa" w:w="19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FAERS data pipeline</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1"/>
              <w:left w:val="single" w:color="6C3483" w:sz="12"/>
              <w:bottom w:val="single" w:color="6C3483" w:sz="1"/>
              <w:right w:val="single" w:color="6C3483" w:sz="1"/>
            </w:tcBorders>
            <w:shd w:fill="F5EEF8" w:val="clear"/>
            <w:tcMar>
              <w:top w:type="dxa" w:w="80"/>
              <w:left w:type="dxa" w:w="140"/>
              <w:bottom w:type="dxa" w:w="80"/>
              <w:right w:type="dxa" w:w="140"/>
            </w:tcMar>
          </w:tcPr>
          <w:p>
            <w:pPr>
              <w:spacing w:after="60"/>
            </w:pPr>
            <w:r>
              <w:rPr>
                <w:rFonts w:ascii="Arial" w:cs="Arial" w:eastAsia="Arial" w:hAnsi="Arial"/>
                <w:b/>
                <w:bCs/>
                <w:color w:val="6C3483"/>
                <w:sz w:val="20"/>
                <w:szCs w:val="20"/>
              </w:rPr>
              <w:t xml:space="preserve">Phase 2 Infrastructure</w:t>
            </w:r>
          </w:p>
          <w:p>
            <w:r>
              <w:rPr>
                <w:rFonts w:ascii="Arial" w:cs="Arial" w:eastAsia="Arial" w:hAnsi="Arial"/>
                <w:color w:val="1C2833"/>
                <w:sz w:val="19"/>
                <w:szCs w:val="19"/>
              </w:rPr>
              <w:t xml:space="preserve">Add: FAERS data pipeline (quarterly FDA download), DDI inference endpoint, CYP prediction endpoint. Minimal additional compute (models are lightweight). Estimated development: 2 engineers, 3 months.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1"/>
              <w:left w:val="single" w:color="B7950B" w:sz="8"/>
              <w:bottom w:val="single" w:color="B7950B" w:sz="1"/>
              <w:right w:val="single" w:color="B7950B" w:sz="1"/>
            </w:tcBorders>
            <w:shd w:fill="B7950B"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PHASE 3 — ADVANCED &amp; DIFFERENTIATION (Months 7-12)</w:t>
            </w:r>
          </w:p>
        </w:tc>
      </w:tr>
    </w:tbl>
    <w:p>
      <w:pPr>
        <w:spacing w:before="80"/>
      </w:pPr>
    </w:p>
    <w:p>
      <w:pPr>
        <w:spacing w:after="180"/>
      </w:pPr>
      <w:r>
        <w:rPr>
          <w:b/>
          <w:bCs/>
        </w:rPr>
        <w:t xml:space="preserve">Goal: </w:t>
      </w:r>
      <w:r>
        <w:t xml:space="preserve">Add advanced trial simulation, protein structure, pharmacogenomics, NLP, and generative models. These features differentiate the platform from competitors and unlock premium pricing tiers.</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800"/>
        <w:gridCol w:w="1800"/>
        <w:gridCol w:w="1960"/>
      </w:tblGrid>
      <w:tr>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Model</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Effort</w:t>
            </w:r>
          </w:p>
        </w:tc>
        <w:tc>
          <w:tcPr>
            <w:tcW w:type="dxa" w:w="19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Dependencies</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P2</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HINT + SPOT</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Trial Outcome</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3-4 weeks</w:t>
            </w:r>
          </w:p>
        </w:tc>
        <w:tc>
          <w:tcPr>
            <w:tcW w:type="dxa" w:w="19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DrugBank Clinical Trials data</w:t>
            </w:r>
          </w:p>
        </w:tc>
      </w:tr>
      <w:tr>
        <w:tc>
          <w:tcPr>
            <w:tcW w:type="dxa" w:w="16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P2</w:t>
            </w:r>
          </w:p>
        </w:tc>
        <w:tc>
          <w:tcPr>
            <w:tcW w:type="dxa" w:w="2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rpact + simtrial + DeepSurv</w:t>
            </w:r>
          </w:p>
        </w:tc>
        <w:tc>
          <w:tcPr>
            <w:tcW w:type="dxa" w:w="1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Survival Analysis</w:t>
            </w:r>
          </w:p>
        </w:tc>
        <w:tc>
          <w:tcPr>
            <w:tcW w:type="dxa" w:w="1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4-5 weeks (Monte Carlo + DL)</w:t>
            </w:r>
          </w:p>
        </w:tc>
        <w:tc>
          <w:tcPr>
            <w:tcW w:type="dxa" w:w="19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R runtime from Phase 1</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P2</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ADMETlab 3.0 BBB</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BBB Penetration</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1-2 weeks (API integration)</w:t>
            </w:r>
          </w:p>
        </w:tc>
        <w:tc>
          <w:tcPr>
            <w:tcW w:type="dxa" w:w="19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CNS drug programs only</w:t>
            </w:r>
          </w:p>
        </w:tc>
      </w:tr>
      <w:tr>
        <w:tc>
          <w:tcPr>
            <w:tcW w:type="dxa" w:w="16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P2</w:t>
            </w:r>
          </w:p>
        </w:tc>
        <w:tc>
          <w:tcPr>
            <w:tcW w:type="dxa" w:w="2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AlphaFold3 + ESMFold</w:t>
            </w:r>
          </w:p>
        </w:tc>
        <w:tc>
          <w:tcPr>
            <w:tcW w:type="dxa" w:w="1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Protein Structure</w:t>
            </w:r>
          </w:p>
        </w:tc>
        <w:tc>
          <w:tcPr>
            <w:tcW w:type="dxa" w:w="1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3-4 weeks (API + visualization)</w:t>
            </w:r>
          </w:p>
        </w:tc>
        <w:tc>
          <w:tcPr>
            <w:tcW w:type="dxa" w:w="19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3D viewer integration</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P2</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PharmCAT + DGIdb 5.0</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Pharmacogenomics</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3 weeks</w:t>
            </w:r>
          </w:p>
        </w:tc>
        <w:tc>
          <w:tcPr>
            <w:tcW w:type="dxa" w:w="19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DrugBank PGx data</w:t>
            </w:r>
          </w:p>
        </w:tc>
      </w:tr>
      <w:tr>
        <w:tc>
          <w:tcPr>
            <w:tcW w:type="dxa" w:w="16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P3</w:t>
            </w:r>
          </w:p>
        </w:tc>
        <w:tc>
          <w:tcPr>
            <w:tcW w:type="dxa" w:w="2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BioGPT + PubMedBERT</w:t>
            </w:r>
          </w:p>
        </w:tc>
        <w:tc>
          <w:tcPr>
            <w:tcW w:type="dxa" w:w="1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Biomedical NLP</w:t>
            </w:r>
          </w:p>
        </w:tc>
        <w:tc>
          <w:tcPr>
            <w:tcW w:type="dxa" w:w="1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4-5 weeks (NLP pipeline)</w:t>
            </w:r>
          </w:p>
        </w:tc>
        <w:tc>
          <w:tcPr>
            <w:tcW w:type="dxa" w:w="19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Report generation module</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P3</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REINVENT 4</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Mol. Generation</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6-8 weeks (RL + generation + validation)</w:t>
            </w:r>
          </w:p>
        </w:tc>
        <w:tc>
          <w:tcPr>
            <w:tcW w:type="dxa" w:w="19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Phase 1 ADMET as reward function</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1"/>
              <w:left w:val="single" w:color="6C3483" w:sz="12"/>
              <w:bottom w:val="single" w:color="6C3483" w:sz="1"/>
              <w:right w:val="single" w:color="6C3483" w:sz="1"/>
            </w:tcBorders>
            <w:shd w:fill="F5EEF8" w:val="clear"/>
            <w:tcMar>
              <w:top w:type="dxa" w:w="80"/>
              <w:left w:type="dxa" w:w="140"/>
              <w:bottom w:type="dxa" w:w="80"/>
              <w:right w:type="dxa" w:w="140"/>
            </w:tcMar>
          </w:tcPr>
          <w:p>
            <w:pPr>
              <w:spacing w:after="60"/>
            </w:pPr>
            <w:r>
              <w:rPr>
                <w:rFonts w:ascii="Arial" w:cs="Arial" w:eastAsia="Arial" w:hAnsi="Arial"/>
                <w:b/>
                <w:bCs/>
                <w:color w:val="6C3483"/>
                <w:sz w:val="20"/>
                <w:szCs w:val="20"/>
              </w:rPr>
              <w:t xml:space="preserve">Phase 3 Infrastructure</w:t>
            </w:r>
          </w:p>
          <w:p>
            <w:r>
              <w:rPr>
                <w:rFonts w:ascii="Arial" w:cs="Arial" w:eastAsia="Arial" w:hAnsi="Arial"/>
                <w:color w:val="1C2833"/>
                <w:sz w:val="19"/>
                <w:szCs w:val="19"/>
              </w:rPr>
              <w:t xml:space="preserve">Scale: Additional GPU capacity for AlphaFold/generative models. Estimated development: 3-4 engineers, 6 months. Some features (AlphaFold3, BBB) can be fast-tracked via API integration in 1-2 weeks.</w:t>
            </w:r>
          </w:p>
        </w:tc>
      </w:tr>
    </w:tbl>
    <w:p>
      <w:r>
        <w:br w:type="page"/>
      </w:r>
    </w:p>
    <w:p>
      <w:pPr>
        <w:pStyle w:val="Heading1"/>
      </w:pPr>
      <w:r>
        <w:t xml:space="preserve">7. Licensing &amp; Cost Summary</w:t>
      </w:r>
    </w:p>
    <w:p>
      <w:pPr>
        <w:spacing w:after="180"/>
      </w:pPr>
      <w:r>
        <w:t xml:space="preserve">Most recommended models are open-source (MIT or Apache 2.0), minimizing licensing costs. The primary expenses are compute infrastructure and engineering time.</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1800"/>
        <w:gridCol w:w="1760"/>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Model</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License</w:t>
            </w:r>
          </w:p>
        </w:tc>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Commercial Use</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Cost</w:t>
            </w:r>
          </w:p>
        </w:tc>
        <w:tc>
          <w:tcPr>
            <w:tcW w:type="dxa" w:w="17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Risk Level</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ChemBERTa-2</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MIT</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Fully permitted</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$0 (open source)</w:t>
            </w:r>
          </w:p>
        </w:tc>
        <w:tc>
          <w:tcPr>
            <w:tcW w:type="dxa" w:w="17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None</w:t>
            </w:r>
          </w:p>
        </w:tc>
      </w:tr>
      <w:tr>
        <w:tc>
          <w:tcPr>
            <w:tcW w:type="dxa" w:w="2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ESM-2</w:t>
            </w:r>
          </w:p>
        </w:tc>
        <w:tc>
          <w:tcPr>
            <w:tcW w:type="dxa" w:w="16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MIT</w:t>
            </w:r>
          </w:p>
        </w:tc>
        <w:tc>
          <w:tcPr>
            <w:tcW w:type="dxa" w:w="20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Fully permitted</w:t>
            </w:r>
          </w:p>
        </w:tc>
        <w:tc>
          <w:tcPr>
            <w:tcW w:type="dxa" w:w="1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$0 (open source)</w:t>
            </w:r>
          </w:p>
        </w:tc>
        <w:tc>
          <w:tcPr>
            <w:tcW w:type="dxa" w:w="17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None</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AQAffinity</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Apache 2.0</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Fully permitted</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$0 (open source)</w:t>
            </w:r>
          </w:p>
        </w:tc>
        <w:tc>
          <w:tcPr>
            <w:tcW w:type="dxa" w:w="17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None</w:t>
            </w:r>
          </w:p>
        </w:tc>
      </w:tr>
      <w:tr>
        <w:tc>
          <w:tcPr>
            <w:tcW w:type="dxa" w:w="2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hERG-LTN</w:t>
            </w:r>
          </w:p>
        </w:tc>
        <w:tc>
          <w:tcPr>
            <w:tcW w:type="dxa" w:w="16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Open (research)</w:t>
            </w:r>
          </w:p>
        </w:tc>
        <w:tc>
          <w:tcPr>
            <w:tcW w:type="dxa" w:w="20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Verify with authors</w:t>
            </w:r>
          </w:p>
        </w:tc>
        <w:tc>
          <w:tcPr>
            <w:tcW w:type="dxa" w:w="1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$0 but verify</w:t>
            </w:r>
          </w:p>
        </w:tc>
        <w:tc>
          <w:tcPr>
            <w:tcW w:type="dxa" w:w="17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Low</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DILImap</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Open (research)</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Verify with authors</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$0 but verify</w:t>
            </w:r>
          </w:p>
        </w:tc>
        <w:tc>
          <w:tcPr>
            <w:tcW w:type="dxa" w:w="17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Low</w:t>
            </w:r>
          </w:p>
        </w:tc>
      </w:tr>
      <w:tr>
        <w:tc>
          <w:tcPr>
            <w:tcW w:type="dxa" w:w="2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DEEPCYPs</w:t>
            </w:r>
          </w:p>
        </w:tc>
        <w:tc>
          <w:tcPr>
            <w:tcW w:type="dxa" w:w="16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Open</w:t>
            </w:r>
          </w:p>
        </w:tc>
        <w:tc>
          <w:tcPr>
            <w:tcW w:type="dxa" w:w="20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Generally permitted</w:t>
            </w:r>
          </w:p>
        </w:tc>
        <w:tc>
          <w:tcPr>
            <w:tcW w:type="dxa" w:w="1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$0 (open source)</w:t>
            </w:r>
          </w:p>
        </w:tc>
        <w:tc>
          <w:tcPr>
            <w:tcW w:type="dxa" w:w="17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None</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rxode2 / mrgsolve</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GPL-3 / GPL-2</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Permitted (server-side)</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$0 (copyleft OK for SaaS)</w:t>
            </w:r>
          </w:p>
        </w:tc>
        <w:tc>
          <w:tcPr>
            <w:tcW w:type="dxa" w:w="17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None (not distributed)</w:t>
            </w:r>
          </w:p>
        </w:tc>
      </w:tr>
      <w:tr>
        <w:tc>
          <w:tcPr>
            <w:tcW w:type="dxa" w:w="2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MUFFIN</w:t>
            </w:r>
          </w:p>
        </w:tc>
        <w:tc>
          <w:tcPr>
            <w:tcW w:type="dxa" w:w="16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Open</w:t>
            </w:r>
          </w:p>
        </w:tc>
        <w:tc>
          <w:tcPr>
            <w:tcW w:type="dxa" w:w="20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Generally permitted</w:t>
            </w:r>
          </w:p>
        </w:tc>
        <w:tc>
          <w:tcPr>
            <w:tcW w:type="dxa" w:w="1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$0 (open source)</w:t>
            </w:r>
          </w:p>
        </w:tc>
        <w:tc>
          <w:tcPr>
            <w:tcW w:type="dxa" w:w="17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None</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HINT</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Open (research)</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Verify with authors</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$0 but verify</w:t>
            </w:r>
          </w:p>
        </w:tc>
        <w:tc>
          <w:tcPr>
            <w:tcW w:type="dxa" w:w="17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Low</w:t>
            </w:r>
          </w:p>
        </w:tc>
      </w:tr>
      <w:tr>
        <w:tc>
          <w:tcPr>
            <w:tcW w:type="dxa" w:w="2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AlphaFold3</w:t>
            </w:r>
          </w:p>
        </w:tc>
        <w:tc>
          <w:tcPr>
            <w:tcW w:type="dxa" w:w="16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API only</w:t>
            </w:r>
          </w:p>
        </w:tc>
        <w:tc>
          <w:tcPr>
            <w:tcW w:type="dxa" w:w="20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Paid for commercial</w:t>
            </w:r>
          </w:p>
        </w:tc>
        <w:tc>
          <w:tcPr>
            <w:tcW w:type="dxa" w:w="1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Usage-based API pricing</w:t>
            </w:r>
          </w:p>
        </w:tc>
        <w:tc>
          <w:tcPr>
            <w:tcW w:type="dxa" w:w="17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Medium (vendor lock-in)</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REINVENT 4</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Apache 2.0</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Fully permitted</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$0 (open source)</w:t>
            </w:r>
          </w:p>
        </w:tc>
        <w:tc>
          <w:tcPr>
            <w:tcW w:type="dxa" w:w="17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None</w:t>
            </w:r>
          </w:p>
        </w:tc>
      </w:tr>
      <w:tr>
        <w:tc>
          <w:tcPr>
            <w:tcW w:type="dxa" w:w="2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BioGPT</w:t>
            </w:r>
          </w:p>
        </w:tc>
        <w:tc>
          <w:tcPr>
            <w:tcW w:type="dxa" w:w="16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MIT</w:t>
            </w:r>
          </w:p>
        </w:tc>
        <w:tc>
          <w:tcPr>
            <w:tcW w:type="dxa" w:w="20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Fully permitted</w:t>
            </w:r>
          </w:p>
        </w:tc>
        <w:tc>
          <w:tcPr>
            <w:tcW w:type="dxa" w:w="1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$0 (open source)</w:t>
            </w:r>
          </w:p>
        </w:tc>
        <w:tc>
          <w:tcPr>
            <w:tcW w:type="dxa" w:w="17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None</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DrugBank Data</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Commercial</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License required</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Negotiated (volume-based)</w:t>
            </w:r>
          </w:p>
        </w:tc>
        <w:tc>
          <w:tcPr>
            <w:tcW w:type="dxa" w:w="17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Medium (data dependency)</w:t>
            </w:r>
          </w:p>
        </w:tc>
      </w:tr>
    </w:tbl>
    <w:p>
      <w:pPr>
        <w:spacing w:before="80"/>
      </w:pPr>
    </w:p>
    <w:p>
      <w:pPr>
        <w:pStyle w:val="Heading2"/>
      </w:pPr>
      <w:r>
        <w:t xml:space="preserve">7.1 Estimated Infrastructure Costs</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c>
          <w:tcPr>
            <w:tcW w:type="dxa" w:w="3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Phase</w:t>
            </w:r>
          </w:p>
        </w:tc>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Monthly Compute</w:t>
            </w:r>
          </w:p>
        </w:tc>
        <w:tc>
          <w:tcPr>
            <w:tcW w:type="dxa" w:w="31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Engineering (Total)</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Phase 1 (Foundation)</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~$750/month (1x A10G + R sidecar)</w:t>
            </w:r>
          </w:p>
        </w:tc>
        <w:tc>
          <w:tcPr>
            <w:tcW w:type="dxa" w:w="31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2 engineers x 3 months = 6 person-months</w:t>
            </w:r>
          </w:p>
        </w:tc>
      </w:tr>
      <w:tr>
        <w:tc>
          <w:tcPr>
            <w:tcW w:type="dxa" w:w="30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Phase 2 (Safety)</w:t>
            </w:r>
          </w:p>
        </w:tc>
        <w:tc>
          <w:tcPr>
            <w:tcW w:type="dxa" w:w="3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~$900/month (additional model endpoints)</w:t>
            </w:r>
          </w:p>
        </w:tc>
        <w:tc>
          <w:tcPr>
            <w:tcW w:type="dxa" w:w="31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2 engineers x 3 months = 6 person-months</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Phase 3 (Advanced)</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~$1,500/month (GPU scale-up for protein/gen models)</w:t>
            </w:r>
          </w:p>
        </w:tc>
        <w:tc>
          <w:tcPr>
            <w:tcW w:type="dxa" w:w="31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3-4 engineers x 6 months = 18-24 person-months</w:t>
            </w:r>
          </w:p>
        </w:tc>
      </w:tr>
      <w:tr>
        <w:tc>
          <w:tcPr>
            <w:tcW w:type="dxa" w:w="30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Total Year 1</w:t>
            </w:r>
          </w:p>
        </w:tc>
        <w:tc>
          <w:tcPr>
            <w:tcW w:type="dxa" w:w="3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~$12,000-15,000/year compute</w:t>
            </w:r>
          </w:p>
        </w:tc>
        <w:tc>
          <w:tcPr>
            <w:tcW w:type="dxa" w:w="31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30-36 person-months engineering</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2"/>
              <w:bottom w:val="single" w:color="27AE60" w:sz="1"/>
              <w:right w:val="single" w:color="27AE60" w:sz="1"/>
            </w:tcBorders>
            <w:shd w:fill="E8F8F5" w:val="clear"/>
            <w:tcMar>
              <w:top w:type="dxa" w:w="80"/>
              <w:left w:type="dxa" w:w="140"/>
              <w:bottom w:type="dxa" w:w="80"/>
              <w:right w:type="dxa" w:w="140"/>
            </w:tcMar>
          </w:tcPr>
          <w:p>
            <w:pPr>
              <w:spacing w:after="60"/>
            </w:pPr>
            <w:r>
              <w:rPr>
                <w:rFonts w:ascii="Arial" w:cs="Arial" w:eastAsia="Arial" w:hAnsi="Arial"/>
                <w:b/>
                <w:bCs/>
                <w:color w:val="27AE60"/>
                <w:sz w:val="20"/>
                <w:szCs w:val="20"/>
              </w:rPr>
              <w:t xml:space="preserve">Note</w:t>
            </w:r>
          </w:p>
          <w:p>
            <w:r>
              <w:rPr>
                <w:rFonts w:ascii="Arial" w:cs="Arial" w:eastAsia="Arial" w:hAnsi="Arial"/>
                <w:color w:val="1C2833"/>
                <w:sz w:val="19"/>
                <w:szCs w:val="19"/>
              </w:rPr>
              <w:t xml:space="preserve">Costs assume AWS/GCP cloud deployment. Compute scales with client usage. The open-source model strategy means zero licensing fees for 90% of models. Main costs are engineering time and GPU compute, not software licenses.</w:t>
            </w:r>
          </w:p>
        </w:tc>
      </w:tr>
    </w:tbl>
    <w:p>
      <w:r>
        <w:br w:type="page"/>
      </w:r>
    </w:p>
    <w:p>
      <w:pPr>
        <w:pStyle w:val="Heading1"/>
      </w:pPr>
      <w:r>
        <w:t xml:space="preserve">8. Privacy Impact Assessment</w:t>
      </w:r>
    </w:p>
    <w:p>
      <w:pPr>
        <w:spacing w:after="180"/>
      </w:pPr>
      <w:r>
        <w:t xml:space="preserve">Adding server-side AI inference changes the privacy architecture. This section documents how the zero-knowledge guarantee is maintained even with AI models running on a server.</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Data Type</w:t>
            </w:r>
          </w:p>
        </w:tc>
        <w:tc>
          <w:tcPr>
            <w:tcW w:type="dxa" w:w="34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v1 (Client-Only)</w:t>
            </w:r>
          </w:p>
        </w:tc>
        <w:tc>
          <w:tcPr>
            <w:tcW w:type="dxa" w:w="34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v2 (Hybrid AI)</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SMILES Structure</w:t>
            </w:r>
          </w:p>
        </w:tc>
        <w:tc>
          <w:tcPr>
            <w:tcW w:type="dxa" w:w="348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Never leaves browser. All computation client-side.</w:t>
            </w:r>
          </w:p>
        </w:tc>
        <w:tc>
          <w:tcPr>
            <w:tcW w:type="dxa" w:w="348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Never leaves browser. Only Morgan fingerprint sent to server. SMILES stays in client memory.</w:t>
            </w:r>
          </w:p>
        </w:tc>
      </w:tr>
      <w:tr>
        <w:tc>
          <w:tcPr>
            <w:tcW w:type="dxa" w:w="24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Morgan Fingerprint</w:t>
            </w:r>
          </w:p>
        </w:tc>
        <w:tc>
          <w:tcPr>
            <w:tcW w:type="dxa" w:w="348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Computed client-side for UI display. Not sent anywhere.</w:t>
            </w:r>
          </w:p>
        </w:tc>
        <w:tc>
          <w:tcPr>
            <w:tcW w:type="dxa" w:w="348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Sent to server via HTTPS for AI inference. Irreversible one-way hash. Cannot reconstruct original SMILES.</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Predictions</w:t>
            </w:r>
          </w:p>
        </w:tc>
        <w:tc>
          <w:tcPr>
            <w:tcW w:type="dxa" w:w="348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Computed locally. No server interaction.</w:t>
            </w:r>
          </w:p>
        </w:tc>
        <w:tc>
          <w:tcPr>
            <w:tcW w:type="dxa" w:w="348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Returned from server to client. Cached in browser session only. No server-side logging of predictions.</w:t>
            </w:r>
          </w:p>
        </w:tc>
      </w:tr>
      <w:tr>
        <w:tc>
          <w:tcPr>
            <w:tcW w:type="dxa" w:w="24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Patient Data</w:t>
            </w:r>
          </w:p>
        </w:tc>
        <w:tc>
          <w:tcPr>
            <w:tcW w:type="dxa" w:w="348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Synthetic cohorts generated client-side.</w:t>
            </w:r>
          </w:p>
        </w:tc>
        <w:tc>
          <w:tcPr>
            <w:tcW w:type="dxa" w:w="348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PopPK covariates from MIMIC-IV are aggregate distributions, not individual patient records. No patient data sent from client.</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Server Logging</w:t>
            </w:r>
          </w:p>
        </w:tc>
        <w:tc>
          <w:tcPr>
            <w:tcW w:type="dxa" w:w="348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No server. Nothing logged.</w:t>
            </w:r>
          </w:p>
        </w:tc>
        <w:tc>
          <w:tcPr>
            <w:tcW w:type="dxa" w:w="348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Request metadata only (timestamp, model ID, response time). No fingerprints stored. Configurable log retention.</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2"/>
              <w:bottom w:val="single" w:color="27AE60" w:sz="1"/>
              <w:right w:val="single" w:color="27AE60" w:sz="1"/>
            </w:tcBorders>
            <w:shd w:fill="E8F8F5" w:val="clear"/>
            <w:tcMar>
              <w:top w:type="dxa" w:w="80"/>
              <w:left w:type="dxa" w:w="140"/>
              <w:bottom w:type="dxa" w:w="80"/>
              <w:right w:type="dxa" w:w="140"/>
            </w:tcMar>
          </w:tcPr>
          <w:p>
            <w:pPr>
              <w:spacing w:after="60"/>
            </w:pPr>
            <w:r>
              <w:rPr>
                <w:rFonts w:ascii="Arial" w:cs="Arial" w:eastAsia="Arial" w:hAnsi="Arial"/>
                <w:b/>
                <w:bCs/>
                <w:color w:val="27AE60"/>
                <w:sz w:val="20"/>
                <w:szCs w:val="20"/>
              </w:rPr>
              <w:t xml:space="preserve">Privacy Summary</w:t>
            </w:r>
          </w:p>
          <w:p>
            <w:r>
              <w:rPr>
                <w:rFonts w:ascii="Arial" w:cs="Arial" w:eastAsia="Arial" w:hAnsi="Arial"/>
                <w:color w:val="1C2833"/>
                <w:sz w:val="19"/>
                <w:szCs w:val="19"/>
              </w:rPr>
              <w:t xml:space="preserve">The v2 AI upgrade maintains the zero-knowledge guarantee for molecular structures. SMILES never leaves the client. Morgan fingerprints are one-way hashes that cannot be reversed. Server processes inference requests statelessly with no fingerprint persistence. This architecture is designed for biotech clients handling proprietary compound libraries.</w:t>
            </w:r>
          </w:p>
        </w:tc>
      </w:tr>
    </w:tbl>
    <w:p>
      <w:r>
        <w:br w:type="page"/>
      </w:r>
    </w:p>
    <w:p>
      <w:pPr>
        <w:pStyle w:val="Heading1"/>
      </w:pPr>
      <w:r>
        <w:t xml:space="preserve">9. Competitive Advantage Through AI</w:t>
      </w:r>
    </w:p>
    <w:p>
      <w:pPr>
        <w:spacing w:after="180"/>
      </w:pPr>
      <w:r>
        <w:t xml:space="preserve">The AI upgrade positions the BioDigital Twin platform uniquely in the market. Here is how each phase creates compounding competitive advantage.</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Advantage</w:t>
            </w:r>
          </w:p>
        </w:tc>
        <w:tc>
          <w:tcPr>
            <w:tcW w:type="dxa" w:w="34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What It Means</w:t>
            </w:r>
          </w:p>
        </w:tc>
        <w:tc>
          <w:tcPr>
            <w:tcW w:type="dxa" w:w="34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Competitor Gap</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Privacy-First AI</w:t>
            </w:r>
          </w:p>
        </w:tc>
        <w:tc>
          <w:tcPr>
            <w:tcW w:type="dxa" w:w="348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Zero-knowledge molecular AI. SMILES never leaves the browser. Competitors require uploading full molecular structures to their servers.</w:t>
            </w:r>
          </w:p>
        </w:tc>
        <w:tc>
          <w:tcPr>
            <w:tcW w:type="dxa" w:w="348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No competitor offers client-side molecular privacy with server-side AI inference. Most require full data upload.</w:t>
            </w:r>
          </w:p>
        </w:tc>
      </w:tr>
      <w:tr>
        <w:tc>
          <w:tcPr>
            <w:tcW w:type="dxa" w:w="24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Full Pipeline Simulation</w:t>
            </w:r>
          </w:p>
        </w:tc>
        <w:tc>
          <w:tcPr>
            <w:tcW w:type="dxa" w:w="348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From SMILES to trial outcome in one platform. Most competitors focus on one layer (molecular OR clinical, not both).</w:t>
            </w:r>
          </w:p>
        </w:tc>
        <w:tc>
          <w:tcPr>
            <w:tcW w:type="dxa" w:w="348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Schrödinger does molecular only. Medidata does clinical only. No competitor bridges the full pipeline.</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Modular AI Upgrades</w:t>
            </w:r>
          </w:p>
        </w:tc>
        <w:tc>
          <w:tcPr>
            <w:tcW w:type="dxa" w:w="348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Each component independently upgradeable. Clients pay for the precision they need. Start cheap, upgrade as they grow.</w:t>
            </w:r>
          </w:p>
        </w:tc>
        <w:tc>
          <w:tcPr>
            <w:tcW w:type="dxa" w:w="348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Competitors are monolithic. You buy the whole platform or nothing. No à la carte AI modules.</w:t>
            </w:r>
          </w:p>
        </w:tc>
      </w:tr>
      <w:tr>
        <w:tc>
          <w:tcPr>
            <w:tcW w:type="dxa" w:w="24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Open Source Stack</w:t>
            </w:r>
          </w:p>
        </w:tc>
        <w:tc>
          <w:tcPr>
            <w:tcW w:type="dxa" w:w="348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90% open-source models. No vendor lock-in. Low cost to serve. Licensing fees near zero.</w:t>
            </w:r>
          </w:p>
        </w:tc>
        <w:tc>
          <w:tcPr>
            <w:tcW w:type="dxa" w:w="348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Competitors use proprietary models (Schrödinger FEP+, commercial ADMET suites). High licensing costs passed to clients.</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Small Biotech Focus</w:t>
            </w:r>
          </w:p>
        </w:tc>
        <w:tc>
          <w:tcPr>
            <w:tcW w:type="dxa" w:w="348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Designed for 5-50 person biotech companies. Affordable pricing, fast onboarding, no enterprise sales cycle.</w:t>
            </w:r>
          </w:p>
        </w:tc>
        <w:tc>
          <w:tcPr>
            <w:tcW w:type="dxa" w:w="348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Competitors target big pharma with $100K+ contracts. Small biotechs are underserved.</w:t>
            </w:r>
          </w:p>
        </w:tc>
      </w:tr>
      <w:tr>
        <w:tc>
          <w:tcPr>
            <w:tcW w:type="dxa" w:w="24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DrugBank + AI Fusion</w:t>
            </w:r>
          </w:p>
        </w:tc>
        <w:tc>
          <w:tcPr>
            <w:tcW w:type="dxa" w:w="348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Expert-curated data (DrugBank) + AI predictions = best of both worlds. Known drugs get real data; novel drugs get AI predictions.</w:t>
            </w:r>
          </w:p>
        </w:tc>
        <w:tc>
          <w:tcPr>
            <w:tcW w:type="dxa" w:w="348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No competitor combines DrugBank-grade data curation with open-source AI in a single platform.</w:t>
            </w:r>
          </w:p>
        </w:tc>
      </w:tr>
    </w:tbl>
    <w:p>
      <w:pPr>
        <w:spacing w:before="80"/>
      </w:pPr>
    </w:p>
    <w:p>
      <w:r>
        <w:br w:type="page"/>
      </w:r>
    </w:p>
    <w:p>
      <w:pPr>
        <w:pStyle w:val="Heading1"/>
      </w:pPr>
      <w:r>
        <w:t xml:space="preserve">10. Next Steps &amp; Decision Matrix</w:t>
      </w:r>
    </w:p>
    <w:p>
      <w:pPr>
        <w:spacing w:after="180"/>
      </w:pPr>
      <w:r>
        <w:t xml:space="preserve">This section provides actionable next steps for the engineering, product, and business teams.</w:t>
      </w:r>
    </w:p>
    <w:p>
      <w:pPr>
        <w:spacing w:before="60"/>
      </w:pPr>
    </w:p>
    <w:p>
      <w:pPr>
        <w:pStyle w:val="Heading2"/>
      </w:pPr>
      <w:r>
        <w:t xml:space="preserve">10.1 Engineering Next Steps</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3360"/>
      </w:tblGrid>
      <w:tr>
        <w:tc>
          <w:tcPr>
            <w:tcW w:type="dxa" w:w="4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Timeline</w:t>
            </w:r>
          </w:p>
        </w:tc>
        <w:tc>
          <w:tcPr>
            <w:tcW w:type="dxa" w:w="3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Owner</w:t>
            </w:r>
          </w:p>
        </w:tc>
      </w:tr>
      <w:tr>
        <w:tc>
          <w:tcPr>
            <w:tcW w:type="dxa" w:w="4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Stand up FastAPI + ONNX Runtime backend</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Week 1-2</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DevOps + Backend</w:t>
            </w:r>
          </w:p>
        </w:tc>
      </w:tr>
      <w:tr>
        <w:tc>
          <w:tcPr>
            <w:tcW w:type="dxa" w:w="4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Fine-tune ChemBERTa-2 on ChEMBL ADMET data</w:t>
            </w:r>
          </w:p>
        </w:tc>
        <w:tc>
          <w:tcPr>
            <w:tcW w:type="dxa" w:w="1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Week 2-4</w:t>
            </w:r>
          </w:p>
        </w:tc>
        <w:tc>
          <w:tcPr>
            <w:tcW w:type="dxa" w:w="33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ML Engineer</w:t>
            </w:r>
          </w:p>
        </w:tc>
      </w:tr>
      <w:tr>
        <w:tc>
          <w:tcPr>
            <w:tcW w:type="dxa" w:w="4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Deploy ESM-2 + AQAffinity binding pipeline</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Week 3-5</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ML Engineer</w:t>
            </w:r>
          </w:p>
        </w:tc>
      </w:tr>
      <w:tr>
        <w:tc>
          <w:tcPr>
            <w:tcW w:type="dxa" w:w="4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Set up R/plumber sidecar for rxode2/mrgsolve</w:t>
            </w:r>
          </w:p>
        </w:tc>
        <w:tc>
          <w:tcPr>
            <w:tcW w:type="dxa" w:w="1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Week 4-6</w:t>
            </w:r>
          </w:p>
        </w:tc>
        <w:tc>
          <w:tcPr>
            <w:tcW w:type="dxa" w:w="33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Backend + Pharmacometrician</w:t>
            </w:r>
          </w:p>
        </w:tc>
      </w:tr>
      <w:tr>
        <w:tc>
          <w:tcPr>
            <w:tcW w:type="dxa" w:w="4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Integrate ONNX-exported models into FastAPI</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Week 5-7</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Backend</w:t>
            </w:r>
          </w:p>
        </w:tc>
      </w:tr>
      <w:tr>
        <w:tc>
          <w:tcPr>
            <w:tcW w:type="dxa" w:w="4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Update client to send Morgan FP instead of local QSAR</w:t>
            </w:r>
          </w:p>
        </w:tc>
        <w:tc>
          <w:tcPr>
            <w:tcW w:type="dxa" w:w="1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Week 6-8</w:t>
            </w:r>
          </w:p>
        </w:tc>
        <w:tc>
          <w:tcPr>
            <w:tcW w:type="dxa" w:w="33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Frontend</w:t>
            </w:r>
          </w:p>
        </w:tc>
      </w:tr>
      <w:tr>
        <w:tc>
          <w:tcPr>
            <w:tcW w:type="dxa" w:w="4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Load test AI endpoints (target: &lt;500ms ADMET)</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Week 8-10</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DevOps</w:t>
            </w:r>
          </w:p>
        </w:tc>
      </w:tr>
      <w:tr>
        <w:tc>
          <w:tcPr>
            <w:tcW w:type="dxa" w:w="4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Beta test with 3-5 pilot clients</w:t>
            </w:r>
          </w:p>
        </w:tc>
        <w:tc>
          <w:tcPr>
            <w:tcW w:type="dxa" w:w="1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Week 10-12</w:t>
            </w:r>
          </w:p>
        </w:tc>
        <w:tc>
          <w:tcPr>
            <w:tcW w:type="dxa" w:w="33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Product + Engineering</w:t>
            </w:r>
          </w:p>
        </w:tc>
      </w:tr>
    </w:tbl>
    <w:p>
      <w:pPr>
        <w:spacing w:before="80"/>
      </w:pPr>
    </w:p>
    <w:p>
      <w:pPr>
        <w:pStyle w:val="Heading2"/>
      </w:pPr>
      <w:r>
        <w:t xml:space="preserve">10.2 Business Decisions Required</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3360"/>
      </w:tblGrid>
      <w:tr>
        <w:tc>
          <w:tcPr>
            <w:tcW w:type="dxa" w:w="4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Decision</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Deadline</w:t>
            </w:r>
          </w:p>
        </w:tc>
        <w:tc>
          <w:tcPr>
            <w:tcW w:type="dxa" w:w="3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Owner</w:t>
            </w:r>
          </w:p>
        </w:tc>
      </w:tr>
      <w:tr>
        <w:tc>
          <w:tcPr>
            <w:tcW w:type="dxa" w:w="4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DrugBank license negotiation</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Before Phase 2 DDI integration</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CEO/BD</w:t>
            </w:r>
          </w:p>
        </w:tc>
      </w:tr>
      <w:tr>
        <w:tc>
          <w:tcPr>
            <w:tcW w:type="dxa" w:w="4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AlphaFold3 API vs OpenFold self-host</w:t>
            </w:r>
          </w:p>
        </w:tc>
        <w:tc>
          <w:tcPr>
            <w:tcW w:type="dxa" w:w="1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Before Phase 3 protein structure</w:t>
            </w:r>
          </w:p>
        </w:tc>
        <w:tc>
          <w:tcPr>
            <w:tcW w:type="dxa" w:w="33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CTO</w:t>
            </w:r>
          </w:p>
        </w:tc>
      </w:tr>
      <w:tr>
        <w:tc>
          <w:tcPr>
            <w:tcW w:type="dxa" w:w="4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Client pricing tiers (Standard/AI/Premium)</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Before Phase 1 launch</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Product + CEO</w:t>
            </w:r>
          </w:p>
        </w:tc>
      </w:tr>
      <w:tr>
        <w:tc>
          <w:tcPr>
            <w:tcW w:type="dxa" w:w="4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MIMIC-IV credentialed access application</w:t>
            </w:r>
          </w:p>
        </w:tc>
        <w:tc>
          <w:tcPr>
            <w:tcW w:type="dxa" w:w="1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Immediately (8-week approval)</w:t>
            </w:r>
          </w:p>
        </w:tc>
        <w:tc>
          <w:tcPr>
            <w:tcW w:type="dxa" w:w="33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Research Lead</w:t>
            </w:r>
          </w:p>
        </w:tc>
      </w:tr>
      <w:tr>
        <w:tc>
          <w:tcPr>
            <w:tcW w:type="dxa" w:w="4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GPU cloud provider selection (AWS vs GCP)</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Before Phase 1 dev start</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DevOps</w:t>
            </w:r>
          </w:p>
        </w:tc>
      </w:tr>
      <w:tr>
        <w:tc>
          <w:tcPr>
            <w:tcW w:type="dxa" w:w="4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Hiring: ML Engineer + Pharmacometrician</w:t>
            </w:r>
          </w:p>
        </w:tc>
        <w:tc>
          <w:tcPr>
            <w:tcW w:type="dxa" w:w="1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Immediately</w:t>
            </w:r>
          </w:p>
        </w:tc>
        <w:tc>
          <w:tcPr>
            <w:tcW w:type="dxa" w:w="33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CEO</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2"/>
              <w:bottom w:val="single" w:color="27AE60" w:sz="1"/>
              <w:right w:val="single" w:color="27AE60" w:sz="1"/>
            </w:tcBorders>
            <w:shd w:fill="E8F8F5" w:val="clear"/>
            <w:tcMar>
              <w:top w:type="dxa" w:w="80"/>
              <w:left w:type="dxa" w:w="140"/>
              <w:bottom w:type="dxa" w:w="80"/>
              <w:right w:type="dxa" w:w="140"/>
            </w:tcMar>
          </w:tcPr>
          <w:p>
            <w:pPr>
              <w:spacing w:after="60"/>
            </w:pPr>
            <w:r>
              <w:rPr>
                <w:rFonts w:ascii="Arial" w:cs="Arial" w:eastAsia="Arial" w:hAnsi="Arial"/>
                <w:b/>
                <w:bCs/>
                <w:color w:val="27AE60"/>
                <w:sz w:val="20"/>
                <w:szCs w:val="20"/>
              </w:rPr>
              <w:t xml:space="preserve">Bottom Line</w:t>
            </w:r>
          </w:p>
          <w:p>
            <w:r>
              <w:rPr>
                <w:rFonts w:ascii="Arial" w:cs="Arial" w:eastAsia="Arial" w:hAnsi="Arial"/>
                <w:color w:val="1C2833"/>
                <w:sz w:val="19"/>
                <w:szCs w:val="19"/>
              </w:rPr>
              <w:t xml:space="preserve">The v2 AI upgrade transforms the BioDigital Twin from a rule-based estimation tool into an AI-powered prediction platform. With 90% open-source models, the investment is primarily in engineering talent and compute infrastructure — not software licenses. Phase 1 (ADMET + Binding + PopPK) can be delivered in 3 months with 2 engineers and ~$750/month compute. This is the single highest-ROI investment the platform can make.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4" w:space="4"/>
      </w:pBdr>
      <w:tabs>
        <w:tab w:val="right" w:pos="9026"/>
      </w:tabs>
    </w:pPr>
    <w:r>
      <w:rPr>
        <w:rFonts w:ascii="Arial" w:cs="Arial" w:eastAsia="Arial" w:hAnsi="Arial"/>
        <w:color w:val="5D6D7E"/>
        <w:sz w:val="16"/>
        <w:szCs w:val="16"/>
      </w:rPr>
      <w:t xml:space="preserve">Hakase AI  |  Confidential</w:t>
    </w:r>
    <w:r>
      <w:rPr>
        <w:rFonts w:ascii="Arial" w:cs="Arial" w:eastAsia="Arial" w:hAnsi="Arial"/>
        <w:color w:val="5D6D7E"/>
        <w:sz w:val="16"/>
        <w:szCs w:val="16"/>
      </w:rPr>
      <w:t xml:space="preserve">	Page </w:t>
    </w:r>
    <w:r>
      <w:rPr>
        <w:rFonts w:ascii="Arial" w:cs="Arial" w:eastAsia="Arial" w:hAnsi="Arial"/>
        <w:color w:val="5D6D7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6" w:space="4"/>
      </w:pBdr>
      <w:tabs>
        <w:tab w:val="right" w:pos="9026"/>
      </w:tabs>
    </w:pPr>
    <w:r>
      <w:rPr>
        <w:rFonts w:ascii="Arial" w:cs="Arial" w:eastAsia="Arial" w:hAnsi="Arial"/>
        <w:color w:val="5D6D7E"/>
        <w:sz w:val="16"/>
        <w:szCs w:val="16"/>
      </w:rPr>
      <w:t xml:space="preserve">BioDigital Twin — AI Models Integration Guide</w:t>
    </w:r>
    <w:r>
      <w:rPr>
        <w:rFonts w:ascii="Arial" w:cs="Arial" w:eastAsia="Arial" w:hAnsi="Arial"/>
        <w:color w:val="5D6D7E"/>
        <w:sz w:val="16"/>
        <w:szCs w:val="16"/>
      </w:rPr>
      <w:t xml:space="preserve">	Hakase 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86C1"/>
      <w:sz w:val="26"/>
      <w:szCs w:val="26"/>
    </w:rPr>
  </w:style>
  <w:style w:type="paragraph" w:styleId="Heading3">
    <w:name w:val="Heading 3"/>
    <w:basedOn w:val="Normal"/>
    <w:next w:val="Normal"/>
    <w:qFormat/>
    <w:pPr>
      <w:spacing w:after="120" w:before="180"/>
      <w:outlineLvl w:val="2"/>
    </w:pPr>
    <w:rPr>
      <w:rFonts w:ascii="Arial" w:cs="Arial" w:eastAsia="Arial" w:hAnsi="Arial"/>
      <w:b/>
      <w:bCs/>
      <w:color w:val="27AE6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2026-03-14T22:21:54.538Z</dcterms:created>
  <dcterms:modified xsi:type="dcterms:W3CDTF">2026-03-14T22:21:54.543Z</dcterms:modified>
</cp:coreProperties>
</file>

<file path=docProps/custom.xml><?xml version="1.0" encoding="utf-8"?>
<Properties xmlns="http://schemas.openxmlformats.org/officeDocument/2006/custom-properties" xmlns:vt="http://schemas.openxmlformats.org/officeDocument/2006/docPropsVTypes"/>
</file>