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80"/>
      </w:pPr>
      <w:r>
        <w:rPr>
          <w:rFonts w:ascii="Arial" w:cs="Arial" w:eastAsia="Arial" w:hAnsi="Arial"/>
          <w:b/>
          <w:bCs/>
          <w:color w:val="1B4F72"/>
          <w:sz w:val="52"/>
          <w:szCs w:val="52"/>
        </w:rPr>
        <w:t xml:space="preserve">HakaseAI</w:t>
      </w:r>
    </w:p>
    <w:p>
      <w:pPr>
        <w:spacing w:after="200"/>
      </w:pPr>
      <w:r>
        <w:rPr>
          <w:rFonts w:ascii="Arial" w:cs="Arial" w:eastAsia="Arial" w:hAnsi="Arial"/>
          <w:b/>
          <w:bCs/>
          <w:color w:val="2E86C1"/>
          <w:sz w:val="44"/>
          <w:szCs w:val="44"/>
        </w:rPr>
        <w:t xml:space="preserve">BioDigital Twin Platform</w:t>
      </w:r>
    </w:p>
    <w:p>
      <w:pPr>
        <w:pBdr>
          <w:bottom w:val="single" w:color="27AE60" w:sz="2" w:space="4"/>
        </w:pBdr>
        <w:spacing w:after="200"/>
      </w:pPr>
    </w:p>
    <w:p>
      <w:pPr>
        <w:spacing w:after="100"/>
      </w:pPr>
      <w:r>
        <w:rPr>
          <w:rFonts w:ascii="Arial" w:cs="Arial" w:eastAsia="Arial" w:hAnsi="Arial"/>
          <w:color w:val="5D6D7E"/>
          <w:sz w:val="36"/>
          <w:szCs w:val="36"/>
        </w:rPr>
        <w:t xml:space="preserve">Product Guide</w:t>
      </w:r>
    </w:p>
    <w:p>
      <w:pPr>
        <w:spacing w:after="600"/>
      </w:pPr>
      <w:r>
        <w:rPr>
          <w:rFonts w:ascii="Arial" w:cs="Arial" w:eastAsia="Arial" w:hAnsi="Arial"/>
          <w:color w:val="5D6D7E"/>
          <w:sz w:val="24"/>
          <w:szCs w:val="24"/>
        </w:rPr>
        <w:t xml:space="preserve">Version 1.0</w:t>
      </w:r>
    </w:p>
    <w:p>
      <w:pPr>
        <w:spacing w:after="400"/>
      </w:pPr>
      <w:r>
        <w:rPr>
          <w:i/>
          <w:iCs/>
          <w:color w:val="5D6D7E"/>
        </w:rPr>
        <w:t xml:space="preserve">A comprehensive product overview for development teams and technical stakeholders. Covers platform architecture, all three simulation layers, every input field, output visualization, workflow, and integration pattern.</w:t>
      </w:r>
    </w:p>
    <w:p>
      <w:pPr>
        <w:spacing w:before="200"/>
      </w:pPr>
    </w:p>
    <w:p>
      <w:pPr>
        <w:spacing w:after="180"/>
      </w:pPr>
      <w:r>
        <w:rPr>
          <w:rFonts w:ascii="Arial" w:cs="Arial" w:eastAsia="Arial" w:hAnsi="Arial"/>
          <w:color w:val="5D6D7E"/>
          <w:sz w:val="20"/>
          <w:szCs w:val="20"/>
        </w:rPr>
        <w:t xml:space="preserve">Hakase AI  |  Confidential</w:t>
      </w:r>
    </w:p>
    <w:p>
      <w:pPr>
        <w:spacing w:after="180"/>
      </w:pPr>
      <w:r>
        <w:rPr>
          <w:rFonts w:ascii="Arial" w:cs="Arial" w:eastAsia="Arial" w:hAnsi="Arial"/>
          <w:color w:val="5D6D7E"/>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Platform Overview</w:t>
      </w:r>
    </w:p>
    <w:p>
      <w:pPr>
        <w:pStyle w:val="Heading2"/>
      </w:pPr>
      <w:r>
        <w:t xml:space="preserve">What is BioDigital Twin?</w:t>
      </w:r>
    </w:p>
    <w:p>
      <w:pPr>
        <w:spacing w:after="180"/>
      </w:pPr>
      <w:r>
        <w:t xml:space="preserve">The HakaseAI BioDigital Twin Platform is a simulation engine that models the complete drug development journey. It takes a candidate molecule and predicts what will happen at every stage — from how the molecule behaves in biological systems, through how patients respond to it, to how an entire clinical trial would play out.</w:t>
      </w:r>
    </w:p>
    <w:p>
      <w:pPr>
        <w:spacing w:after="180"/>
      </w:pPr>
      <w:r>
        <w:t xml:space="preserve">The platform is organized into three cascading simulation layers, each building on the outputs of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E86C1"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 1: Molecular Twin</w:t>
            </w:r>
          </w:p>
        </w:tc>
        <w:tc>
          <w:tcPr>
            <w:tcW w:type="dxa" w:w="312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 2: Cohort Twin</w:t>
            </w:r>
          </w:p>
        </w:tc>
        <w:tc>
          <w:tcPr>
            <w:tcW w:type="dxa" w:w="3120"/>
            <w:tcBorders>
              <w:top w:val="single" w:color="BDC3C7" w:sz="1"/>
              <w:left w:val="single" w:color="BDC3C7" w:sz="1"/>
              <w:bottom w:val="single" w:color="BDC3C7" w:sz="1"/>
              <w:right w:val="single" w:color="BDC3C7" w:sz="1"/>
            </w:tcBorders>
            <w:shd w:fill="8E44AD"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 3: Trial Twin</w:t>
            </w:r>
          </w:p>
        </w:tc>
      </w:tr>
      <w:tr>
        <w:tc>
          <w:tcPr>
            <w:tcW w:type="dxa" w:w="312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top"/>
          </w:tcPr>
          <w:p>
            <w:r>
              <w:rPr>
                <w:rFonts w:ascii="Arial" w:cs="Arial" w:eastAsia="Arial" w:hAnsi="Arial"/>
                <w:color w:val="1C2833"/>
                <w:sz w:val="20"/>
                <w:szCs w:val="20"/>
              </w:rPr>
              <w:t xml:space="preserve">Simulates how a molecule behaves biologically: ADMET properties, target binding, toxicity signals.</w:t>
            </w:r>
          </w:p>
        </w:tc>
        <w:tc>
          <w:tcPr>
            <w:tcW w:type="dxa" w:w="312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top"/>
          </w:tcPr>
          <w:p>
            <w:r>
              <w:rPr>
                <w:rFonts w:ascii="Arial" w:cs="Arial" w:eastAsia="Arial" w:hAnsi="Arial"/>
                <w:color w:val="1C2833"/>
                <w:sz w:val="20"/>
                <w:szCs w:val="20"/>
              </w:rPr>
              <w:t xml:space="preserve">Simulates how different patient populations respond: PK/PD curves, responder profiles, adverse events.</w:t>
            </w:r>
          </w:p>
        </w:tc>
        <w:tc>
          <w:tcPr>
            <w:tcW w:type="dxa" w:w="3120"/>
            <w:tcBorders>
              <w:top w:val="single" w:color="BDC3C7" w:sz="1"/>
              <w:left w:val="single" w:color="BDC3C7" w:sz="1"/>
              <w:bottom w:val="single" w:color="BDC3C7" w:sz="1"/>
              <w:right w:val="single" w:color="BDC3C7" w:sz="1"/>
            </w:tcBorders>
            <w:shd w:fill="F4ECF7" w:val="clear"/>
            <w:tcMar>
              <w:top w:type="dxa" w:w="60"/>
              <w:left w:type="dxa" w:w="100"/>
              <w:bottom w:type="dxa" w:w="60"/>
              <w:right w:type="dxa" w:w="100"/>
            </w:tcMar>
            <w:vAlign w:val="top"/>
          </w:tcPr>
          <w:p>
            <w:r>
              <w:rPr>
                <w:rFonts w:ascii="Arial" w:cs="Arial" w:eastAsia="Arial" w:hAnsi="Arial"/>
                <w:color w:val="1C2833"/>
                <w:sz w:val="20"/>
                <w:szCs w:val="20"/>
              </w:rPr>
              <w:t xml:space="preserve">Simulates a complete clinical trial: enrollment, endpoints, synthetic control arms, success probability.</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Runtime: 5–30 seconds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Runtime: 2–7 minutes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Runtime: 15–30 minutes</w:t>
            </w:r>
          </w:p>
        </w:tc>
      </w:tr>
    </w:tbl>
    <w:p>
      <w:pPr>
        <w:spacing w:before="100"/>
      </w:pPr>
    </w:p>
    <w:p>
      <w:pPr>
        <w:spacing w:after="180"/>
      </w:pPr>
      <w:r>
        <w:t xml:space="preserve">Each layer can be used independently, but the full power of the platform emerges when they are run in sequence as a cascade. Layer 1 outputs (ADMET profile, binding data) automatically populate Layer 2 inputs. Layer 2 outputs (responder profiles, adverse event predictions) automatically populate Layer 3 inputs (eligibility criteria, safety endpoints).</w:t>
      </w:r>
    </w:p>
    <w:p>
      <w:pPr>
        <w:pStyle w:val="Heading2"/>
      </w:pPr>
      <w:r>
        <w:t xml:space="preserve">How It Connects to Diagen AI</w:t>
      </w:r>
    </w:p>
    <w:p>
      <w:pPr>
        <w:spacing w:after="180"/>
      </w:pPr>
      <w:r>
        <w:t xml:space="preserve">BioDigital Twin is a companion product to </w:t>
      </w:r>
      <w:r>
        <w:rPr>
          <w:b/>
          <w:bCs/>
        </w:rPr>
        <w:t xml:space="preserve">Diagen AI</w:t>
      </w:r>
      <w:r>
        <w:t xml:space="preserve">, the generative molecular design platform. Where Diagen generates and optimizes candidate molecules, BioDigital Twin answers the critical follow-up question: </w:t>
      </w:r>
      <w:r>
        <w:rPr>
          <w:i/>
          <w:iCs/>
          <w:color w:val="5D6D7E"/>
        </w:rPr>
        <w:t xml:space="preserve">What happens when this molecule meets real biology?</w:t>
      </w:r>
    </w:p>
    <w:p>
      <w:pPr>
        <w:spacing w:after="180"/>
      </w:pPr>
      <w:r>
        <w:t xml:space="preserve">Molecules designed in Diagen can be passed directly to BioDigital Twin via API or manual SMILES entry. The combined workflow is: Generate (Diagen) → Simulate Molecule (Layer 1) → Simulate Patients (Layer 2) → Simulate Trial (Layer 3) → Decide.</w:t>
      </w:r>
    </w:p>
    <w:p>
      <w:pPr>
        <w:pStyle w:val="Heading2"/>
      </w:pPr>
      <w:r>
        <w:t xml:space="preserve">Key Terminology</w:t>
      </w:r>
    </w:p>
    <w:p>
      <w:pPr>
        <w:spacing w:after="180"/>
      </w:pPr>
      <w:r>
        <w:t xml:space="preserve">The following terms appear throughout the platform and this guide. They are defined here for reference and also explained inline where they first appear in each section.</w:t>
      </w:r>
    </w:p>
    <w:p>
      <w:pPr>
        <w:pStyle w:val="ListParagraph"/>
        <w:numPr>
          <w:ilvl w:val="0"/>
          <w:numId w:val="2"/>
        </w:numPr>
        <w:spacing w:after="80"/>
      </w:pPr>
      <w:r>
        <w:rPr>
          <w:b/>
          <w:bCs/>
          <w:color w:val="2E86C1"/>
        </w:rPr>
        <w:t xml:space="preserve">SMILES</w:t>
      </w:r>
      <w:r>
        <w:t xml:space="preserve"> — Simplified Molecular Input Line Entry System. A text notation for representing chemical structures as strings. Example: Aspirin = CC(=O)OC1=CC=CC=C1C(=O)O.</w:t>
      </w:r>
    </w:p>
    <w:p>
      <w:pPr>
        <w:pStyle w:val="ListParagraph"/>
        <w:numPr>
          <w:ilvl w:val="0"/>
          <w:numId w:val="2"/>
        </w:numPr>
        <w:spacing w:after="80"/>
      </w:pPr>
      <w:r>
        <w:rPr>
          <w:b/>
          <w:bCs/>
          <w:color w:val="2E86C1"/>
        </w:rPr>
        <w:t xml:space="preserve">ADMET</w:t>
      </w:r>
      <w:r>
        <w:t xml:space="preserve"> — Absorption, Distribution, Metabolism, Excretion, and Toxicity. The five key pharmacokinetic properties that determine whether a drug molecule can reach its target and be cleared safely.</w:t>
      </w:r>
    </w:p>
    <w:p>
      <w:pPr>
        <w:pStyle w:val="ListParagraph"/>
        <w:numPr>
          <w:ilvl w:val="0"/>
          <w:numId w:val="2"/>
        </w:numPr>
        <w:spacing w:after="80"/>
      </w:pPr>
      <w:r>
        <w:rPr>
          <w:b/>
          <w:bCs/>
          <w:color w:val="2E86C1"/>
        </w:rPr>
        <w:t xml:space="preserve">PK/PD</w:t>
      </w:r>
      <w:r>
        <w:t xml:space="preserve"> — Pharmacokinetics (what the body does to the drug) and Pharmacodynamics (what the drug does to the body). Together they describe how a drug moves through and affects the body.</w:t>
      </w:r>
    </w:p>
    <w:p>
      <w:pPr>
        <w:pStyle w:val="ListParagraph"/>
        <w:numPr>
          <w:ilvl w:val="0"/>
          <w:numId w:val="2"/>
        </w:numPr>
        <w:spacing w:after="80"/>
      </w:pPr>
      <w:r>
        <w:rPr>
          <w:b/>
          <w:bCs/>
          <w:color w:val="2E86C1"/>
        </w:rPr>
        <w:t xml:space="preserve">UniProt ID</w:t>
      </w:r>
      <w:r>
        <w:t xml:space="preserve"> — A unique identifier for a protein in the UniProt database (e.g., P00533 for EGFR). Used to specify target proteins for binding simulation.</w:t>
      </w:r>
    </w:p>
    <w:p>
      <w:pPr>
        <w:pStyle w:val="ListParagraph"/>
        <w:numPr>
          <w:ilvl w:val="0"/>
          <w:numId w:val="2"/>
        </w:numPr>
        <w:spacing w:after="80"/>
      </w:pPr>
      <w:r>
        <w:rPr>
          <w:b/>
          <w:bCs/>
          <w:color w:val="2E86C1"/>
        </w:rPr>
        <w:t xml:space="preserve">ICD-10</w:t>
      </w:r>
      <w:r>
        <w:t xml:space="preserve"> — International Classification of Diseases, 10th revision. The standard coding system for diseases and conditions (e.g., C34.1 for NSCLC).</w:t>
      </w:r>
    </w:p>
    <w:p>
      <w:pPr>
        <w:pStyle w:val="ListParagraph"/>
        <w:numPr>
          <w:ilvl w:val="0"/>
          <w:numId w:val="2"/>
        </w:numPr>
        <w:spacing w:after="80"/>
      </w:pPr>
      <w:r>
        <w:rPr>
          <w:b/>
          <w:bCs/>
          <w:color w:val="2E86C1"/>
        </w:rPr>
        <w:t xml:space="preserve">CYP450 Enzymes</w:t>
      </w:r>
      <w:r>
        <w:t xml:space="preserve"> — Cytochrome P450 enzymes (CYP2D6, CYP3A4, etc.) responsible for metabolizing most drugs. Genetic variants affect how fast a patient processes medication.</w:t>
      </w:r>
    </w:p>
    <w:p>
      <w:pPr>
        <w:pStyle w:val="ListParagraph"/>
        <w:numPr>
          <w:ilvl w:val="0"/>
          <w:numId w:val="2"/>
        </w:numPr>
        <w:spacing w:after="80"/>
      </w:pPr>
      <w:r>
        <w:rPr>
          <w:b/>
          <w:bCs/>
          <w:color w:val="2E86C1"/>
        </w:rPr>
        <w:t xml:space="preserve">Monte Carlo Simulation</w:t>
      </w:r>
      <w:r>
        <w:t xml:space="preserve"> — A computational technique that runs thousands of randomized scenarios to predict probability distributions. Used in Layer 3 to simulate trial outcomes.</w:t>
      </w:r>
    </w:p>
    <w:p>
      <w:pPr>
        <w:pStyle w:val="ListParagraph"/>
        <w:numPr>
          <w:ilvl w:val="0"/>
          <w:numId w:val="2"/>
        </w:numPr>
        <w:spacing w:after="80"/>
      </w:pPr>
      <w:r>
        <w:rPr>
          <w:b/>
          <w:bCs/>
          <w:color w:val="2E86C1"/>
        </w:rPr>
        <w:t xml:space="preserve">Synthetic Control Arm</w:t>
      </w:r>
      <w:r>
        <w:t xml:space="preserve"> — A virtual placebo group constructed from real-world patient data (MIMIC-IV, HCUP, All of Us) to reduce the need for actual placebo recruitment in clinical trials.</w:t>
      </w:r>
    </w:p>
    <w:p>
      <w:pPr>
        <w:pStyle w:val="ListParagraph"/>
        <w:numPr>
          <w:ilvl w:val="0"/>
          <w:numId w:val="2"/>
        </w:numPr>
        <w:spacing w:after="80"/>
      </w:pPr>
      <w:r>
        <w:rPr>
          <w:b/>
          <w:bCs/>
          <w:color w:val="2E86C1"/>
        </w:rPr>
        <w:t xml:space="preserve">SMD</w:t>
      </w:r>
      <w:r>
        <w:t xml:space="preserve"> — Standardized Mean Difference. A measure of balance between treatment and control groups. Values below 0.10 indicate good balance.</w:t>
      </w:r>
    </w:p>
    <w:p>
      <w:pPr>
        <w:pStyle w:val="ListParagraph"/>
        <w:numPr>
          <w:ilvl w:val="0"/>
          <w:numId w:val="2"/>
        </w:numPr>
        <w:spacing w:after="80"/>
      </w:pPr>
      <w:r>
        <w:rPr>
          <w:b/>
          <w:bCs/>
          <w:color w:val="2E86C1"/>
        </w:rPr>
        <w:t xml:space="preserve">QED</w:t>
      </w:r>
      <w:r>
        <w:t xml:space="preserve"> — Quantitative Estimate of Drug-likeness. A composite score (0–1) that rates how drug-like a molecule is based on multiple physicochemical properties.</w:t>
      </w:r>
    </w:p>
    <w:p>
      <w:r>
        <w:br w:type="page"/>
      </w:r>
    </w:p>
    <w:p>
      <w:pPr>
        <w:pStyle w:val="Heading1"/>
      </w:pPr>
      <w:r>
        <w:t xml:space="preserve">Navigation &amp; Project Management</w:t>
      </w:r>
    </w:p>
    <w:p>
      <w:pPr>
        <w:pStyle w:val="Heading2"/>
      </w:pPr>
      <w:r>
        <w:t xml:space="preserve">Platform Layout</w:t>
      </w:r>
    </w:p>
    <w:p>
      <w:pPr>
        <w:spacing w:after="180"/>
      </w:pPr>
      <w:r>
        <w:t xml:space="preserve">The interface is divided into four persistent zones that remain visible across all views:</w:t>
      </w:r>
    </w:p>
    <w:p>
      <w:pPr>
        <w:pStyle w:val="ListParagraph"/>
        <w:numPr>
          <w:ilvl w:val="0"/>
          <w:numId w:val="2"/>
        </w:numPr>
        <w:spacing w:after="80"/>
      </w:pPr>
      <w:r>
        <w:rPr>
          <w:b/>
          <w:bCs/>
        </w:rPr>
        <w:t xml:space="preserve">Top Navigation Bar: </w:t>
      </w:r>
      <w:r>
        <w:t xml:space="preserve">Contains the HakaseAI logo, the Layer Stepper (primary navigation between the three simulation layers), and system controls (Notifications, Settings, User Avatar).</w:t>
      </w:r>
    </w:p>
    <w:p>
      <w:pPr>
        <w:pStyle w:val="ListParagraph"/>
        <w:numPr>
          <w:ilvl w:val="0"/>
          <w:numId w:val="2"/>
        </w:numPr>
        <w:spacing w:after="80"/>
      </w:pPr>
      <w:r>
        <w:rPr>
          <w:b/>
          <w:bCs/>
        </w:rPr>
        <w:t xml:space="preserve">Layer Stepper: </w:t>
      </w:r>
      <w:r>
        <w:t xml:space="preserve">A three-step horizontal pipeline displayed prominently in the top bar. Each step corresponds to one simulation layer: Molecular (flask icon), Cohort (users icon), Trial (beaker icon). The active layer is highlighted. Completed layers show a checkmark. Layers with running simulations show a spinner.</w:t>
      </w:r>
    </w:p>
    <w:p>
      <w:pPr>
        <w:pStyle w:val="ListParagraph"/>
        <w:numPr>
          <w:ilvl w:val="0"/>
          <w:numId w:val="2"/>
        </w:numPr>
        <w:spacing w:after="80"/>
      </w:pPr>
      <w:r>
        <w:rPr>
          <w:b/>
          <w:bCs/>
        </w:rPr>
        <w:t xml:space="preserve">Projects Sidebar: </w:t>
      </w:r>
      <w:r>
        <w:t xml:space="preserve">A collapsible left panel (280px expanded, 64px collapsed) that shows the current project context and lists all saved projects. It persists across all views.</w:t>
      </w:r>
    </w:p>
    <w:p>
      <w:pPr>
        <w:pStyle w:val="ListParagraph"/>
        <w:numPr>
          <w:ilvl w:val="0"/>
          <w:numId w:val="2"/>
        </w:numPr>
        <w:spacing w:after="80"/>
      </w:pPr>
      <w:r>
        <w:rPr>
          <w:b/>
          <w:bCs/>
        </w:rPr>
        <w:t xml:space="preserve">Main Content Area: </w:t>
      </w:r>
      <w:r>
        <w:t xml:space="preserve">The central workspace that changes based on the active layer. Shows either the configuration form (input mode) or the results dashboard (output mode) for the selected layer.</w:t>
      </w:r>
    </w:p>
    <w:p>
      <w:pPr>
        <w:pStyle w:val="Heading2"/>
      </w:pPr>
      <w:r>
        <w:t xml:space="preserve">Simulation Status Bar</w:t>
      </w:r>
    </w:p>
    <w:p>
      <w:pPr>
        <w:spacing w:after="180"/>
      </w:pPr>
      <w:r>
        <w:t xml:space="preserve">When a simulation is running, a status bar appears below the Layer Stepper showing real-time progress. It displays the simulation type (Molecular Digital Twin, Patient Cohort Twin, or Trial Digital Twin), a progress percentage, and a Cancel button. Substage labels update as the simulation progresses:</w:t>
      </w:r>
    </w:p>
    <w:p>
      <w:pPr>
        <w:pStyle w:val="ListParagraph"/>
        <w:numPr>
          <w:ilvl w:val="0"/>
          <w:numId w:val="2"/>
        </w:numPr>
        <w:spacing w:after="80"/>
      </w:pPr>
      <w:r>
        <w:rPr>
          <w:b/>
          <w:bCs/>
        </w:rPr>
        <w:t xml:space="preserve">Layer 1 substages: </w:t>
      </w:r>
      <w:r>
        <w:t xml:space="preserve">ADMET prediction → Binding analysis → Toxicity screening</w:t>
      </w:r>
    </w:p>
    <w:p>
      <w:pPr>
        <w:pStyle w:val="ListParagraph"/>
        <w:numPr>
          <w:ilvl w:val="0"/>
          <w:numId w:val="2"/>
        </w:numPr>
        <w:spacing w:after="80"/>
      </w:pPr>
      <w:r>
        <w:rPr>
          <w:b/>
          <w:bCs/>
        </w:rPr>
        <w:t xml:space="preserve">Layer 2 substages: </w:t>
      </w:r>
      <w:r>
        <w:t xml:space="preserve">PK/PD modeling → Responder analysis → AE prediction</w:t>
      </w:r>
    </w:p>
    <w:p>
      <w:pPr>
        <w:pStyle w:val="ListParagraph"/>
        <w:numPr>
          <w:ilvl w:val="0"/>
          <w:numId w:val="2"/>
        </w:numPr>
        <w:spacing w:after="80"/>
      </w:pPr>
      <w:r>
        <w:rPr>
          <w:b/>
          <w:bCs/>
        </w:rPr>
        <w:t xml:space="preserve">Layer 3 substages: </w:t>
      </w:r>
      <w:r>
        <w:t xml:space="preserve">Monte Carlo → [N] replications → Power analysis</w:t>
      </w:r>
    </w:p>
    <w:p>
      <w:pPr>
        <w:spacing w:after="180"/>
      </w:pPr>
      <w:r>
        <w:t xml:space="preserve">On completion, the status bar transitions to a success state with a cascade call-to-action: "Continue to [Next Layer] Simulation."</w:t>
      </w:r>
    </w:p>
    <w:p>
      <w:pPr>
        <w:pStyle w:val="Heading2"/>
      </w:pPr>
      <w:r>
        <w:t xml:space="preserve">Project Management</w:t>
      </w:r>
    </w:p>
    <w:p>
      <w:pPr>
        <w:spacing w:after="180"/>
      </w:pPr>
      <w:r>
        <w:t xml:space="preserve">Every simulation run belongs to a project. Projects track the molecule, target, indication, and all simulation results across all three layers.</w:t>
      </w:r>
    </w:p>
    <w:p>
      <w:pPr>
        <w:pStyle w:val="Heading3"/>
      </w:pPr>
      <w:r>
        <w:t xml:space="preserve">Current Project Context</w:t>
      </w:r>
    </w:p>
    <w:p>
      <w:pPr>
        <w:spacing w:after="180"/>
      </w:pPr>
      <w:r>
        <w:t xml:space="preserve">The top section of the Projects Sidebar shows the active project with four fields: the molecule name (auto-populated from SMILES or manual entry), the UniProt ID of the target protein, the primary indication, and a visual layer progress indicator showing three segments (complete, running, or idle for each layer).</w:t>
      </w:r>
    </w:p>
    <w:p>
      <w:pPr>
        <w:pStyle w:val="Heading3"/>
      </w:pPr>
      <w:r>
        <w:t xml:space="preserve">Saved Projects</w:t>
      </w:r>
    </w:p>
    <w:p>
      <w:pPr>
        <w:spacing w:after="180"/>
      </w:pPr>
      <w:r>
        <w:t xml:space="preserve">Below the current project, the sidebar lists all saved projects. Each entry shows the project name, indication, and a compact layer progress indicator. Clicking a saved project loads it into the main workspace. The "+ New Project" button at the bottom creates a fresh project.</w:t>
      </w:r>
    </w:p>
    <w:p>
      <w:pPr>
        <w:pStyle w:val="Heading3"/>
      </w:pPr>
      <w:r>
        <w:t xml:space="preserve">Import via API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00"/>
              <w:left w:type="dxa" w:w="160"/>
              <w:bottom w:type="dxa" w:w="100"/>
              <w:right w:type="dxa" w:w="160"/>
            </w:tcMar>
          </w:tcPr>
          <w:p>
            <w:pPr>
              <w:spacing w:after="60"/>
            </w:pPr>
            <w:r>
              <w:rPr>
                <w:rFonts w:ascii="Arial" w:cs="Arial" w:eastAsia="Arial" w:hAnsi="Arial"/>
                <w:b/>
                <w:bCs/>
                <w:color w:val="2E86C1"/>
                <w:sz w:val="20"/>
                <w:szCs w:val="20"/>
              </w:rPr>
              <w:t xml:space="preserve">Planned Feature</w:t>
            </w:r>
          </w:p>
          <w:p>
            <w:r>
              <w:rPr>
                <w:rFonts w:ascii="Arial" w:cs="Arial" w:eastAsia="Arial" w:hAnsi="Arial"/>
                <w:color w:val="1C2833"/>
                <w:sz w:val="20"/>
                <w:szCs w:val="20"/>
              </w:rPr>
              <w:t xml:space="preserve">The Import via API feature is currently in development and will be available in a future release. The following describes the intended functionality.</w:t>
            </w:r>
          </w:p>
        </w:tc>
      </w:tr>
    </w:tbl>
    <w:p>
      <w:pPr>
        <w:spacing w:before="100"/>
      </w:pPr>
    </w:p>
    <w:p>
      <w:pPr>
        <w:spacing w:after="180"/>
      </w:pPr>
      <w:r>
        <w:t xml:space="preserve">The platform will support importing project context from four external sources:</w:t>
      </w:r>
    </w:p>
    <w:p>
      <w:pPr>
        <w:pStyle w:val="ListParagraph"/>
        <w:numPr>
          <w:ilvl w:val="0"/>
          <w:numId w:val="2"/>
        </w:numPr>
        <w:spacing w:after="80"/>
      </w:pPr>
      <w:r>
        <w:rPr>
          <w:b/>
          <w:bCs/>
        </w:rPr>
        <w:t xml:space="preserve">ClinicalTrials.gov: </w:t>
      </w:r>
      <w:r>
        <w:t xml:space="preserve">Enter an NCT Number (e.g., NCT04292899) to fetch trial metadata including protocol, phase, sponsor, and indication. The fetched data auto-populates project fields and Layer 3 trial design parameters.</w:t>
      </w:r>
    </w:p>
    <w:p>
      <w:pPr>
        <w:pStyle w:val="ListParagraph"/>
        <w:numPr>
          <w:ilvl w:val="0"/>
          <w:numId w:val="2"/>
        </w:numPr>
        <w:spacing w:after="80"/>
      </w:pPr>
      <w:r>
        <w:rPr>
          <w:b/>
          <w:bCs/>
        </w:rPr>
        <w:t xml:space="preserve">EHR / Epic: </w:t>
      </w:r>
      <w:r>
        <w:t xml:space="preserve">Enter a Study or Record ID (e.g., PAT-001) to pull patient cohort data from electronic health records. Populates Layer 2 cohort demographics and comorbidity profiles.</w:t>
      </w:r>
    </w:p>
    <w:p>
      <w:pPr>
        <w:pStyle w:val="ListParagraph"/>
        <w:numPr>
          <w:ilvl w:val="0"/>
          <w:numId w:val="2"/>
        </w:numPr>
        <w:spacing w:after="80"/>
      </w:pPr>
      <w:r>
        <w:rPr>
          <w:b/>
          <w:bCs/>
        </w:rPr>
        <w:t xml:space="preserve">LIMS: </w:t>
      </w:r>
      <w:r>
        <w:t xml:space="preserve">Enter a LIMS Record ID (e.g., LIMS-2024-001) to import pre-clinical assay data and compound screening results into Layer 1.</w:t>
      </w:r>
    </w:p>
    <w:p>
      <w:pPr>
        <w:pStyle w:val="ListParagraph"/>
        <w:numPr>
          <w:ilvl w:val="0"/>
          <w:numId w:val="2"/>
        </w:numPr>
        <w:spacing w:after="80"/>
      </w:pPr>
      <w:r>
        <w:rPr>
          <w:b/>
          <w:bCs/>
        </w:rPr>
        <w:t xml:space="preserve">PubMed: </w:t>
      </w:r>
      <w:r>
        <w:t xml:space="preserve">Enter a PMID (e.g., 36150754) to fetch publication metadata. Useful for importing reference compound data or published trial results for benchmarking simulations.</w:t>
      </w:r>
    </w:p>
    <w:p>
      <w:pPr>
        <w:spacing w:after="180"/>
      </w:pPr>
      <w:r>
        <w:t xml:space="preserve">Each source presents a result card (project name, indication, phase, sponsor) with an "Add" button to add the imported data as a new saved project.</w:t>
      </w:r>
    </w:p>
    <w:p>
      <w:r>
        <w:br w:type="page"/>
      </w:r>
    </w:p>
    <w:p>
      <w:pPr>
        <w:pStyle w:val="Heading1"/>
      </w:pPr>
      <w:r>
        <w:t xml:space="preserve">Layer 1: Molecular Digital Twin</w:t>
      </w:r>
    </w:p>
    <w:p>
      <w:pPr>
        <w:spacing w:after="180"/>
      </w:pPr>
      <w:r>
        <w:t xml:space="preserve">The Molecular Digital Twin simulates how a candidate molecule behaves in biological systems. It takes a </w:t>
      </w:r>
      <w:r>
        <w:rPr>
          <w:b/>
          <w:bCs/>
        </w:rPr>
        <w:t xml:space="preserve">SMILES string</w:t>
      </w:r>
      <w:r>
        <w:t xml:space="preserve"> (a text representation of a chemical structure) as primary input and runs it through a multi-stage prediction pipeline covering ADMET properties, target protein binding, and toxicity signal detection.</w:t>
      </w:r>
    </w:p>
    <w:p>
      <w:pPr>
        <w:spacing w:after="180"/>
      </w:pPr>
      <w:r>
        <w:t xml:space="preserve">This layer is the entry point for most workflows. Its outputs feed directly into Layer 2 (Patient Cohort Twin) and can be run independently for rapid compound screening.</w:t>
      </w:r>
    </w:p>
    <w:p>
      <w:pPr>
        <w:pStyle w:val="Heading2"/>
      </w:pPr>
      <w:r>
        <w:t xml:space="preserve">Inputs: Primary Molecular Input</w:t>
      </w:r>
    </w:p>
    <w:p>
      <w:pPr>
        <w:spacing w:after="180"/>
      </w:pPr>
      <w:r>
        <w:t xml:space="preserve">The </w:t>
      </w:r>
      <w:r>
        <w:rPr>
          <w:b/>
          <w:bCs/>
        </w:rPr>
        <w:t xml:space="preserve">SMILES String</w:t>
      </w:r>
      <w:r>
        <w:t xml:space="preserve"> field is the core input. SMILES (Simplified Molecular Input Line Entry System) is a line notation for describing the structure of chemical species. For example, water is represented as </w:t>
      </w:r>
      <w:r>
        <w:rPr>
          <w:rFonts w:ascii="Courier New" w:cs="Courier New" w:eastAsia="Courier New" w:hAnsi="Courier New"/>
          <w:sz w:val="20"/>
          <w:szCs w:val="20"/>
        </w:rPr>
        <w:t xml:space="preserve">O</w:t>
      </w:r>
      <w:r>
        <w:t xml:space="preserve">, ethanol as </w:t>
      </w:r>
      <w:r>
        <w:rPr>
          <w:rFonts w:ascii="Courier New" w:cs="Courier New" w:eastAsia="Courier New" w:hAnsi="Courier New"/>
          <w:sz w:val="20"/>
          <w:szCs w:val="20"/>
        </w:rPr>
        <w:t xml:space="preserve">CCO</w:t>
      </w:r>
      <w:r>
        <w:t xml:space="preserve">, and aspirin as </w:t>
      </w:r>
      <w:r>
        <w:rPr>
          <w:rFonts w:ascii="Courier New" w:cs="Courier New" w:eastAsia="Courier New" w:hAnsi="Courier New"/>
          <w:sz w:val="20"/>
          <w:szCs w:val="20"/>
        </w:rPr>
        <w:t xml:space="preserve">CC(=O)OC1=CC=CC=C1C(=O)O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SMILES String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String</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(empty)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Enter or paste a valid SMILES string. Validated in real-time using RDKit. Molecular weight must be 100–1500 Da. A 2D structure preview renders below the input as you type. The "View 3D" button opens the 3D Molecular Viewer.</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Molecule Name</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String</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Auto-generated</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 human-readable label for the compound (e.g., Compound-XYZ-001). If left blank, auto-generates from the SMILES string.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SDF/MOL2 Upload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File upload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Upload an .sdf, .mol2, or .mol file (max 10MB) as an alternative to manual SMILES entry. The file must contain valid 3D coordinates. SMILES and conformer data are extracted automatically.</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Batch CSV Upload</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File upload</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Upload a CSV file with a 'smiles' column header for batch processing. Maximum 500 rows. All SMILES are validated on upload, and a summary shows valid/invalid counts.</w:t>
            </w:r>
          </w:p>
        </w:tc>
      </w:tr>
    </w:tbl>
    <w:p>
      <w:pPr>
        <w:spacing w:before="100"/>
      </w:pPr>
    </w:p>
    <w:p>
      <w:pPr>
        <w:pStyle w:val="Heading3"/>
      </w:pPr>
      <w:r>
        <w:t xml:space="preserve">Importing Molecules from External Databases</w:t>
      </w:r>
    </w:p>
    <w:p>
      <w:pPr>
        <w:spacing w:after="180"/>
      </w:pPr>
      <w:r>
        <w:t xml:space="preserve">The "Import via API" panel in Layer 1 allows fetching compound data directly from five chemical databases:</w:t>
      </w:r>
    </w:p>
    <w:p>
      <w:pPr>
        <w:pStyle w:val="ListParagraph"/>
        <w:numPr>
          <w:ilvl w:val="0"/>
          <w:numId w:val="2"/>
        </w:numPr>
        <w:spacing w:after="80"/>
      </w:pPr>
      <w:r>
        <w:rPr>
          <w:b/>
          <w:bCs/>
        </w:rPr>
        <w:t xml:space="preserve">ChEMBL: </w:t>
      </w:r>
      <w:r>
        <w:t xml:space="preserve">Enter a ChEMBL ID (e.g., CHEMBL25 for Aspirin). Returns compound name, SMILES, and molecular weight.</w:t>
      </w:r>
    </w:p>
    <w:p>
      <w:pPr>
        <w:pStyle w:val="ListParagraph"/>
        <w:numPr>
          <w:ilvl w:val="0"/>
          <w:numId w:val="2"/>
        </w:numPr>
        <w:spacing w:after="80"/>
      </w:pPr>
      <w:r>
        <w:rPr>
          <w:b/>
          <w:bCs/>
        </w:rPr>
        <w:t xml:space="preserve">PubChem: </w:t>
      </w:r>
      <w:r>
        <w:t xml:space="preserve">Enter a CID (e.g., 3672 for Ibuprofen). Returns structure data from PubChem Compound.</w:t>
      </w:r>
    </w:p>
    <w:p>
      <w:pPr>
        <w:pStyle w:val="ListParagraph"/>
        <w:numPr>
          <w:ilvl w:val="0"/>
          <w:numId w:val="2"/>
        </w:numPr>
        <w:spacing w:after="80"/>
      </w:pPr>
      <w:r>
        <w:rPr>
          <w:b/>
          <w:bCs/>
        </w:rPr>
        <w:t xml:space="preserve">DrugBank: </w:t>
      </w:r>
      <w:r>
        <w:t xml:space="preserve">Enter a DrugBank ID (e.g., DB01050). Returns approved drug data with clinical annotations.</w:t>
      </w:r>
    </w:p>
    <w:p>
      <w:pPr>
        <w:pStyle w:val="ListParagraph"/>
        <w:numPr>
          <w:ilvl w:val="0"/>
          <w:numId w:val="2"/>
        </w:numPr>
        <w:spacing w:after="80"/>
      </w:pPr>
      <w:r>
        <w:rPr>
          <w:b/>
          <w:bCs/>
        </w:rPr>
        <w:t xml:space="preserve">UniChem: </w:t>
      </w:r>
      <w:r>
        <w:t xml:space="preserve">Enter a UniChem ID (e.g., UCI2). Cross-references multiple chemical databases.</w:t>
      </w:r>
    </w:p>
    <w:p>
      <w:pPr>
        <w:pStyle w:val="ListParagraph"/>
        <w:numPr>
          <w:ilvl w:val="0"/>
          <w:numId w:val="2"/>
        </w:numPr>
        <w:spacing w:after="80"/>
      </w:pPr>
      <w:r>
        <w:rPr>
          <w:b/>
          <w:bCs/>
        </w:rPr>
        <w:t xml:space="preserve">ZINC: </w:t>
      </w:r>
      <w:r>
        <w:t xml:space="preserve">Enter a ZINC ID (e.g., ZINC000003594435). Returns purchasable compound data.</w:t>
      </w:r>
    </w:p>
    <w:p>
      <w:pPr>
        <w:spacing w:after="180"/>
      </w:pPr>
      <w:r>
        <w:t xml:space="preserve">Click "Fetch" to query the database. The result card shows the compound name, SMILES, and molecular weight. Click "Use" to populate the main SMILES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6"/>
              <w:bottom w:val="single" w:color="F39C12" w:sz="1"/>
              <w:right w:val="single" w:color="F39C12" w:sz="1"/>
            </w:tcBorders>
            <w:shd w:fill="FEF9E7" w:val="clear"/>
            <w:tcMar>
              <w:top w:type="dxa" w:w="100"/>
              <w:left w:type="dxa" w:w="160"/>
              <w:bottom w:type="dxa" w:w="100"/>
              <w:right w:type="dxa" w:w="160"/>
            </w:tcMar>
          </w:tcPr>
          <w:p>
            <w:pPr>
              <w:spacing w:after="60"/>
            </w:pPr>
            <w:r>
              <w:rPr>
                <w:rFonts w:ascii="Arial" w:cs="Arial" w:eastAsia="Arial" w:hAnsi="Arial"/>
                <w:b/>
                <w:bCs/>
                <w:color w:val="E67E22"/>
                <w:sz w:val="20"/>
                <w:szCs w:val="20"/>
              </w:rPr>
              <w:t xml:space="preserve">Developer Note</w:t>
            </w:r>
          </w:p>
          <w:p>
            <w:r>
              <w:rPr>
                <w:rFonts w:ascii="Arial" w:cs="Arial" w:eastAsia="Arial" w:hAnsi="Arial"/>
                <w:color w:val="1C2833"/>
                <w:sz w:val="20"/>
                <w:szCs w:val="20"/>
              </w:rPr>
              <w:t xml:space="preserve">The fetch mechanism queries external databases in real-time. Implement request debouncing and error handling for network failures. Cache results for 24 hours to reduce API load.</w:t>
            </w:r>
          </w:p>
        </w:tc>
      </w:tr>
    </w:tbl>
    <w:p>
      <w:pPr>
        <w:spacing w:before="100"/>
      </w:pPr>
    </w:p>
    <w:p>
      <w:pPr>
        <w:pStyle w:val="Heading2"/>
      </w:pPr>
      <w:r>
        <w:t xml:space="preserve">Inputs: Target Protein Configuration</w:t>
      </w:r>
    </w:p>
    <w:p>
      <w:pPr>
        <w:spacing w:after="180"/>
      </w:pPr>
      <w:r>
        <w:t xml:space="preserve">To run binding simulation, you must specify a target protein. The </w:t>
      </w:r>
      <w:r>
        <w:rPr>
          <w:b/>
          <w:bCs/>
        </w:rPr>
        <w:t xml:space="preserve">Target UniProt ID</w:t>
      </w:r>
      <w:r>
        <w:t xml:space="preserve"> field accepts a UniProt accession number (e.g., P00533 for EGFR). An autocomplete search queries the UniProt API and resolves the ID to a human-readable name (e.g., "EGFR · Epidermal growth factor receptor").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Target UniProt ID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String (accession)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(empty)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Required for binding simulation. Enter a valid UniProt accession (e.g., P12345). Autocomplete resolves to protein name. If not set, binding simulation is skipped and only ADMET + toxicity run.</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PDB Structure ID</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String (4-char)</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Auto-selected</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Optionally override the auto-selected PDB crystal structure for docking. Enter a 4-character PDB ID (e.g., 4HJO). Must have a resolved binding site.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Therapeutic Area Preset</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Shortcut that pre-populates common targets for the selected area. Options: Oncology, CNS, Cardiovascular, Metabolic, Rare Disease, Infectious Disease, Immunology.</w:t>
            </w:r>
          </w:p>
        </w:tc>
      </w:tr>
    </w:tbl>
    <w:p>
      <w:pPr>
        <w:pStyle w:val="Heading2"/>
      </w:pPr>
      <w:r>
        <w:t xml:space="preserve">Inputs: Simulation Options</w:t>
      </w:r>
    </w:p>
    <w:p>
      <w:pPr>
        <w:spacing w:after="180"/>
      </w:pPr>
      <w:r>
        <w:t xml:space="preserve">These toggles control which prediction stages run. Disabling optional stages reduces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ADMET Prediction</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Toggle (locked 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Always runs. Predicts Absorption, Distribution, Metabolism, Excretion, and Toxicity scores using ChemBERTa. Cannot be disabled — this is the core prediction.</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Binding Simulation</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ON (if target set)</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Runs ESM-2 protein embedding + AutoDock Vina docking to predict binding affinity (Kd, Ki) and selectivity. Requires a target UniProt ID. Grayed out if no target is set.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Toxicity Signal Detection</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Cross-references the molecule against FDA FAERS (20M+ adverse event reports) to detect structural similarity to known toxic compounds. Flags organ-specific risks.</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Behavioral Fingerprinting</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OFF</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Simulates the molecule across multiple tissue environments. Adds approximately 10 seconds to runtime. When enabled, shows a tissue type selector.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Tissue Types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Multi-select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Liver, Kidney, Cardiac</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Only visible when Behavioral Fingerprinting is ON. Select which tissues to simulate: Liver, Kidney, CNS, Cardiac, GI, Lung. At least one must be selected.</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Confidence Threshold</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Slider (0.50–0.95)</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0.70</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Controls how strict the failure signal detection is. Lower values (0.50) flag more potential issues. Higher values (0.95) only flag high-confidence risks.</w:t>
            </w:r>
          </w:p>
        </w:tc>
      </w:tr>
    </w:tbl>
    <w:p>
      <w:pPr>
        <w:pStyle w:val="Heading3"/>
      </w:pPr>
      <w:r>
        <w:t xml:space="preserve">Batch Configuration (Collapsible)</w:t>
      </w:r>
    </w:p>
    <w:p>
      <w:pPr>
        <w:spacing w:after="180"/>
      </w:pPr>
      <w:r>
        <w:t xml:space="preserve">When processing multiple molecules via CSV upload, this section controls how results are ranked and filtered.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Ranking Criteria</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Composite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How batch results are sorted. Options: QED Score (drug-likeness), Toxicity Risk (ascending, safest first), Binding Affinity (strongest first), Composite (weighted blend).</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Composite Weights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4 sliders</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0.3/0.3/0.3/0.1</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Only visible when Ranking = Composite. Set relative weight for QED, Toxicity, Binding, and SA (Synthetic Accessibility). Must sum to 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Top-N Filter</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Integer (1–500)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Limits the results dashboard to show only the top N molecules by the selected ranking criteria.</w:t>
            </w:r>
          </w:p>
        </w:tc>
      </w:tr>
    </w:tbl>
    <w:p>
      <w:pPr>
        <w:spacing w:after="180"/>
      </w:pPr>
      <w:r>
        <w:rPr>
          <w:b/>
          <w:bCs/>
        </w:rPr>
        <w:t xml:space="preserve">Run button: </w:t>
      </w:r>
      <w:r>
        <w:t xml:space="preserve">"Run Molecular Simulation" — estimated runtime 5–30 seconds depending on options enabled and batch size.</w:t>
      </w:r>
    </w:p>
    <w:p>
      <w:r>
        <w:br w:type="page"/>
      </w:r>
    </w:p>
    <w:p>
      <w:pPr>
        <w:pStyle w:val="Heading2"/>
      </w:pPr>
      <w:r>
        <w:t xml:space="preserve">Outputs: Molecular Twin Results</w:t>
      </w:r>
    </w:p>
    <w:p>
      <w:pPr>
        <w:spacing w:after="180"/>
      </w:pPr>
      <w:r>
        <w:t xml:space="preserve">After simulation completes, results are presented across five output panels, accessible via tabs.</w:t>
      </w:r>
    </w:p>
    <w:p>
      <w:pPr>
        <w:pStyle w:val="Heading3"/>
      </w:pPr>
      <w:r>
        <w:t xml:space="preserve">Go/No-Go Summary Card</w:t>
      </w:r>
    </w:p>
    <w:p>
      <w:pPr>
        <w:spacing w:after="180"/>
      </w:pPr>
      <w:r>
        <w:t xml:space="preserve">The primary result. A large status card displaying a </w:t>
      </w:r>
      <w:r>
        <w:rPr>
          <w:b/>
          <w:bCs/>
        </w:rPr>
        <w:t xml:space="preserve">GO</w:t>
      </w:r>
      <w:r>
        <w:t xml:space="preserve"> (green), </w:t>
      </w:r>
      <w:r>
        <w:rPr>
          <w:b/>
          <w:bCs/>
        </w:rPr>
        <w:t xml:space="preserve">CAUTION</w:t>
      </w:r>
      <w:r>
        <w:t xml:space="preserve"> (yellow), or </w:t>
      </w:r>
      <w:r>
        <w:rPr>
          <w:b/>
          <w:bCs/>
        </w:rPr>
        <w:t xml:space="preserve">NO-GO</w:t>
      </w:r>
      <w:r>
        <w:t xml:space="preserve"> (red) recommendation with a confidence score (e.g., 87.3%). Below the recommendation, the card shows:</w:t>
      </w:r>
    </w:p>
    <w:p>
      <w:pPr>
        <w:pStyle w:val="ListParagraph"/>
        <w:numPr>
          <w:ilvl w:val="0"/>
          <w:numId w:val="2"/>
        </w:numPr>
        <w:spacing w:after="80"/>
      </w:pPr>
      <w:r>
        <w:rPr>
          <w:b/>
          <w:bCs/>
        </w:rPr>
        <w:t xml:space="preserve">Recommendation text: </w:t>
      </w:r>
      <w:r>
        <w:t xml:space="preserve">e.g., "Advance to Cohort Simulation"</w:t>
      </w:r>
    </w:p>
    <w:p>
      <w:pPr>
        <w:pStyle w:val="ListParagraph"/>
        <w:numPr>
          <w:ilvl w:val="0"/>
          <w:numId w:val="2"/>
        </w:numPr>
        <w:spacing w:after="80"/>
      </w:pPr>
      <w:r>
        <w:rPr>
          <w:b/>
          <w:bCs/>
        </w:rPr>
        <w:t xml:space="preserve">QED Score: </w:t>
      </w:r>
      <w:r>
        <w:t xml:space="preserve">Quantitative Estimate of Drug-likeness (0–1). Higher is more drug-like.</w:t>
      </w:r>
    </w:p>
    <w:p>
      <w:pPr>
        <w:pStyle w:val="ListParagraph"/>
        <w:numPr>
          <w:ilvl w:val="0"/>
          <w:numId w:val="2"/>
        </w:numPr>
        <w:spacing w:after="80"/>
      </w:pPr>
      <w:r>
        <w:rPr>
          <w:b/>
          <w:bCs/>
        </w:rPr>
        <w:t xml:space="preserve">Toxicity Risk: </w:t>
      </w:r>
      <w:r>
        <w:t xml:space="preserve">Classified as Low, Medium, or High based on the confidence threshold.</w:t>
      </w:r>
    </w:p>
    <w:p>
      <w:pPr>
        <w:pStyle w:val="ListParagraph"/>
        <w:numPr>
          <w:ilvl w:val="0"/>
          <w:numId w:val="2"/>
        </w:numPr>
        <w:spacing w:after="80"/>
      </w:pPr>
      <w:r>
        <w:rPr>
          <w:b/>
          <w:bCs/>
        </w:rPr>
        <w:t xml:space="preserve">Binding Affinity: </w:t>
      </w:r>
      <w:r>
        <w:t xml:space="preserve">Predicted Kd in nM. Strong binding &lt; 50 nM, Moderate 50–500 nM, Weak &gt; 500 nM.</w:t>
      </w:r>
    </w:p>
    <w:p>
      <w:pPr>
        <w:pStyle w:val="ListParagraph"/>
        <w:numPr>
          <w:ilvl w:val="0"/>
          <w:numId w:val="2"/>
        </w:numPr>
        <w:spacing w:after="80"/>
      </w:pPr>
      <w:r>
        <w:rPr>
          <w:b/>
          <w:bCs/>
        </w:rPr>
        <w:t xml:space="preserve">SA Score: </w:t>
      </w:r>
      <w:r>
        <w:t xml:space="preserve">Synthetic Accessibility (1–10). Lower means easier to synthesize. Scores below 4 are considered favorable.</w:t>
      </w:r>
    </w:p>
    <w:p>
      <w:pPr>
        <w:pStyle w:val="ListParagraph"/>
        <w:numPr>
          <w:ilvl w:val="0"/>
          <w:numId w:val="2"/>
        </w:numPr>
        <w:spacing w:after="80"/>
      </w:pPr>
      <w:r>
        <w:rPr>
          <w:b/>
          <w:bCs/>
        </w:rPr>
        <w:t xml:space="preserve">Similar approved drugs: </w:t>
      </w:r>
      <w:r>
        <w:t xml:space="preserve">Structurally similar compounds already on the market (e.g., Erlotinib, Gefitinib, Osimertinib).</w:t>
      </w:r>
    </w:p>
    <w:p>
      <w:pPr>
        <w:pStyle w:val="Heading3"/>
      </w:pPr>
      <w:r>
        <w:t xml:space="preserve">ADMET Radar Chart</w:t>
      </w:r>
    </w:p>
    <w:p>
      <w:pPr>
        <w:spacing w:after="180"/>
      </w:pPr>
      <w:r>
        <w:t xml:space="preserve">A five-axis radar (spider) chart plotting scores for </w:t>
      </w:r>
      <w:r>
        <w:rPr>
          <w:b/>
          <w:bCs/>
        </w:rPr>
        <w:t xml:space="preserve">Absorption</w:t>
      </w:r>
      <w:r>
        <w:t xml:space="preserve">, </w:t>
      </w:r>
      <w:r>
        <w:rPr>
          <w:b/>
          <w:bCs/>
        </w:rPr>
        <w:t xml:space="preserve">Distribution</w:t>
      </w:r>
      <w:r>
        <w:t xml:space="preserve">, </w:t>
      </w:r>
      <w:r>
        <w:rPr>
          <w:b/>
          <w:bCs/>
        </w:rPr>
        <w:t xml:space="preserve">Metabolism</w:t>
      </w:r>
      <w:r>
        <w:t xml:space="preserve">, </w:t>
      </w:r>
      <w:r>
        <w:rPr>
          <w:b/>
          <w:bCs/>
        </w:rPr>
        <w:t xml:space="preserve">Excretion</w:t>
      </w:r>
      <w:r>
        <w:t xml:space="preserve">, and </w:t>
      </w:r>
      <w:r>
        <w:rPr>
          <w:b/>
          <w:bCs/>
        </w:rPr>
        <w:t xml:space="preserve">Toxicity</w:t>
      </w:r>
      <w:r>
        <w:t xml:space="preserve"> on a 0.0–1.0 scale. Higher scores indicate more favorable properties. Hover over any axis to see the exact numeric value.</w:t>
      </w:r>
    </w:p>
    <w:p>
      <w:pPr>
        <w:spacing w:after="180"/>
      </w:pPr>
      <w:r>
        <w:t xml:space="preserve">Below the radar chart, a Lipinski Rule of Five compliance panel shows four pass/fail indicators: MW (must be 500 Da or below), LogP (5 or below), Hydrogen Bond Donors (5 or below), Hydrogen Bond Acceptors (10 or below).</w:t>
      </w:r>
    </w:p>
    <w:p>
      <w:pPr>
        <w:pStyle w:val="Heading3"/>
      </w:pPr>
      <w:r>
        <w:t xml:space="preserve">Binding Affinity Heatmap</w:t>
      </w:r>
    </w:p>
    <w:p>
      <w:pPr>
        <w:spacing w:after="180"/>
      </w:pPr>
      <w:r>
        <w:t xml:space="preserve">A matrix heatmap showing binding metrics across the target protein and structurally related off-targets (e.g., EGFR, HER2, HER3). Metrics include Kd (nM), Ki (nM), IC50 (nM), and a selectivity ratio. Cells are color-coded: green for strong binding, yellow for moderate, red for weak. Click any cell to open the docking pose in the 3D Molecular Viewer.</w:t>
      </w:r>
    </w:p>
    <w:p>
      <w:pPr>
        <w:pStyle w:val="Heading3"/>
      </w:pPr>
      <w:r>
        <w:t xml:space="preserve">Toxicity Signal Panel</w:t>
      </w:r>
    </w:p>
    <w:p>
      <w:pPr>
        <w:spacing w:after="180"/>
      </w:pPr>
      <w:r>
        <w:t xml:space="preserve">A grid of organ-system cards (Liver, Heart/hERG, Kidney, CNS, GI Tract, Lung). Each card shows a risk score (0–1) and any structural alerts detected. For example, the Heart card might display: "Minor QT prolongation risk" with a warning icon. The CNS card might show: "BBB penetrant · CNS active class." Cards with no alerts display "No structural alerts" in green.</w:t>
      </w:r>
    </w:p>
    <w:p>
      <w:pPr>
        <w:pStyle w:val="Heading3"/>
      </w:pPr>
      <w:r>
        <w:t xml:space="preserve">Batch Comparison Table</w:t>
      </w:r>
    </w:p>
    <w:p>
      <w:pPr>
        <w:spacing w:after="180"/>
      </w:pPr>
      <w:r>
        <w:t xml:space="preserve">For batch mode only. A sortable, filterable data table with columns: Rank, Molecule Name, QED, Toxicity (Low/Medium/High), Binding Affinity, SA Score, and Composite Score. Rows identified as Pareto-optimal (best trade-off across multiple criteria) are highlighted. Export the full table as CSV.</w:t>
      </w:r>
    </w:p>
    <w:p>
      <w:pPr>
        <w:spacing w:after="180"/>
      </w:pPr>
      <w:r>
        <w:rPr>
          <w:b/>
          <w:bCs/>
        </w:rPr>
        <w:t xml:space="preserve">Export options: </w:t>
      </w:r>
      <w:r>
        <w:t xml:space="preserve">PNG (charts), PDF Report (full results), JSON (raw data for API consumers), CSV (batch table).</w:t>
      </w:r>
    </w:p>
    <w:p>
      <w:r>
        <w:br w:type="page"/>
      </w:r>
    </w:p>
    <w:p>
      <w:pPr>
        <w:pStyle w:val="Heading1"/>
      </w:pPr>
      <w:r>
        <w:t xml:space="preserve">Layer 2: Patient Cohort Digital Twin</w:t>
      </w:r>
    </w:p>
    <w:p>
      <w:pPr>
        <w:spacing w:after="180"/>
      </w:pPr>
      <w:r>
        <w:t xml:space="preserve">The Patient Cohort Twin simulates how different patient populations respond to the candidate molecule. It takes the Molecular Twin's ADMET profile as input (auto-populated or manually entered) and generates virtual patient cohorts from real-world clinical databases (MIMIC-IV, All of Us, HCUP).</w:t>
      </w:r>
    </w:p>
    <w:p>
      <w:pPr>
        <w:spacing w:after="180"/>
      </w:pPr>
      <w:r>
        <w:t xml:space="preserve">This layer answers critical Phase I/II questions: What dose range is safe? Which patients will respond? What adverse events should we expect? The outputs directly inform clinical trial design in Layer 3.</w:t>
      </w:r>
    </w:p>
    <w:p>
      <w:pPr>
        <w:pStyle w:val="Heading2"/>
      </w:pPr>
      <w:r>
        <w:t xml:space="preserve">Inputs: Indication &amp;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Primary Indication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ICD-10 code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C34.1 (NSCLC)</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The target disease for the simulation. Uses ICD-10-CM codes with searchable autocomplete grouped by therapeutic area. Type a disease name or code to search.</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Disease Severity</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Segmented control</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Moderate</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Filters the virtual cohort by severity markers. Four options: Mild, Moderate, Severe, Critical.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Comorbid Conditions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Multi-select chips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Additional conditions present in the virtual cohort (e.g., Hypertension, T2DM, CKD Stage 3). Max 10. Each entered as an ICD-10 code with autocomplete.</w:t>
            </w:r>
          </w:p>
        </w:tc>
      </w:tr>
    </w:tbl>
    <w:p>
      <w:pPr>
        <w:pStyle w:val="Heading2"/>
      </w:pPr>
      <w:r>
        <w:t xml:space="preserve">Inputs: Cohort Demographics</w:t>
      </w:r>
    </w:p>
    <w:p>
      <w:pPr>
        <w:spacing w:after="180"/>
      </w:pPr>
      <w:r>
        <w:t xml:space="preserve">These fields define the characteristics of the virtual patient population that will be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Cohort Size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Integer (500–10,000)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5,000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Number of virtual patients to generate. Larger cohorts give more statistically robust results but increase runtime. Controlled via slider + numeric input.</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Age Range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Dual-handle slider</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18–75 years</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Minimum and maximum age for the virtual cohort. Dual-handle range slider with numeric inputs at each end. Range: 0–100 years.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Sex Distribution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Percentage allocator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50% / 50%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Male and Female percentages. Must sum to 100%. Red warning appears if they do not.</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Body Weight Range</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Dual-handle slider</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50–120 kg</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Body weight bounds for the cohort. Affects PK volume of distribution calculations.</w:t>
            </w:r>
          </w:p>
        </w:tc>
      </w:tr>
    </w:tbl>
    <w:p>
      <w:pPr>
        <w:pStyle w:val="Heading2"/>
      </w:pPr>
      <w:r>
        <w:t xml:space="preserve">Inputs: Organ Function Parameters</w:t>
      </w:r>
    </w:p>
    <w:p>
      <w:pPr>
        <w:spacing w:after="180"/>
      </w:pPr>
      <w:r>
        <w:t xml:space="preserve">Organ function ranges directly affect how the virtual patients metabolize and clear the drug. </w:t>
      </w:r>
      <w:r>
        <w:rPr>
          <w:b/>
          <w:bCs/>
        </w:rPr>
        <w:t xml:space="preserve">eGFR</w:t>
      </w:r>
      <w:r>
        <w:t xml:space="preserve"> (estimated Glomerular Filtration Rate) measures renal function in mL/min/1.73m². The slider dynamically shows the corresponding CKD stage label as you adjust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eGFR Range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Dual slider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30–120 mL/min/1.73m²</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Renal function. Maps to CKD stages: &gt;90 = Normal, 60–89 = Stage 2, 30–59 = Stage 3, 15–29 = Stage 4, &lt;15 = Stage 5.</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ALT Range</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Dual slider</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0–120 U/L</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Alanine aminotransferase (liver enzyme). Higher values indicate hepatic impairment. Affects metabolic clearance modeling.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LVEF Range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Dual slider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40–70%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Left Ventricular Ejection Fraction (cardiac function). Relevant for cardiac safety modeling, especially for drugs with hERG risk.</w:t>
            </w:r>
          </w:p>
        </w:tc>
      </w:tr>
    </w:tbl>
    <w:p>
      <w:pPr>
        <w:pStyle w:val="Heading2"/>
      </w:pPr>
      <w:r>
        <w:t xml:space="preserve">Inputs: Pharmacogenomics</w:t>
      </w:r>
    </w:p>
    <w:p>
      <w:pPr>
        <w:spacing w:after="180"/>
      </w:pPr>
      <w:r>
        <w:rPr>
          <w:b/>
          <w:bCs/>
        </w:rPr>
        <w:t xml:space="preserve">CYP450 enzymes</w:t>
      </w:r>
      <w:r>
        <w:t xml:space="preserve"> are the primary drug-metabolizing enzymes in the liver. Genetic variants cause patients to metabolize drugs at different rates (poor, intermediate, extensive, or ultra-rapid metabolizers). Enabling these toggles models this variation in the virtual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CYP2D6 Modeling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Models CYP2D6 metabolizer variation. Important for many CNS drugs, beta-blockers, and opioids.</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CYP3A4 Modeling</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ON</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Models CYP3A4 variation. This enzyme metabolizes approximately 50% of all drugs.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CYP2C19 Modeling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OFF</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Models CYP2C19 variation. Important for proton pump inhibitors and some antidepressants.</w:t>
            </w:r>
          </w:p>
        </w:tc>
      </w:tr>
    </w:tbl>
    <w:p>
      <w:pPr>
        <w:pStyle w:val="Heading2"/>
      </w:pPr>
      <w:r>
        <w:t xml:space="preserve">Inputs: PK/PD Parameters (ADMET Source)</w:t>
      </w:r>
    </w:p>
    <w:p>
      <w:pPr>
        <w:spacing w:after="180"/>
      </w:pPr>
      <w:r>
        <w:t xml:space="preserve">These pharmacokinetic parameters drive the simulation engine. The </w:t>
      </w:r>
      <w:r>
        <w:rPr>
          <w:b/>
          <w:bCs/>
        </w:rPr>
        <w:t xml:space="preserve">ADMET Source</w:t>
      </w:r>
      <w:r>
        <w:t xml:space="preserve"> selector determines where these values come from:</w:t>
      </w:r>
    </w:p>
    <w:p>
      <w:pPr>
        <w:pStyle w:val="ListParagraph"/>
        <w:numPr>
          <w:ilvl w:val="0"/>
          <w:numId w:val="2"/>
        </w:numPr>
        <w:spacing w:after="80"/>
      </w:pPr>
      <w:r>
        <w:rPr>
          <w:b/>
          <w:bCs/>
        </w:rPr>
        <w:t xml:space="preserve">From Layer 1 (auto-populated): </w:t>
      </w:r>
      <w:r>
        <w:t xml:space="preserve">If you ran a Molecular Twin simulation first, all fields auto-fill from Layer 1 results. Values remain editable if you want to override them.</w:t>
      </w:r>
    </w:p>
    <w:p>
      <w:pPr>
        <w:pStyle w:val="ListParagraph"/>
        <w:numPr>
          <w:ilvl w:val="0"/>
          <w:numId w:val="2"/>
        </w:numPr>
        <w:spacing w:after="80"/>
      </w:pPr>
      <w:r>
        <w:rPr>
          <w:b/>
          <w:bCs/>
        </w:rPr>
        <w:t xml:space="preserve">Manual Entry: </w:t>
      </w:r>
      <w:r>
        <w:t xml:space="preserve">Enter values directly if you have external ADMET data from lab assays or another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Absorption Probability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Float (0.0–1.0)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From L1</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Fraction of drug absorbed in the GI tract. 1.0 = complete absorption.</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Distribution Volume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Float (L/kg)</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From L1</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Apparent volume of distribution. Indicates how widely the drug distributes into tissues.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Metabolic Half-Life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Float (hours)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From L1</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Time for plasma concentration to decrease by half. Determines dosing frequency.</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Renal Clearance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Float (mL/min)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From L1</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Rate of drug elimination by the kidneys. Higher values = faster clearance.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Toxicity Risk Vector</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3 mini-sliders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From L1</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Organ-specific risk scores: hERG (cardiac), Hepatotox (liver), Genotox (DNA damage). Each 0.0–1.0. Displayed as read-only when auto-populated.</w:t>
            </w:r>
          </w:p>
        </w:tc>
      </w:tr>
    </w:tbl>
    <w:p>
      <w:pPr>
        <w:pStyle w:val="Heading2"/>
      </w:pPr>
      <w:r>
        <w:t xml:space="preserve">Inputs: Dose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Starting Dose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Float + unit selector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(empty)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First dose level. Units: mg, mcg, or mg/kg. Range: 0.001–10,000.</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Escalation Scheme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Modified Fibonacci</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How dose levels increase. Options: Linear (equal increments), Modified Fibonacci (100%, 67%, 50%, 33% increases), BOIN (Bayesian Optimal Interval), 3+3 Design (traditional oncology).</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Dose Levels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Stepper (2–8)</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4</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Number of dose levels to simulate. Each level is calculated from the starting dose and escalation scheme.</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Route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Oral</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Administration route. Options: Oral, IV Bolus, IV Infusion, Subcutaneous, Intramuscular, Transdermal. Affects absorption modeling.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Dosing Frequency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QD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How often the dose is given. QD = once daily, BID = twice daily, TID = three times daily, QW = once weekly, Q2W = every 2 weeks, Q4W = every 4 weeks, Single Dose.</w:t>
            </w:r>
          </w:p>
        </w:tc>
      </w:tr>
    </w:tbl>
    <w:p>
      <w:pPr>
        <w:spacing w:after="180"/>
      </w:pPr>
      <w:r>
        <w:rPr>
          <w:b/>
          <w:bCs/>
        </w:rPr>
        <w:t xml:space="preserve">Run button: </w:t>
      </w:r>
      <w:r>
        <w:t xml:space="preserve">"Run Cohort Simulation" — estimated runtime 2–7 minutes.</w:t>
      </w:r>
    </w:p>
    <w:p>
      <w:r>
        <w:br w:type="page"/>
      </w:r>
    </w:p>
    <w:p>
      <w:pPr>
        <w:pStyle w:val="Heading2"/>
      </w:pPr>
      <w:r>
        <w:t xml:space="preserve">Outputs: Cohort Twin Results</w:t>
      </w:r>
    </w:p>
    <w:p>
      <w:pPr>
        <w:spacing w:after="180"/>
      </w:pPr>
      <w:r>
        <w:t xml:space="preserve">Results are presented via four summary header cards and five tabbed output panels.</w:t>
      </w:r>
    </w:p>
    <w:p>
      <w:pPr>
        <w:pStyle w:val="Heading3"/>
      </w:pPr>
      <w:r>
        <w:t xml:space="preserve">Summary Header Cards</w:t>
      </w:r>
    </w:p>
    <w:p>
      <w:pPr>
        <w:pStyle w:val="ListParagraph"/>
        <w:numPr>
          <w:ilvl w:val="0"/>
          <w:numId w:val="2"/>
        </w:numPr>
        <w:spacing w:after="80"/>
      </w:pPr>
      <w:r>
        <w:rPr>
          <w:b/>
          <w:bCs/>
        </w:rPr>
        <w:t xml:space="preserve">Responder Rate: </w:t>
      </w:r>
      <w:r>
        <w:t xml:space="preserve">Percentage of the virtual cohort that achieved a clinically meaningful response (e.g., 58.4% at 200 mg QD).</w:t>
      </w:r>
    </w:p>
    <w:p>
      <w:pPr>
        <w:pStyle w:val="ListParagraph"/>
        <w:numPr>
          <w:ilvl w:val="0"/>
          <w:numId w:val="2"/>
        </w:numPr>
        <w:spacing w:after="80"/>
      </w:pPr>
      <w:r>
        <w:rPr>
          <w:b/>
          <w:bCs/>
        </w:rPr>
        <w:t xml:space="preserve">Cmax Mean: </w:t>
      </w:r>
      <w:r>
        <w:t xml:space="preserve">Mean peak plasma concentration with standard deviation (e.g., 2,847 ng/mL ± 412 ng/mL).</w:t>
      </w:r>
    </w:p>
    <w:p>
      <w:pPr>
        <w:pStyle w:val="ListParagraph"/>
        <w:numPr>
          <w:ilvl w:val="0"/>
          <w:numId w:val="2"/>
        </w:numPr>
        <w:spacing w:after="80"/>
      </w:pPr>
      <w:r>
        <w:rPr>
          <w:b/>
          <w:bCs/>
        </w:rPr>
        <w:t xml:space="preserve">AUC₀₋₂₄: </w:t>
      </w:r>
      <w:r>
        <w:t xml:space="preserve">Area under the concentration-time curve over 24 hours. A key measure of total drug exposure.</w:t>
      </w:r>
    </w:p>
    <w:p>
      <w:pPr>
        <w:pStyle w:val="ListParagraph"/>
        <w:numPr>
          <w:ilvl w:val="0"/>
          <w:numId w:val="2"/>
        </w:numPr>
        <w:spacing w:after="80"/>
      </w:pPr>
      <w:r>
        <w:rPr>
          <w:b/>
          <w:bCs/>
        </w:rPr>
        <w:t xml:space="preserve">Grade ≥3 AEs: </w:t>
      </w:r>
      <w:r>
        <w:t xml:space="preserve">Projected incidence of serious adverse events requiring medical intervention (e.g., 12.3%).</w:t>
      </w:r>
    </w:p>
    <w:p>
      <w:pPr>
        <w:pStyle w:val="Heading3"/>
      </w:pPr>
      <w:r>
        <w:t xml:space="preserve">PK/PD Concentration Curves</w:t>
      </w:r>
    </w:p>
    <w:p>
      <w:pPr>
        <w:spacing w:after="180"/>
      </w:pPr>
      <w:r>
        <w:t xml:space="preserve">Interactive multi-line chart showing </w:t>
      </w:r>
      <w:r>
        <w:rPr>
          <w:b/>
          <w:bCs/>
        </w:rPr>
        <w:t xml:space="preserve">concentration vs. time</w:t>
      </w:r>
      <w:r>
        <w:t xml:space="preserve"> for each dose level (e.g., 100 mg QD, 200 mg QD, 400 mg QD, 800 mg QD). A shaded </w:t>
      </w:r>
      <w:r>
        <w:rPr>
          <w:b/>
          <w:bCs/>
        </w:rPr>
        <w:t xml:space="preserve">Therapeutic Window</w:t>
      </w:r>
      <w:r>
        <w:t xml:space="preserve"> band indicates the concentration range where the drug is both effective and safe. Individual patient traces are shown as light lines behind the population mean (bold line). Hover to see Cmax, Tmax, and AUC values at any point.</w:t>
      </w:r>
    </w:p>
    <w:p>
      <w:pPr>
        <w:pStyle w:val="Heading3"/>
      </w:pPr>
      <w:r>
        <w:t xml:space="preserve">Responder Classification</w:t>
      </w:r>
    </w:p>
    <w:p>
      <w:pPr>
        <w:spacing w:after="180"/>
      </w:pPr>
      <w:r>
        <w:t xml:space="preserve">A donut chart showing the breakdown: </w:t>
      </w:r>
      <w:r>
        <w:rPr>
          <w:b/>
          <w:bCs/>
        </w:rPr>
        <w:t xml:space="preserve">Responder</w:t>
      </w:r>
      <w:r>
        <w:t xml:space="preserve"> (e.g., 58.4%), </w:t>
      </w:r>
      <w:r>
        <w:rPr>
          <w:b/>
          <w:bCs/>
        </w:rPr>
        <w:t xml:space="preserve">Partial Responder</w:t>
      </w:r>
      <w:r>
        <w:t xml:space="preserve"> (24.1%), and </w:t>
      </w:r>
      <w:r>
        <w:rPr>
          <w:b/>
          <w:bCs/>
        </w:rPr>
        <w:t xml:space="preserve">Non-Responder</w:t>
      </w:r>
      <w:r>
        <w:t xml:space="preserve"> (17.5%). Accompanied by a waterfall plot showing individual patient response magnitude sorted from highest to lowest, with responders colored green, partials yellow, and non-responders red.</w:t>
      </w:r>
    </w:p>
    <w:p>
      <w:pPr>
        <w:pStyle w:val="Heading3"/>
      </w:pPr>
      <w:r>
        <w:t xml:space="preserve">Adverse Event Predictions</w:t>
      </w:r>
    </w:p>
    <w:p>
      <w:pPr>
        <w:spacing w:after="180"/>
      </w:pPr>
      <w:r>
        <w:t xml:space="preserve">A sortable table listing predicted adverse events by MedDRA preferred term. Columns: Adverse Event, Incidence (%), severity distribution (Mild/Moderate/Severe), and Onset (days). Example rows: Nausea 28.4% at Day 3, Fatigue 22.1% at Day 7, Neutropenia (Grade ≥3) 12.3% at Day 21, ALT Elevation 8.9% at Day 14, QTc Prolongation 4.2% at Day 10.</w:t>
      </w:r>
    </w:p>
    <w:p>
      <w:pPr>
        <w:pStyle w:val="Heading3"/>
      </w:pPr>
      <w:r>
        <w:t xml:space="preserve">Subgroup Analysis Heatmap</w:t>
      </w:r>
    </w:p>
    <w:p>
      <w:pPr>
        <w:spacing w:after="180"/>
      </w:pPr>
      <w:r>
        <w:t xml:space="preserve">A pivot heatmap with subgroup rows (age brackets, sex, ethnicity, organ function levels) and metric columns (Response Rate, AE Rate, Cmax, AUC, PFS). Cells are color-coded by relative performance. Click any cell to drill into that subgroup's detailed profile.</w:t>
      </w:r>
    </w:p>
    <w:p>
      <w:pPr>
        <w:pStyle w:val="Heading3"/>
      </w:pPr>
      <w:r>
        <w:t xml:space="preserve">Dose-Response Curve</w:t>
      </w:r>
    </w:p>
    <w:p>
      <w:pPr>
        <w:spacing w:after="180"/>
      </w:pPr>
      <w:r>
        <w:t xml:space="preserve">A line chart plotting response rate (%) against dose level, with 95% confidence interval bands. Two key markers are annotated: </w:t>
      </w:r>
      <w:r>
        <w:rPr>
          <w:b/>
          <w:bCs/>
        </w:rPr>
        <w:t xml:space="preserve">RP2D</w:t>
      </w:r>
      <w:r>
        <w:t xml:space="preserve"> (Recommended Phase 2 Dose, the dose selected for further study) and </w:t>
      </w:r>
      <w:r>
        <w:rPr>
          <w:b/>
          <w:bCs/>
        </w:rPr>
        <w:t xml:space="preserve">MTD</w:t>
      </w:r>
      <w:r>
        <w:t xml:space="preserve"> (Maximum Tolerated Dose, the highest dose with acceptable toxicity).</w:t>
      </w:r>
    </w:p>
    <w:p>
      <w:pPr>
        <w:spacing w:after="180"/>
      </w:pPr>
      <w:r>
        <w:rPr>
          <w:b/>
          <w:bCs/>
        </w:rPr>
        <w:t xml:space="preserve">Export options: </w:t>
      </w:r>
      <w:r>
        <w:t xml:space="preserve">CSV (raw data), PDF Report, Export I/E Criteria to Layer 3 (passes responder-derived eligibility criteria directly to the Trial Twin).</w:t>
      </w:r>
    </w:p>
    <w:p>
      <w:r>
        <w:br w:type="page"/>
      </w:r>
    </w:p>
    <w:p>
      <w:pPr>
        <w:pStyle w:val="Heading1"/>
      </w:pPr>
      <w:r>
        <w:t xml:space="preserve">Layer 3: Trial Digital Twin</w:t>
      </w:r>
    </w:p>
    <w:p>
      <w:pPr>
        <w:spacing w:after="180"/>
      </w:pPr>
      <w:r>
        <w:t xml:space="preserve">The Trial Digital Twin simulates an entire clinical trial before it runs. It creates a virtual replica of the trial population, models enrollment, dropout, and adverse events, runs Monte Carlo simulations across hundreds of scenarios, and outputs a trial success probability with optimized design parameters.</w:t>
      </w:r>
    </w:p>
    <w:p>
      <w:pPr>
        <w:spacing w:after="180"/>
      </w:pPr>
      <w:r>
        <w:t xml:space="preserve">This is the most configuration-heavy layer but also the most valuable — it can save tens of millions of dollars by identifying design flaws before capital is committed.</w:t>
      </w:r>
    </w:p>
    <w:p>
      <w:pPr>
        <w:pStyle w:val="Heading2"/>
      </w:pPr>
      <w:r>
        <w:t xml:space="preserve">Inputs: Trial Design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Trial Phase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Segmented control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Phase II</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Five options: Phase I, Phase I/II, Phase II, Phase II/III, Phase III. Determines default parameter ranges and validation rules.</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Study Type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Randomized Controlled</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Options: Randomized Controlled, Single-Arm + Synthetic Control (enables the synthetic arm panel), Open-Label, Crossover.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Number of Arms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Stepper (1–4)</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2</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 = single-arm (requires synthetic control), 2 = standard two-arm, 3–4 = multi-arm (dose-finding or multi-comparator).</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Randomization Ratio</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Text input</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1:1</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Allocation ratio between arms (e.g., 2:1 means 2 patients to treatment for every 1 to control). Format: N:N. Must match number of arms.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Blinding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Double-Blind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Options: Open-Label, Single-Blind, Double-Blind, Triple-Blind. Affects dropout modeling and bias simulation parameters.</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Primary Endpoint Type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Time-to-Event</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Options: Time-to-Event (survival analysis), Continuous (mean change), Binary (response rate), Composite (multiple criteria), Count (event rates). Determines the statistical model used in Monte Carlo simulation.</w:t>
            </w:r>
          </w:p>
        </w:tc>
      </w:tr>
    </w:tbl>
    <w:p>
      <w:pPr>
        <w:pStyle w:val="Heading2"/>
      </w:pPr>
      <w:r>
        <w:t xml:space="preserve">Inputs: Endpoint Configuration</w:t>
      </w:r>
    </w:p>
    <w:p>
      <w:pPr>
        <w:spacing w:after="180"/>
      </w:pPr>
      <w:r>
        <w:t xml:space="preserve">The </w:t>
      </w:r>
      <w:r>
        <w:rPr>
          <w:b/>
          <w:bCs/>
        </w:rPr>
        <w:t xml:space="preserve">Primary Endpoint</w:t>
      </w:r>
      <w:r>
        <w:t xml:space="preserve"> is the main outcome measure the trial is powered to detect. For example, "Progression-Free Survival" measured in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Primary Endpoint Name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Text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Progression-Free Survival</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Human-readable label for the primary outcome.</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Measurement Type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Months</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Unit of measurement: Months, Weeks, Days, Score, Percentage, Rate.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Assessment Timepoint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Float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(empty)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When the endpoint is evaluated (e.g., 12 months for PFS).</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Effect Size (Δ)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Float</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(empty)</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The clinically meaningful difference you are powering the trial to detect. For time-to-event: hazard ratio. For continuous: mean difference. For binary: absolute risk difference.</w:t>
            </w:r>
          </w:p>
        </w:tc>
      </w:tr>
    </w:tbl>
    <w:p>
      <w:pPr>
        <w:spacing w:after="180"/>
      </w:pPr>
      <w:r>
        <w:rPr>
          <w:b/>
          <w:bCs/>
        </w:rPr>
        <w:t xml:space="preserve">Secondary Endpoints</w:t>
      </w:r>
      <w:r>
        <w:t xml:space="preserve"> (up to 5) are added via a repeatable form group. Each has a name, type (Time-to-Event, Continuous, or Binary), and timepoint. The "+" button adds a new row; the "–" button removes one. Default: Overall Survival at 24 months.</w:t>
      </w:r>
    </w:p>
    <w:p>
      <w:pPr>
        <w:spacing w:after="180"/>
      </w:pPr>
      <w:r>
        <w:rPr>
          <w:b/>
          <w:bCs/>
        </w:rPr>
        <w:t xml:space="preserve">Safety Endpoints</w:t>
      </w:r>
      <w:r>
        <w:t xml:space="preserve"> are auto-populated from Layer 2 adverse event predictions: Grade ≥3 Neutropenia, ALT &gt;3× ULN, QTc Prolongation, Nausea/Vomiting. These appear as editable chips that can be reordered or removed.</w:t>
      </w:r>
    </w:p>
    <w:p>
      <w:pPr>
        <w:pStyle w:val="Heading2"/>
      </w:pPr>
      <w:r>
        <w:t xml:space="preserve">Inputs: Population &amp;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Target Sample Size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Integer / Auto</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Auto</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The total number of patients to enroll. Set to "Auto" to let the optimizer calculate based on power, effect size, and endpoint type. Manual override: 10–10,000.</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Number of Sites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Integer</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(empty)</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How many clinical trial sites to include (1–200). Affects enrollment velocity and cost projections.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Geographic Regions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Multi-select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[North America]</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Checkboxes: North America, Europe, Asia-Pacific, Latin America, Middle East. Determines which regional data sources inform enrollment and demographic projections.</w:t>
            </w:r>
          </w:p>
        </w:tc>
      </w:tr>
    </w:tbl>
    <w:p>
      <w:pPr>
        <w:pStyle w:val="Heading2"/>
      </w:pPr>
      <w:r>
        <w:t xml:space="preserve">Inputs: Eligibility Criteria Builder</w:t>
      </w:r>
    </w:p>
    <w:p>
      <w:pPr>
        <w:spacing w:after="180"/>
      </w:pPr>
      <w:r>
        <w:t xml:space="preserve">The criteria builder is a structured form where each row defines one inclusion or exclusion criterion. Layer 2 results can auto-generate suggested criteria based on responder profiles, which appear with inline Accept/Reject controls.</w:t>
      </w:r>
    </w:p>
    <w:p>
      <w:pPr>
        <w:spacing w:after="180"/>
      </w:pPr>
      <w:r>
        <w:t xml:space="preserve">Each criterion row has four fields: Type (Inclusion or Exclusion), Category (Demographics, Labs, Medical History, Concomitant Medications), Operator (range, greater than, less than, equals, excludes), and Value (free text or structured input depending on category).</w:t>
      </w:r>
    </w:p>
    <w:p>
      <w:pPr>
        <w:spacing w:after="180"/>
      </w:pPr>
      <w:r>
        <w:t xml:space="preserve">Default rows: Inclusion · Demographics · range · 18–75 years; Inclusion · Labs · greater than · eGFR ≥30 mL/min; Exclusion · Medical History · excludes · Active CNS metastases.</w:t>
      </w:r>
    </w:p>
    <w:p>
      <w:pPr>
        <w:pStyle w:val="Heading2"/>
      </w:pPr>
      <w:r>
        <w:t xml:space="preserve">Inputs: Adaptive Design Rules (Collapsible)</w:t>
      </w:r>
    </w:p>
    <w:p>
      <w:pPr>
        <w:spacing w:after="180"/>
      </w:pPr>
      <w:r>
        <w:t xml:space="preserve">This panel is collapsed by default and only relevant for trials using adaptive designs (where the trial design can be modified based on interim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Adaptive Design</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Master toggle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OFF</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Enables/disables the entire adaptive rules section. When OFF, the trial runs as a fixed design.</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Interim Analysis Timing</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50% enrollment</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When to run interim analyses. Options: At 25%/50%/75% enrollment, Calendar-based, Information fraction-based.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Futility Boundary</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O'Brien-Fleming</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The alpha spending function for futility stopping. O'Brien-Fleming is conservative (harder to stop early), Pocock is more aggressive.</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Superiority Boundary</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O'Brien-Fleming</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The alpha spending function for early efficacy stopping.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Sample Size Re-estimation</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OFF</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Allows mid-trial sample size adjustment based on observed effect size.</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Response-Adaptive Randomization</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OFF</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Dynamically shifts the allocation ratio based on interim outcomes (more patients go to the better-performing arm).</w:t>
            </w:r>
          </w:p>
        </w:tc>
      </w:tr>
    </w:tbl>
    <w:p>
      <w:pPr>
        <w:pStyle w:val="Heading2"/>
      </w:pPr>
      <w:r>
        <w:t xml:space="preserve">Inputs: Synthetic Control Arm (Collapsible)</w:t>
      </w:r>
    </w:p>
    <w:p>
      <w:pPr>
        <w:spacing w:after="180"/>
      </w:pPr>
      <w:r>
        <w:t xml:space="preserve">This panel is only visible when Study Type = "Single-Arm + Synthetic Control." A </w:t>
      </w:r>
      <w:r>
        <w:rPr>
          <w:b/>
          <w:bCs/>
        </w:rPr>
        <w:t xml:space="preserve">synthetic control arm</w:t>
      </w:r>
      <w:r>
        <w:t xml:space="preserve"> is a virtual placebo group constructed from real-world patient data, matched to the treatment group on key covariates. This approach has FDA precedent for rare disease and pediatric indications.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Matching Method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Propensity Score Matching</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Statistical method for constructing the synthetic arm. Options: Propensity Score Matching, Inverse Probability Weighting, Exact Matching, CEM (Coarsened Exact Matching).</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Matching Variables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Multi-select checkboxes</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[Age, Sex, Disease Stage, Comorbidity Index]</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Covariates used for matching: Age, Sex, BMI, Disease Stage, Comorbidity Index, Baseline Labs, Prior Treatments, eGFR, LVEF.</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Balance Threshold (SMD)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Slider (0.01–0.25)</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0.10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Maximum Standardized Mean Difference per covariate. Values below 0.10 indicate good balance. Stricter thresholds may reduce the available patient pool.</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Data Sources</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Checkboxes</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[MIMIC-IV]</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Which real-world databases to draw synthetic patients from: MIMIC-IV (~47K patients), HCUP (~8M patients), All of Us (~312K patients). Patient count badges show estimated availability.</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Target Synthetic N</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Integer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Match treatment arm</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Number of synthetic control patients to generate. Cannot exceed source availability.</w:t>
            </w:r>
          </w:p>
        </w:tc>
      </w:tr>
    </w:tbl>
    <w:p>
      <w:pPr>
        <w:pStyle w:val="Heading2"/>
      </w:pPr>
      <w:r>
        <w:t xml:space="preserve">Inputs: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 Format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Monte Carlo Replications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Slider (100–10,000)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1,000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Number of randomized trial simulations to run. More replications = more precise probability estimates but longer runtime. 100 = fast estimate, 10,000 = publication-grade precision.</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Significance Level (α) *</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Float</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0.05</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Two-sided significance level for hypothesis testing. 0.05 = standard 95% confidence.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Power Target (1-β) *</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Float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0.80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Target statistical power. 0.80 = 80% probability of detecting a true effect.</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Dropout Modeling</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Toggle</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ON</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When enabled, shows additional fields for dropout rate and pattern.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Annual Dropout Rate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Slider (0–50%)</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15%</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Percentage of patients who discontinue per year. Only visible if Dropout Modeling is ON.</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Dropout Pattern</w:t>
            </w:r>
          </w:p>
        </w:tc>
        <w:tc>
          <w:tcPr>
            <w:tcW w:type="dxa" w:w="1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Dropdown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Exponential</w:t>
            </w:r>
          </w:p>
        </w:tc>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How dropouts distribute over time: Uniform, Front-loaded (early dropouts), Back-loaded (late dropouts), Exponential (decreasing rate).</w:t>
            </w:r>
          </w:p>
        </w:tc>
      </w:tr>
    </w:tbl>
    <w:p>
      <w:pPr>
        <w:spacing w:after="180"/>
      </w:pPr>
      <w:r>
        <w:rPr>
          <w:b/>
          <w:bCs/>
        </w:rPr>
        <w:t xml:space="preserve">Run button: </w:t>
      </w:r>
      <w:r>
        <w:t xml:space="preserve">"Run Trial Simulation" — estimated runtime 15–30 minutes depending on replications and complexity.</w:t>
      </w:r>
    </w:p>
    <w:p>
      <w:r>
        <w:br w:type="page"/>
      </w:r>
    </w:p>
    <w:p>
      <w:pPr>
        <w:pStyle w:val="Heading2"/>
      </w:pPr>
      <w:r>
        <w:t xml:space="preserve">Outputs: Trial Twin Results</w:t>
      </w:r>
    </w:p>
    <w:p>
      <w:pPr>
        <w:spacing w:after="180"/>
      </w:pPr>
      <w:r>
        <w:t xml:space="preserve">Results are presented via four summary header cards and six tabbed output panels.</w:t>
      </w:r>
    </w:p>
    <w:p>
      <w:pPr>
        <w:pStyle w:val="Heading3"/>
      </w:pPr>
      <w:r>
        <w:t xml:space="preserve">Summary Header Cards</w:t>
      </w:r>
    </w:p>
    <w:p>
      <w:pPr>
        <w:pStyle w:val="ListParagraph"/>
        <w:numPr>
          <w:ilvl w:val="0"/>
          <w:numId w:val="2"/>
        </w:numPr>
        <w:spacing w:after="80"/>
      </w:pPr>
      <w:r>
        <w:rPr>
          <w:b/>
          <w:bCs/>
        </w:rPr>
        <w:t xml:space="preserve">Trial Success Probability: </w:t>
      </w:r>
      <w:r>
        <w:t xml:space="preserve">The headline number. Displayed as a percentage with 95% confidence interval (e.g., 72.4%, CI: 64.1–80.7%). Color-coded: green &gt;70%, yellow 50–70%, red &lt;50%.</w:t>
      </w:r>
    </w:p>
    <w:p>
      <w:pPr>
        <w:pStyle w:val="ListParagraph"/>
        <w:numPr>
          <w:ilvl w:val="0"/>
          <w:numId w:val="2"/>
        </w:numPr>
        <w:spacing w:after="80"/>
      </w:pPr>
      <w:r>
        <w:rPr>
          <w:b/>
          <w:bCs/>
        </w:rPr>
        <w:t xml:space="preserve">Optimal Sample Size: </w:t>
      </w:r>
      <w:r>
        <w:t xml:space="preserve">The simulator's recommended sample size for the target power level (e.g., 248 for 80% power at α=0.05).</w:t>
      </w:r>
    </w:p>
    <w:p>
      <w:pPr>
        <w:pStyle w:val="ListParagraph"/>
        <w:numPr>
          <w:ilvl w:val="0"/>
          <w:numId w:val="2"/>
        </w:numPr>
        <w:spacing w:after="80"/>
      </w:pPr>
      <w:r>
        <w:rPr>
          <w:b/>
          <w:bCs/>
        </w:rPr>
        <w:t xml:space="preserve">Projected Duration: </w:t>
      </w:r>
      <w:r>
        <w:t xml:space="preserve">Total trial duration including enrollment period and follow-up (e.g., 34 months).</w:t>
      </w:r>
    </w:p>
    <w:p>
      <w:pPr>
        <w:pStyle w:val="ListParagraph"/>
        <w:numPr>
          <w:ilvl w:val="0"/>
          <w:numId w:val="2"/>
        </w:numPr>
        <w:spacing w:after="80"/>
      </w:pPr>
      <w:r>
        <w:rPr>
          <w:b/>
          <w:bCs/>
        </w:rPr>
        <w:t xml:space="preserve">Estimated Cost: </w:t>
      </w:r>
      <w:r>
        <w:t xml:space="preserve">Total projected cost with sensitivity range (e.g., $24.7M ± $3.2M).</w:t>
      </w:r>
    </w:p>
    <w:p>
      <w:pPr>
        <w:pStyle w:val="Heading3"/>
      </w:pPr>
      <w:r>
        <w:t xml:space="preserve">Trial Success Probability Gauge</w:t>
      </w:r>
    </w:p>
    <w:p>
      <w:pPr>
        <w:spacing w:after="180"/>
      </w:pPr>
      <w:r>
        <w:t xml:space="preserve">A large semicircular gauge meter with color zones (red &lt; 50%, yellow 50–70%, green &gt; 70%). Below the gauge, a Key Risk Factors panel shows five dimensions: Statistical Power, Enrollment Feasibility, Dropout Risk, Site Quality, and Regulatory Pathway — each rated High/Medium/Low.</w:t>
      </w:r>
    </w:p>
    <w:p>
      <w:pPr>
        <w:pStyle w:val="Heading3"/>
      </w:pPr>
      <w:r>
        <w:t xml:space="preserve">Enrollment Trajectory</w:t>
      </w:r>
    </w:p>
    <w:p>
      <w:pPr>
        <w:spacing w:after="180"/>
      </w:pPr>
      <w:r>
        <w:t xml:space="preserve">An area chart showing projected cumulative enrollment over time (months). The expected curve is solid with a 95% confidence interval band. A dashed target line shows the enrollment goal. Per-site breakdown is available as a toggle. Hover to see exact monthly values.</w:t>
      </w:r>
    </w:p>
    <w:p>
      <w:pPr>
        <w:pStyle w:val="Heading3"/>
      </w:pPr>
      <w:r>
        <w:t xml:space="preserve">Power Curve</w:t>
      </w:r>
    </w:p>
    <w:p>
      <w:pPr>
        <w:spacing w:after="180"/>
      </w:pPr>
      <w:r>
        <w:t xml:space="preserve">A line chart plotting statistical power (y-axis, 0–1) against sample size (x-axis). An 80% target line is drawn horizontally. The current design point (n=248) is marked. A cost overlay on the secondary y-axis shows how total cost scales with sample size. Drag the sample size marker to see real-time power and cost updates.</w:t>
      </w:r>
    </w:p>
    <w:p>
      <w:pPr>
        <w:pStyle w:val="Heading3"/>
      </w:pPr>
      <w:r>
        <w:t xml:space="preserve">Synthetic Arm Balance Report</w:t>
      </w:r>
    </w:p>
    <w:p>
      <w:pPr>
        <w:spacing w:after="180"/>
      </w:pPr>
      <w:r>
        <w:t xml:space="preserve">A table showing covariate balance between the treatment and synthetic control groups. Columns: Variable, Treatment Mean, Control Mean, SMD (Standardized Mean Difference), Status (Pass/Fail). Covariates checked: Age, Sex, Disease Stage, ECOG Score, BMI, eGFR, Prior Lines of Therapy. An accompanying forest plot visualizes all SMDs with the threshold line (default 0.10). A "Re-run Matching with Adjusted Parameters" button allows iterative refinement.</w:t>
      </w:r>
    </w:p>
    <w:p>
      <w:pPr>
        <w:pStyle w:val="Heading3"/>
      </w:pPr>
      <w:r>
        <w:t xml:space="preserve">Site Ranking Table</w:t>
      </w:r>
    </w:p>
    <w:p>
      <w:pPr>
        <w:spacing w:after="180"/>
      </w:pPr>
      <w:r>
        <w:t xml:space="preserve">A sortable table ranking potential trial sites by a composite score. Columns: Rank, Site Name, Region, Enrollment/month, Quality Score, Composite. Example sites include Johns Hopkins (Baltimore), Royal Marsden (London), MD Anderson (Houston), Memorial Sloan Kettering (NYC), and Tokyo Medical University. An optional map view shows site markers geographically.</w:t>
      </w:r>
    </w:p>
    <w:p>
      <w:pPr>
        <w:pStyle w:val="Heading3"/>
      </w:pPr>
      <w:r>
        <w:t xml:space="preserve">Cost Estimate Summary</w:t>
      </w:r>
    </w:p>
    <w:p>
      <w:pPr>
        <w:spacing w:after="180"/>
      </w:pPr>
      <w:r>
        <w:t xml:space="preserve">Total estimated cost (e.g., $24.7M USD) with a sensitivity range. Breakdown by category: Site Operations (45%), Drug Supply (25%), Clinical Monitoring (20%), Lab &amp; Biomarker (10%). Per-unit metrics: Cost per Patient and Cost per Site. A currency selector supports USD, EUR, and JPY.</w:t>
      </w:r>
    </w:p>
    <w:p>
      <w:pPr>
        <w:spacing w:after="180"/>
      </w:pPr>
      <w:r>
        <w:rPr>
          <w:b/>
          <w:bCs/>
        </w:rPr>
        <w:t xml:space="preserve">Export options: </w:t>
      </w:r>
      <w:r>
        <w:t xml:space="preserve">CSV (raw simulation data), Generate Full Report (comprehensive PDF with all visualizations, methodology, assumptions, and recommendations).</w:t>
      </w:r>
    </w:p>
    <w:p>
      <w:r>
        <w:br w:type="page"/>
      </w:r>
    </w:p>
    <w:p>
      <w:pPr>
        <w:pStyle w:val="Heading1"/>
      </w:pPr>
      <w:r>
        <w:t xml:space="preserve">3D Molecular Viewer</w:t>
      </w:r>
    </w:p>
    <w:p>
      <w:pPr>
        <w:spacing w:after="180"/>
      </w:pPr>
      <w:r>
        <w:t xml:space="preserve">The 3D Molecular Viewer is accessible from Layer 1 via the "View 3D" button next to the SMILES input. It opens as a modal overlay displaying the molecule in three-dimensional space.</w:t>
      </w:r>
    </w:p>
    <w:p>
      <w:pPr>
        <w:pStyle w:val="Heading2"/>
      </w:pPr>
      <w:r>
        <w:t xml:space="preserve">Viewer Modes</w:t>
      </w:r>
    </w:p>
    <w:p>
      <w:pPr>
        <w:spacing w:after="180"/>
      </w:pPr>
      <w:r>
        <w:t xml:space="preserve">Three rendering modes are available, selectable via a mode switcher in the viewer header:</w:t>
      </w:r>
    </w:p>
    <w:p>
      <w:pPr>
        <w:pStyle w:val="ListParagraph"/>
        <w:numPr>
          <w:ilvl w:val="0"/>
          <w:numId w:val="2"/>
        </w:numPr>
        <w:spacing w:after="80"/>
      </w:pPr>
      <w:r>
        <w:rPr>
          <w:b/>
          <w:bCs/>
        </w:rPr>
        <w:t xml:space="preserve">Cinematic Mode: </w:t>
      </w:r>
      <w:r>
        <w:t xml:space="preserve">An immersive, visually rich rendering with ambient occlusion, depth-of-field effects, and smooth lighting. Best for presentations and client-facing screenshots. Prioritizes visual impact over analytical detail.</w:t>
      </w:r>
    </w:p>
    <w:p>
      <w:pPr>
        <w:pStyle w:val="ListParagraph"/>
        <w:numPr>
          <w:ilvl w:val="0"/>
          <w:numId w:val="2"/>
        </w:numPr>
        <w:spacing w:after="80"/>
      </w:pPr>
      <w:r>
        <w:rPr>
          <w:b/>
          <w:bCs/>
        </w:rPr>
        <w:t xml:space="preserve">Scientific Mode: </w:t>
      </w:r>
      <w:r>
        <w:t xml:space="preserve">A split-panel layout showing the 3D structure alongside key molecular properties and annotations. Standard CPK coloring (carbon = gray, hydrogen = white, oxygen = red, nitrogen = blue). Includes measurement tools for distances and angles. Best for analytical work.</w:t>
      </w:r>
    </w:p>
    <w:p>
      <w:pPr>
        <w:pStyle w:val="ListParagraph"/>
        <w:numPr>
          <w:ilvl w:val="0"/>
          <w:numId w:val="2"/>
        </w:numPr>
        <w:spacing w:after="80"/>
      </w:pPr>
      <w:r>
        <w:rPr>
          <w:b/>
          <w:bCs/>
        </w:rPr>
        <w:t xml:space="preserve">Explorer Mode: </w:t>
      </w:r>
      <w:r>
        <w:t xml:space="preserve">A multi-molecule view for comparing structures side by side. Useful when evaluating batch results from Layer 1 — load multiple candidates simultaneously and visually compare conformations and binding poses.</w:t>
      </w:r>
    </w:p>
    <w:p>
      <w:pPr>
        <w:spacing w:after="180"/>
      </w:pPr>
      <w:r>
        <w:t xml:space="preserve">The viewer header displays the molecule name, a truncated SMILES preview (first 30 characters), and a "Live Preview" badge indicating the structure updates in real-time as the SMILES input changes. A close button returns to the Layer 1 configuration view.</w:t>
      </w:r>
    </w:p>
    <w:p>
      <w:r>
        <w:br w:type="page"/>
      </w:r>
    </w:p>
    <w:p>
      <w:pPr>
        <w:pStyle w:val="Heading1"/>
      </w:pPr>
      <w:r>
        <w:t xml:space="preserve">Simulation States &amp; Data Flow</w:t>
      </w:r>
    </w:p>
    <w:p>
      <w:pPr>
        <w:pStyle w:val="Heading2"/>
      </w:pPr>
      <w:r>
        <w:t xml:space="preserve">State Machine</w:t>
      </w:r>
    </w:p>
    <w:p>
      <w:pPr>
        <w:spacing w:after="180"/>
      </w:pPr>
      <w:r>
        <w:t xml:space="preserve">Every simulation (across all three layers) follows the same state lifecycle:</w:t>
      </w:r>
    </w:p>
    <w:p>
      <w:pPr>
        <w:pStyle w:val="ListParagraph"/>
        <w:numPr>
          <w:ilvl w:val="0"/>
          <w:numId w:val="3"/>
        </w:numPr>
        <w:spacing w:after="80"/>
      </w:pPr>
      <w:r>
        <w:rPr>
          <w:b/>
          <w:bCs/>
        </w:rPr>
        <w:t xml:space="preserve">Idle: </w:t>
      </w:r>
      <w:r>
        <w:t xml:space="preserve">The default state. The configuration form is editable. No simulation is running.</w:t>
      </w:r>
    </w:p>
    <w:p>
      <w:pPr>
        <w:pStyle w:val="ListParagraph"/>
        <w:numPr>
          <w:ilvl w:val="0"/>
          <w:numId w:val="3"/>
        </w:numPr>
        <w:spacing w:after="80"/>
      </w:pPr>
      <w:r>
        <w:rPr>
          <w:b/>
          <w:bCs/>
        </w:rPr>
        <w:t xml:space="preserve">Running: </w:t>
      </w:r>
      <w:r>
        <w:t xml:space="preserve">The simulation is in progress. The status bar shows progress, substage labels, and a cancel button. Configuration fields are locked (read-only).</w:t>
      </w:r>
    </w:p>
    <w:p>
      <w:pPr>
        <w:pStyle w:val="ListParagraph"/>
        <w:numPr>
          <w:ilvl w:val="0"/>
          <w:numId w:val="3"/>
        </w:numPr>
        <w:spacing w:after="80"/>
      </w:pPr>
      <w:r>
        <w:rPr>
          <w:b/>
          <w:bCs/>
        </w:rPr>
        <w:t xml:space="preserve">Complete: </w:t>
      </w:r>
      <w:r>
        <w:t xml:space="preserve">The simulation finished successfully. Results are displayed in the output tabs. The cascade CTA ("Continue to [Next Layer]") appears at the bottom.</w:t>
      </w:r>
    </w:p>
    <w:p>
      <w:pPr>
        <w:pStyle w:val="ListParagraph"/>
        <w:numPr>
          <w:ilvl w:val="0"/>
          <w:numId w:val="3"/>
        </w:numPr>
        <w:spacing w:after="80"/>
      </w:pPr>
      <w:r>
        <w:rPr>
          <w:b/>
          <w:bCs/>
        </w:rPr>
        <w:t xml:space="preserve">Error: </w:t>
      </w:r>
      <w:r>
        <w:t xml:space="preserve">The simulation failed. An error message is displayed with a retry option. Configuration fields are re-enabled for adjustment.</w:t>
      </w:r>
    </w:p>
    <w:p>
      <w:pPr>
        <w:pStyle w:val="Heading2"/>
      </w:pPr>
      <w:r>
        <w:t xml:space="preserve">Data Cascade Between Layers</w:t>
      </w:r>
    </w:p>
    <w:p>
      <w:pPr>
        <w:spacing w:after="180"/>
      </w:pPr>
      <w:r>
        <w:t xml:space="preserve">Data flows forward through the three layers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From</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Passed</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 Appears</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Layer 1 (Molecular)</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Layer 2 (Cohort)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ADMET scores, toxicity vector, binding affinity, molecular descriptors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Auto-populates PK/PD Parameters section. Badge: "Auto-populated from Layer 1 results"</w:t>
            </w:r>
          </w:p>
        </w:tc>
      </w:tr>
      <w:tr>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Layer 2 (Cohort)</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Layer 3 (Trial)</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Responder profiles, AE predictions, recommended dose, subgroup stratification</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Auto-populates Safety Endpoints (chips), Eligibility Criteria (suggested rows), and informs sample size optimization</w:t>
            </w:r>
          </w:p>
        </w:tc>
      </w:tr>
    </w:tbl>
    <w:p>
      <w:pPr>
        <w:spacing w:before="100"/>
      </w:pPr>
    </w:p>
    <w:p>
      <w:pPr>
        <w:spacing w:after="180"/>
      </w:pPr>
      <w:r>
        <w:t xml:space="preserve">Users can always override auto-populated values. The cascade is a convenience, not a constraint. Any layer can be used independently by entering data manually.</w:t>
      </w:r>
    </w:p>
    <w:p>
      <w:pPr>
        <w:pStyle w:val="Heading2"/>
      </w:pPr>
      <w:r>
        <w:t xml:space="preserve">Score and Classification Thresholds</w:t>
      </w:r>
    </w:p>
    <w:p>
      <w:pPr>
        <w:spacing w:after="180"/>
      </w:pPr>
      <w:r>
        <w:t xml:space="preserve">The platform uses consistent classification thresholds across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Green / Good</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Yellow / Moderate</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Red / Poor</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Binding Affinity</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&lt;50 nM (Strong)</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50–500 nM (Moderate)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&gt;500 nM (Weak)</w:t>
            </w:r>
          </w:p>
        </w:tc>
      </w:tr>
      <w:tr>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Toxicity Risk</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Low</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Medium</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High</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AE Severity</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Mild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Moderate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Severe</w:t>
            </w:r>
          </w:p>
        </w:tc>
      </w:tr>
      <w:tr>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Response</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Responder</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Partial</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Non-responder</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Trial Confidence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&gt;70%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50–70%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&lt;50%</w:t>
            </w:r>
          </w:p>
        </w:tc>
      </w:tr>
      <w:tr>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SMD Balance</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&lt;0.10 (Pass)</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0.10–0.20 (Marginal)</w:t>
            </w:r>
          </w:p>
        </w:tc>
        <w:tc>
          <w:tcPr>
            <w:tcW w:type="dxa" w:w="234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&gt;0.20 (Fail)</w:t>
            </w:r>
          </w:p>
        </w:tc>
      </w:tr>
    </w:tbl>
    <w:p>
      <w:pPr>
        <w:spacing w:before="200"/>
      </w:pPr>
    </w:p>
    <w:p>
      <w:pPr>
        <w:pBdr>
          <w:bottom w:val="single" w:color="27AE60" w:sz="2" w:space="4"/>
        </w:pBdr>
        <w:spacing w:after="200"/>
      </w:pPr>
    </w:p>
    <w:p>
      <w:pPr>
        <w:spacing w:after="100"/>
      </w:pPr>
      <w:r>
        <w:rPr>
          <w:i/>
          <w:iCs/>
          <w:color w:val="5D6D7E"/>
        </w:rPr>
        <w:t xml:space="preserve">End of Product Guide — HakaseAI BioDigital Twin Platform v1.0</w:t>
      </w:r>
    </w:p>
    <w:p>
      <w:pPr>
        <w:spacing w:after="180"/>
      </w:pPr>
      <w:r>
        <w:rPr>
          <w:i/>
          <w:iCs/>
          <w:color w:val="5D6D7E"/>
        </w:rPr>
        <w:t xml:space="preserve">For questions or feedback, contact the Hakase AI development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D6D7E"/>
        <w:sz w:val="16"/>
        <w:szCs w:val="16"/>
      </w:rPr>
      <w:t xml:space="preserve">Hakase AI © 2026  |  Confidential</w:t>
    </w:r>
    <w:r>
      <w:t xml:space="preserve">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HakaseAI BioDigital Twin  |  Product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2026-03-13T22:30:52.682Z</dcterms:created>
  <dcterms:modified xsi:type="dcterms:W3CDTF">2026-03-13T22:30:52.682Z</dcterms:modified>
</cp:coreProperties>
</file>

<file path=docProps/custom.xml><?xml version="1.0" encoding="utf-8"?>
<Properties xmlns="http://schemas.openxmlformats.org/officeDocument/2006/custom-properties" xmlns:vt="http://schemas.openxmlformats.org/officeDocument/2006/docPropsVTypes"/>
</file>