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BioDigital Twin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The Story</w:t>
      </w:r>
    </w:p>
    <w:p>
      <w:pPr>
        <w:spacing w:before="200"/>
      </w:pP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D6D7E"/>
          <w:sz w:val="24"/>
          <w:szCs w:val="24"/>
        </w:rPr>
        <w:t xml:space="preserve">Two ways to understand what we build and why it matters</w:t>
      </w:r>
    </w:p>
    <w:p>
      <w:pPr>
        <w:spacing w:before="100"/>
      </w:pP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1  —  The Simple Story  (for everyone)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2  —  The Technical Story  (for scientists &amp; biotech teams)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Hakase AI  |  Confidential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March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VERSION 1 — THE SIMPLE STORY</w:t>
            </w:r>
          </w:p>
        </w:tc>
      </w:tr>
    </w:tbl>
    <w:p>
      <w:pPr>
        <w:spacing w:before="200"/>
      </w:pP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D6D7E"/>
          <w:sz w:val="22"/>
          <w:szCs w:val="22"/>
        </w:rPr>
        <w:t xml:space="preserve">For investors, board members, partners, and anyone who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5D6D7E"/>
          <w:sz w:val="22"/>
          <w:szCs w:val="22"/>
        </w:rPr>
        <w:t xml:space="preserve">wants to understand the product without a science degree.</w:t>
      </w:r>
    </w:p>
    <w:p>
      <w:pPr>
        <w:pStyle w:val="Heading1"/>
      </w:pPr>
      <w:r>
        <w:t xml:space="preserve">The Problem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Imagine you run a small bakery. You have a brilliant new cake recipe. Before you can sell it to customers, you need to answer three questions: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Question 1: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Is this cake safe to eat? Are the ingredients good? Will anyone be allergic to it?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Question 2: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If 100 people eat this cake, how many will love it? How many might get a stomach ache?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Question 3: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Should I invest in a big launch? How many cakes do I need to bake to prove people love it?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Now replace “cake” with “drug molecule” and “bakery” with “biotech company.”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That’s what small biotech companies face every day. They have a promising drug molecule, and they need to answer three questions before they can test it in humans: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1. Is this molecule safe and viable?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Will the human body absorb it, distribute it to the right place, and clear it without harm?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2. What happens when real patients take it?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How effective is it? What side effects will they experience?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3. Should we run a clinical trial?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How many patients do we need? How long will it take? Is it worth the investment?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Today, answering these three questions costs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$2 million to $5 million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and takes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12 to 18 months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of lab experiments, animal studies, and biostatistics consulting. For a small biotech company with limited funding, one wrong answer can end the company.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The Hard Truth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90% of drugs that enter clinical trials fail. Most of them fail for reasons that could have been predicted earlier — poor absorption, unexpected toxicity, or an underpowered trial design. By the time you discover the problem in a real lab, you’ve already spent millions.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What We Built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The BioDigital Twin is like a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flight simulator for drug molecules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.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Before a pilot flies a real plane, they spend hundreds of hours in a flight simulator. The simulator doesn’t replace real flying — but it tells you whether this pilot, in this plane, on this route, is likely to succeed. And it does it without risking a single life or a single dollar on jet fuel.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Our platform does the same thing for drug molecules. A scientist types in a molecule (think of it as the drug’s “barcode”), and in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under 10 seconds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, the platform answers all three questions: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EC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Is it safe &amp; viable?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Checks if the molecule can be absorbed, reach its target, and be cleared safely. Flags cardiac, liver, or brain risks. Gives a GO / WATCH / NO-GO verdict.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What happens to patients?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Simulates what happens when 100 or 1,000 patients take this drug at a given dose. Shows how the drug moves through the body over time, how many patients respond, and what side effects to expect.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Should we run a trial?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Designs a complete virtual clinical trial. Calculates how many patients you need, how long it takes, how much it costs, and whether the trial is likely to succeed. Gives a TRIAL GO / NO-GO verdict.</w:t>
            </w:r>
          </w:p>
        </w:tc>
      </w:tr>
    </w:tbl>
    <w:p>
      <w:pPr>
        <w:spacing w:before="12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All of this happens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in the browser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. Your molecule never leaves your computer. No cloud uploads, no servers, no risk of your billion-dollar idea leaking. It’s like having a $2 million lab </w:t>
      </w:r>
      <w:r>
        <w:rPr>
          <w:rFonts w:ascii="Georgia" w:cs="Georgia" w:eastAsia="Georgia" w:hAnsi="Georgia"/>
          <w:i/>
          <w:iCs/>
          <w:color w:val="5D6D7E"/>
          <w:sz w:val="24"/>
          <w:szCs w:val="24"/>
        </w:rPr>
        <w:t xml:space="preserve">inside your laptop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.</w:t>
      </w:r>
    </w:p>
    <w:p>
      <w:pPr>
        <w:spacing w:before="200"/>
      </w:pPr>
    </w:p>
    <w:p>
      <w:pPr>
        <w:pStyle w:val="Heading1"/>
      </w:pPr>
      <w:r>
        <w:t xml:space="preserve">Why It Matters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A small biotech company typically raises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$5 million to $15 million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in seed or Series A funding. That money has to cover everything — team, lab work, regulatory prep, and one shot at a clinical trial.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Without our platform, they might spend $2 million on lab experiments, only to discover at month 14 that their molecule has a fatal heart safety issue. Game over. Money gone. Company folds.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With BioDigital Twin, they discover that heart safety flag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in 3 seconds, on day one, for free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. They can test 100 different molecules before breakfast and only spend real lab money on the ones that pass all three checks.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12"/>
              <w:bottom w:val="single" w:color="27AE60" w:sz="1"/>
              <w:right w:val="single" w:color="27AE60" w:sz="1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The Bottom Line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We don’t replace scientists or labs. We make sure that every dollar a small biotech spends on real experiments is spent on the right molecule, at the right dose, with the right trial design. We turn a $2M gamble into a $2M investment backed by data.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Standard vs Premium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Think of it like Google Maps. The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free version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gives you a route based on road rules — speed limits, one-way streets, typical traffic patterns. It gets you there most of the time.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The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Premium version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is like having live traffic cameras, accident reports, road construction alerts, and a co-pilot who has driven every route a thousand times. Same app, dramatically better answers.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Our Standard tier uses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published scientific rules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to predict how a drug will behave — the same rules taught in every pharmacy school. Good, scientifically grounded, but based on general patterns.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Our Premium tier, powered by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DrugBank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, adds the world’s largest curated drug database: 140,000 known side effects, 1.37 million drug interaction warnings, 28,000 drug-protein interactions, and real-world clinical trial data. Instead of predicting from rules, we’re predicting from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the actual data of every approved drug in history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For Clients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Standard gets you a smart prediction. Premium gets you a prediction backed by the same data that pharmaceutical companies, the FDA, and 30,000+ research papers rely on. If you’re making a $5 million trial decision, Premium is the difference between an educated guess and an informed decision.</w:t>
            </w:r>
          </w:p>
        </w:tc>
      </w:tr>
    </w:tbl>
    <w:p>
      <w:pPr>
        <w:spacing w:before="300"/>
      </w:pPr>
    </w:p>
    <w:p>
      <w:pPr>
        <w:spacing w:after="60"/>
        <w:jc w:val="center"/>
      </w:pPr>
      <w:r>
        <w:rPr>
          <w:rFonts w:ascii="Georgia" w:cs="Georgia" w:eastAsia="Georgia" w:hAnsi="Georgia"/>
          <w:color w:val="D5D8DC"/>
          <w:sz w:val="28"/>
          <w:szCs w:val="28"/>
        </w:rPr>
        <w:t xml:space="preserve">— — —</w:t>
      </w:r>
    </w:p>
    <w:p>
      <w:pPr>
        <w:spacing w:before="80"/>
      </w:pPr>
    </w:p>
    <w:p>
      <w:pPr>
        <w:spacing w:after="0" w:line="360"/>
        <w:jc w:val="center"/>
      </w:pPr>
      <w:r>
        <w:rPr>
          <w:rFonts w:ascii="Georgia" w:cs="Georgia" w:eastAsia="Georgia" w:hAnsi="Georgia"/>
          <w:i/>
          <w:iCs/>
          <w:color w:val="1B4F72"/>
          <w:sz w:val="28"/>
          <w:szCs w:val="28"/>
        </w:rPr>
        <w:t xml:space="preserve">"Test the molecule before you test it on people."</w:t>
      </w:r>
    </w:p>
    <w:p>
      <w:pPr>
        <w:spacing w:after="0"/>
        <w:jc w:val="center"/>
      </w:pPr>
      <w:r>
        <w:rPr>
          <w:rFonts w:ascii="Georgia" w:cs="Georgia" w:eastAsia="Georgia" w:hAnsi="Georgia"/>
          <w:color w:val="5D6D7E"/>
          <w:sz w:val="22"/>
          <w:szCs w:val="22"/>
        </w:rPr>
        <w:t xml:space="preserve">— Hakase AI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VERSION 2 — THE TECHNICAL STORY</w:t>
            </w:r>
          </w:p>
        </w:tc>
      </w:tr>
    </w:tbl>
    <w:p>
      <w:pPr>
        <w:spacing w:before="200"/>
      </w:pPr>
    </w:p>
    <w:p>
      <w:pPr>
        <w:spacing w:after="60"/>
        <w:jc w:val="center"/>
      </w:pPr>
      <w:r>
        <w:rPr>
          <w:rFonts w:ascii="Georgia" w:cs="Georgia" w:eastAsia="Georgia" w:hAnsi="Georgia"/>
          <w:i/>
          <w:iCs/>
          <w:color w:val="5D6D7E"/>
          <w:sz w:val="22"/>
          <w:szCs w:val="22"/>
        </w:rPr>
        <w:t xml:space="preserve">For scientists, medicinal chemists, biostatisticians, CRO partners,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5D6D7E"/>
          <w:sz w:val="22"/>
          <w:szCs w:val="22"/>
        </w:rPr>
        <w:t xml:space="preserve">and biotech teams evaluating the platform for their pipeline.</w:t>
      </w:r>
    </w:p>
    <w:p>
      <w:pPr>
        <w:pStyle w:val="Heading1"/>
      </w:pPr>
      <w:r>
        <w:t xml:space="preserve">The Gap in Pre-Clinical Decision-Making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You’re a medicinal chemist at a 12-person biotech. You’ve designed 40 candidate molecules against a validated target. To get to IND filing, you need to: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1.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Screen all 40 for ADMET liabilities — but in vitro Caco-2, microsomal stability, and hERG patch-clamp assays cost $15K–$50K per compound. That’s $600K–$2M just for Layer 1 data. Your budget is $800K.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2.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Run PK studies in rodents for your top 3–5 candidates — another $50K–$150K each. You won’t know which 3–5 to pick until you have ADMET data you can’t afford.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3.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Engage a biostatistics CRO to design your Phase 1 protocol — $150K–$400K and 2–4 months. But the power calculation depends on effect size estimates you don’t have yet because you haven’t run the PK study.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The result is a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circular dependency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: you need data to make decisions, but you need decisions to allocate budget for data. Most small biotechs resolve this by </w:t>
      </w:r>
      <w:r>
        <w:rPr>
          <w:rFonts w:ascii="Georgia" w:cs="Georgia" w:eastAsia="Georgia" w:hAnsi="Georgia"/>
          <w:i/>
          <w:iCs/>
          <w:color w:val="5D6D7E"/>
          <w:sz w:val="24"/>
          <w:szCs w:val="24"/>
        </w:rPr>
        <w:t xml:space="preserve">guessing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— picking 3 molecules based on intuition, running PK studies, and hoping the trial design works out.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Industry Data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 average cost to bring a drug from discovery to Phase 1 IND filing is $2M–$5M. Of drugs entering Phase 1, approximately 90% will never reach approval. The single largest waste is not failed trials — it’s the months and millions spent on molecules that should never have entered the pipeline.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What the BioDigital Twin Actually Computes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The platform is a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three-layer cascading simulation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that runs entirely in the browser using WebAssembly (RDKit.js) and standard biostatistical formulas. No server calls during simulation. Here’s what each layer does:</w:t>
      </w:r>
    </w:p>
    <w:p>
      <w:pPr>
        <w:spacing w:before="80"/>
      </w:pPr>
    </w:p>
    <w:p>
      <w:pPr>
        <w:pStyle w:val="Heading2"/>
      </w:pPr>
      <w:r>
        <w:t xml:space="preserve">Layer 1: Molecular Digital Twin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Input a SMILES string and a UniProt target ID. The engine runs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5 computation steps in ~3 seconds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: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Step 1 — RDKit.js Descriptor Computation.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MW, LogP, TPSA, HBD, HBA, rotatable bonds, QED, ring counts. This is real cheminformatics — the same RDKit C++ library used by Pfizer and Novartis, compiled to WASM.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Step 2 — ADMET Scoring.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Five scores (Absorption, Distribution, Metabolism, Excretion, Toxicity) computed via QSAR rules grounded in Lipinski (1997), Veber (2002), and hERG SAR literature. Each score is 0–1 with transparent thresholds.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Step 3 — Binding Affinity Estimation.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Target map lookup places the molecule within the expected IC50 range for its target class (e.g., 1–100 nM for EGFR RTK inhibitors), adjusted by Lipinski compliance and QED. QSAR-based, not docking.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Step 4 — Go/No-Go Decision.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Deterministic decision tree: High-severity toxicity flag OR ≥3 Lipinski violations = NO-GO. ADMET &lt; 0.65 = WATCH. Otherwise = GO.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Step 5 — Results Caching.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The complete SimResults object (descriptors, ADMET, binding, toxicity, verdict) is cached in-memory and passed to Layer 2. Zero network calls.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F0F7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What’s Real vs Estimated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The molecular descriptors are 100% real cheminformatics (identical to wet-lab computed properties). The ADMET scores use published QSAR rules — scientifically grounded but not ML-trained. The binding affinity is a range placement, not a docking calculation. Upgrade path: ChemBERTa for ADMET, ESM-2 + AQAffinity for binding.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Layer 2: Patient Cohort Simulation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Takes the Layer 1 SimResults plus user-configured cohort parameters (dose, route, cohort size, age range, disease severity). Computes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population-level PK/PD outcomes in ~1–2 seconds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: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PK Time-Course.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One-compartment model: C(t) = (F × Dose / Vd) × (ka / (ka − ke)) × (e^(−ke×t) − e^(−ka×t)). Parameters (F, Vd, ka, ke) derived from ADMET scores. 100 time points with 90% CI from inter-individual variability simulation.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Responder Rate.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Sigmoidal Emax model driven by binding affinity (stronger binding → higher response) and disease severity. Biomarker-positive subgroup gets 1.5–2x the overall rate.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AE Profiling.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Each organ-risk flag from Layer 1 maps to CTCAE-graded adverse events: hERG → QT prolongation (Grade 1–2: 10–20%, Grade 3+: 5–15%), hepatotox → ALT elevation, BBB → CNS effects.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DLT Rate.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Dose-limiting toxicity probability computed from toxicity flag severity: High = 15–25% per flag, Medium = 5–15%, Low = 1–5%. Aggregated for total DLT rate.</w:t>
      </w:r>
    </w:p>
    <w:p>
      <w:pPr>
        <w:spacing w:before="120"/>
      </w:pPr>
    </w:p>
    <w:p>
      <w:pPr>
        <w:pStyle w:val="Heading2"/>
      </w:pPr>
      <w:r>
        <w:t xml:space="preserve">Layer 3: Clinical Trial Digital Twin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Takes Layers 1+2 outputs plus trial design parameters (phase, arms, blinding, α, power, dropout). Produces a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complete virtual trial simulation in ~1–2 seconds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: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Power Calculation.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Exact normal CDF formula (not approximation): n = ((Z_α/2 + Z_β)² × 2σ²) / δ², adjusted for dropout and multi-arm designs. Same math as nQuery/PASS.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Kaplan-Meier Curves.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Parametric survival using Weibull distribution. Treatment vs control arms with hazard ratio and log-rank p-value. Greenwood’s formula for confidence intervals.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Adaptive Design.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O’Brien-Fleming spending function: Z_boundary(k) = Z_α_final / √t_k. Computes early stopping boundaries for efficacy and futility at each interim look.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Site Allocation.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Enrollment rate model by region (NA: 1–2/site/month at $50K–$100K/patient, APAC: 3–5/site/month at $10K–$25K/patient). Cost and timeline projections.</w:t>
      </w:r>
    </w:p>
    <w:p>
      <w:pPr>
        <w:spacing w:after="240" w:line="36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Trial Verdict. 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GO (power ≥80%, molecule GO, DLT &lt; 33%) / CONDITIONAL / NO-GO. Actionable recommendation with modification suggestions.</w:t>
      </w:r>
    </w:p>
    <w:p>
      <w:pPr>
        <w:spacing w:before="200"/>
      </w:pPr>
    </w:p>
    <w:p>
      <w:pPr>
        <w:pStyle w:val="Heading1"/>
      </w:pPr>
      <w:r>
        <w:t xml:space="preserve">Privacy-First Architecture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The entire simulation runs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client-side in the browser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. The SMILES string — your proprietary molecular IP — never leaves the browser. RDKit.js is a C++ engine compiled to WebAssembly that runs locally. All QSAR rules, PK models, and power calculations execute in JavaScript.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When we upgrade to AI models (v2), the architecture sends only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Morgan fingerprints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 (2048-bit one-way hashes) to the inference server. Morgan fingerprints are mathematically irreversible — the server cannot reconstruct the original molecule. Even Hakase AI cannot see your structures.</w:t>
      </w:r>
    </w:p>
    <w:p>
      <w:pPr>
        <w:spacing w:before="4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For small biotechs whose entire valuation rests on 2–3 proprietary molecules, this is not a feature.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It’s a requirement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.</w:t>
      </w:r>
    </w:p>
    <w:p>
      <w:pPr>
        <w:spacing w:before="200"/>
      </w:pPr>
    </w:p>
    <w:p>
      <w:pPr>
        <w:pStyle w:val="Heading1"/>
      </w:pPr>
      <w:r>
        <w:t xml:space="preserve">Premium Tier: DrugBank Integration</w:t>
      </w:r>
    </w:p>
    <w:p>
      <w:pPr>
        <w:spacing w:before="60"/>
      </w:pPr>
    </w:p>
    <w:p>
      <w:pPr>
        <w:spacing w:after="240" w:line="360"/>
      </w:pPr>
      <w:r>
        <w:rPr>
          <w:rFonts w:ascii="Georgia" w:cs="Georgia" w:eastAsia="Georgia" w:hAnsi="Georgia"/>
          <w:color w:val="2C3E50"/>
          <w:sz w:val="24"/>
          <w:szCs w:val="24"/>
        </w:rPr>
        <w:t xml:space="preserve">The Standard tier uses QSAR rules — Lipinski, Veber, hERG SAR — that are scientifically grounded but inherently limited to molecular descriptors. The Premium tier integrates </w:t>
      </w: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DrugBank</w:t>
      </w:r>
      <w:r>
        <w:rPr>
          <w:rFonts w:ascii="Georgia" w:cs="Georgia" w:eastAsia="Georgia" w:hAnsi="Georgia"/>
          <w:color w:val="2C3E50"/>
          <w:sz w:val="24"/>
          <w:szCs w:val="24"/>
        </w:rPr>
        <w:t xml:space="preserve">, the world’s most comprehensive curated drug database, to replace rule-based estimates with real data: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Your Program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Real PK parameters (t½, CL, Vd, F)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Your PK curves are now driven by literature-validated values from 100,000+ references, not ADMET-score proxies. If your target has a known drug, you get real pharmacokinetics.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140K+ adverse effects with prevalence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Your AE table shows real incidence rates from post-marketing surveillance — not estimated ranges from structural flags. MedDRA and ICD-10 coded for IND appendices.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1.37 million drug-drug interactions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 concomitant medication risks during cohort design. The Standard tier has zero DDI capability. This alone can prevent a safety signal that kills your trial.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28K+ drug-protein interactions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Your target map expands from ~20 major targets to 28,000+ validated interactions. Includes targets, enzymes, carriers, and transporters with pharmacological action types.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Clinical trial benchmarks + patents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Compare your trial design against real trials for the same indication. Track competitor pipeline status and patent expiry dates. Make data-driven go/no-go decisions.</w:t>
            </w:r>
          </w:p>
        </w:tc>
      </w:tr>
    </w:tbl>
    <w:p>
      <w:pPr>
        <w:spacing w:before="300"/>
      </w:pPr>
    </w:p>
    <w:p>
      <w:pPr>
        <w:spacing w:after="60"/>
        <w:jc w:val="center"/>
      </w:pPr>
      <w:r>
        <w:rPr>
          <w:rFonts w:ascii="Georgia" w:cs="Georgia" w:eastAsia="Georgia" w:hAnsi="Georgia"/>
          <w:color w:val="D5D8DC"/>
          <w:sz w:val="28"/>
          <w:szCs w:val="28"/>
        </w:rPr>
        <w:t xml:space="preserve">— — —</w:t>
      </w:r>
    </w:p>
    <w:p>
      <w:pPr>
        <w:spacing w:before="80"/>
      </w:pPr>
    </w:p>
    <w:p>
      <w:pPr>
        <w:spacing w:after="0" w:line="360"/>
        <w:jc w:val="center"/>
      </w:pPr>
      <w:r>
        <w:rPr>
          <w:rFonts w:ascii="Georgia" w:cs="Georgia" w:eastAsia="Georgia" w:hAnsi="Georgia"/>
          <w:i/>
          <w:iCs/>
          <w:color w:val="1B4F72"/>
          <w:sz w:val="26"/>
          <w:szCs w:val="26"/>
        </w:rPr>
        <w:t xml:space="preserve">"Every dollar your biotech spends on wet-lab experiments</w:t>
      </w:r>
    </w:p>
    <w:p>
      <w:pPr>
        <w:spacing w:after="0" w:line="360"/>
        <w:jc w:val="center"/>
      </w:pPr>
      <w:r>
        <w:rPr>
          <w:rFonts w:ascii="Georgia" w:cs="Georgia" w:eastAsia="Georgia" w:hAnsi="Georgia"/>
          <w:i/>
          <w:iCs/>
          <w:color w:val="1B4F72"/>
          <w:sz w:val="26"/>
          <w:szCs w:val="26"/>
        </w:rPr>
        <w:t xml:space="preserve">should be spent on the right molecule, at the right dose,</w:t>
      </w:r>
    </w:p>
    <w:p>
      <w:pPr>
        <w:spacing w:after="0" w:line="360"/>
        <w:jc w:val="center"/>
      </w:pPr>
      <w:r>
        <w:rPr>
          <w:rFonts w:ascii="Georgia" w:cs="Georgia" w:eastAsia="Georgia" w:hAnsi="Georgia"/>
          <w:i/>
          <w:iCs/>
          <w:color w:val="1B4F72"/>
          <w:sz w:val="26"/>
          <w:szCs w:val="26"/>
        </w:rPr>
        <w:t xml:space="preserve">with the right trial design."</w:t>
      </w:r>
    </w:p>
    <w:p>
      <w:pPr>
        <w:spacing w:before="40"/>
      </w:pPr>
    </w:p>
    <w:p>
      <w:pPr>
        <w:spacing w:after="0"/>
        <w:jc w:val="center"/>
      </w:pPr>
      <w:r>
        <w:rPr>
          <w:rFonts w:ascii="Georgia" w:cs="Georgia" w:eastAsia="Georgia" w:hAnsi="Georgia"/>
          <w:color w:val="5D6D7E"/>
          <w:sz w:val="22"/>
          <w:szCs w:val="22"/>
        </w:rPr>
        <w:t xml:space="preserve">— Hakase AI  |  hakaseai.com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Hakase AI  |  Confidential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BioDigital Twin — The 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2026-03-14T21:35:37.587Z</dcterms:created>
  <dcterms:modified xsi:type="dcterms:W3CDTF">2026-03-14T21:35:37.588Z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