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C9A7"/>
          <w:spacing w:val="300"/>
          <w:sz w:val="20"/>
          <w:szCs w:val="20"/>
        </w:rPr>
        <w:t xml:space="preserve">HAKASE AI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From Molecule to Medicine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666680"/>
          <w:sz w:val="24"/>
          <w:szCs w:val="24"/>
        </w:rPr>
        <w:t xml:space="preserve">The Story of How Diagen Flows Into BioDigital Twin</w:t>
      </w:r>
    </w:p>
    <w:p>
      <w:pPr>
        <w:spacing w:after="400" w:before="400"/>
      </w:pPr>
    </w:p>
    <w:p>
      <w:pPr>
        <w:pBdr>
          <w:bottom w:val="single" w:color="00C9A7" w:sz="6" w:space="1"/>
        </w:pBdr>
        <w:jc w:val="center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66680"/>
          <w:sz w:val="18"/>
          <w:szCs w:val="18"/>
        </w:rPr>
        <w:t xml:space="preserve">Hakase AI  |  March 2026  |  Internal Story Brief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Big Picture</w:t>
      </w:r>
    </w:p>
    <w:p>
      <w:pPr>
        <w:spacing w:after="200" w:before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Drug discovery is broken. It takes 10-15 years and $2.6 billion to bring a single drug to market, with a 90% failure rate in clinical trials. Hakase AI solves this by connecting two powerful engines into one seamless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45EC2"/>
                <w:sz w:val="22"/>
                <w:szCs w:val="22"/>
              </w:rPr>
              <w:t xml:space="preserve">DIAGEN 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845EC2"/>
                <w:sz w:val="20"/>
                <w:szCs w:val="20"/>
              </w:rPr>
              <w:t xml:space="preserve">The Creator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Designs and generates novel drug molecules using generative AI. It imagines what could work.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6B"/>
                <w:sz w:val="22"/>
                <w:szCs w:val="22"/>
              </w:rPr>
              <w:t xml:space="preserve">BIODIGITAL TWIN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896B"/>
                <w:sz w:val="20"/>
                <w:szCs w:val="20"/>
              </w:rPr>
              <w:t xml:space="preserve">The Validator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 those molecules against virtual patients and simulated clinical trials. It proves what will work.</w:t>
            </w:r>
          </w:p>
        </w:tc>
      </w:tr>
    </w:tbl>
    <w:p>
      <w:pPr>
        <w:spacing w:after="200" w:before="200"/>
      </w:pPr>
    </w:p>
    <w:p>
      <w:pPr>
        <w:spacing w:after="24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Together, they form the only end-to-end platform that goes from molecule generation all the way through trial simulation — without leaving the Hakase ecosystem.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Flow: Step by Step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45EC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5EC2"/>
                <w:sz w:val="26"/>
                <w:szCs w:val="26"/>
              </w:rPr>
              <w:t xml:space="preserve">Diagen Creates the Molecule</w:t>
            </w:r>
          </w:p>
        </w:tc>
      </w:tr>
    </w:tbl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researcher has a target — say, EGFR (Epidermal Growth Factor Receptor) for non-small-cell lung cancer. They enter this target into Diagen AI.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Diagen's generative models (GFlowNet, VAE, REINVENT, Mol2Mol) go to work. They explore chemical space, optimize for drug-likeness, and generate candidate molecules that could bind to the target.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Within minutes, Diagen produces a set of optimized SMILES strings — the molecular blueprints — along with preliminary scores for drug-likeness, synthetic feasibility, and estimated binding affinity.</w:t>
      </w:r>
    </w:p>
    <w:p>
      <w:pP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00C9A7"/>
          <w:sz w:val="28"/>
          <w:szCs w:val="28"/>
        </w:rPr>
        <w:t xml:space="preserve">▼</w:t>
      </w:r>
    </w:p>
    <w:p>
      <w:pPr>
        <w:pStyle w:val="Heading2"/>
        <w:spacing w:after="120" w:before="120"/>
        <w:jc w:val="center"/>
      </w:pPr>
      <w:r>
        <w:rPr>
          <w:rFonts w:ascii="Arial" w:cs="Arial" w:eastAsia="Arial" w:hAnsi="Arial"/>
          <w:b/>
          <w:bCs/>
          <w:color w:val="00C9A7"/>
          <w:sz w:val="26"/>
          <w:szCs w:val="26"/>
        </w:rPr>
        <w:t xml:space="preserve">The Handoff: What Diagen Passes to BioDigital Twin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This is the critical integration point. Diagen packages its outputs via REST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SMILES strings (molecular structure notation)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Molecular fingerprints (structural feature vectors)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ADMET pre-scores (initial absorption, distribution, metabolism, excretion, toxicity estimates)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conformers (spatial molecular geometry)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00C9A7"/>
                <w:sz w:val="20"/>
                <w:szCs w:val="20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protein IDs (UniProt IDs like P00533 for EGFR)</w:t>
            </w:r>
          </w:p>
        </w:tc>
      </w:tr>
    </w:tbl>
    <w:p>
      <w:pPr>
        <w:spacing w:after="100" w:before="100"/>
      </w:pPr>
    </w:p>
    <w:p>
      <w:pPr>
        <w:spacing w:after="120" w:before="80"/>
        <w:ind w:left="200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Three integration modes: Synchronous (single molecule, &lt;30s), Asynchronous Batch (webhook callbacks), or Cascade (full L1→L2→L3 in one API call).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0C9A7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6B"/>
                <w:sz w:val="26"/>
                <w:szCs w:val="26"/>
              </w:rPr>
              <w:t xml:space="preserve">Layer 1 — Molecular Digital Twin: Is This Molecule Safe?</w:t>
            </w:r>
          </w:p>
        </w:tc>
      </w:tr>
    </w:tbl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BioDigital Twin receives the SMILES string (e.g., CC(C)Cc1ccc(cc1)C(C)C(=O)O for our Ibuprofen analog) and immediately runs it through Layer 1.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Using ChemBERTa (77M parameters) and ESM-2 (650M parameters), it predicts the full ADMET profile: How well is it absorbed? How does it distribute in the body? How is it metabolized? Can it be excreted safely? What are the toxicity signals?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also simulates binding affinity against the target protein (using the PDB structure, e.g., 4HJO for EGFR), runs organ-by-organ toxicity analysis, and compares the molecule against similar approved drugs (Erlotinib, Gefitinib, Osimertinib).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output: A Go/No-Go recommendation with confidence score (e.g., 87.3%), QED score, binding affinity, SA score, and a visual ADMET radar chart — exactly what you see in the current UI.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00896B" w:sz="4"/>
              <w:right w:val="single" w:color="D0D0E0" w:sz="1"/>
            </w:tcBorders>
            <w:shd w:fill="E8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00896B" w:sz="4"/>
              <w:right w:val="single" w:color="D0D0E0" w:sz="1"/>
            </w:tcBorders>
            <w:shd w:fill="E8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6B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ADMET profiling (5-axis radar)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Absorption: 0.82, Distribution: 0.68, Metabolism: 0.74, Excretion: 0.71, Toxicity: 0.88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 binding simulation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Binding affinity heatmap + 3D docking view (12.4 nM)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Drug-likeness check (Lipinski)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MW, logP, HBD, HBA all within range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Go/No-Go decision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score + comparison to approved drugs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00C9A7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3D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73D2"/>
                <w:sz w:val="26"/>
                <w:szCs w:val="26"/>
              </w:rPr>
              <w:t xml:space="preserve">Layer 2 — Patient Cohort Twin: Who Will It Work For?</w:t>
            </w:r>
          </w:p>
        </w:tc>
      </w:tr>
    </w:tbl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Layer 1 says "Go," the molecule advances. Now BioDigital Twin builds a virtual patient population.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Using MIMIC-IV (223K real patients) and NIH All of Us (1M+ participants), it constructs a synthetic cohort: 500-10,000 virtual patients with realistic demographics, comorbidities, organ function levels, and pharmacogenomic profiles (CYP450 variants).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then simulates how the drug behaves in these virtual bodies — PK/PD concentration curves, dose-response relationships, responder vs. non-responder classification, and predicted adverse events by MedDRA terms.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output: Draft inclusion/exclusion criteria for a future clinical trial, optimal dose recommendations, and a clear picture of which patient subgroups will benefit most.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2C73D2" w:sz="4"/>
              <w:right w:val="single" w:color="D0D0E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73D2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2C73D2" w:sz="4"/>
              <w:right w:val="single" w:color="D0D0E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73D2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Population PK/PD modeling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Concentration curves with therapeutic window shading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Responder classification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Waterfall plot + donut chart of response rates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Adverse event prediction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MedDRA-coded table with incidence, severity, onset timing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Subgroup analysis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Heatmap by age, sex, ethnicity, organ function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 I/E criteria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Editable inclusion/exclusion criteria with supporting data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00C9A7"/>
          <w:sz w:val="28"/>
          <w:szCs w:val="2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0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066"/>
                <w:sz w:val="26"/>
                <w:szCs w:val="26"/>
              </w:rPr>
              <w:t xml:space="preserve">Layer 3 — Trial Digital Twin: Will the Trial Succeed?</w:t>
            </w:r>
          </w:p>
        </w:tc>
      </w:tr>
    </w:tbl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final layer simulates the entire clinical trial before a single real patient is enrolled.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Using Monte Carlo simulation (1,000-10,000 replications) and Bayesian optimization, it models: trial design (phase, blinding, randomization), enrollment trajectories, interim analyses, adaptive design decisions, and synthetic control arms.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even generates site rankings, cost estimates, and a complete simulation report — predicting the probability of trial success with 95% confidence intervals.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output: A comprehensive trial simulation that can prevent a $50M+ late-stage failure by identifying design flaws before the trial begins.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FF8066" w:sz="4"/>
              <w:right w:val="single" w:color="D0D0E0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066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FF8066" w:sz="4"/>
              <w:right w:val="single" w:color="D0D0E0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066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Trial success prediction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Probability gauge with 95% CI + historical benchmarks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Enrollment modeling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Trajectory chart with per-site breakdown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design simulation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Interactive decision tree of interim analysis points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Synthetic control arm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SMD forest plot with balance validation</w:t>
            </w:r>
          </w:p>
        </w:tc>
      </w:tr>
      <w:tr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 estimation</w:t>
            </w:r>
          </w:p>
        </w:tc>
        <w:tc>
          <w:tcPr>
            <w:tcW w:type="dxa" w:w="468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Budget summary with sensitivity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Why This Matters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45EC2"/>
                <w:sz w:val="18"/>
                <w:szCs w:val="18"/>
              </w:rPr>
              <w:t xml:space="preserve">WITHOUT HAKASE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10-15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18"/>
                <w:szCs w:val="18"/>
              </w:rPr>
              <w:t xml:space="preserve">from molecule to market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896B"/>
                <w:sz w:val="18"/>
                <w:szCs w:val="18"/>
              </w:rPr>
              <w:t xml:space="preserve">WITH HAKASE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30-50% faster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18"/>
                <w:szCs w:val="18"/>
              </w:rPr>
              <w:t xml:space="preserve">pre-clinical cost reduction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C73D2"/>
                <w:sz w:val="18"/>
                <w:szCs w:val="18"/>
              </w:rPr>
              <w:t xml:space="preserve">THE RESULT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$50M+ saved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18"/>
                <w:szCs w:val="18"/>
              </w:rPr>
              <w:t xml:space="preserve">per prevented trial failure</w:t>
            </w:r>
          </w:p>
        </w:tc>
      </w:tr>
    </w:tbl>
    <w:p>
      <w:pPr>
        <w:spacing w:after="300" w:before="300"/>
      </w:pPr>
    </w:p>
    <w:p>
      <w:pPr>
        <w:pBdr>
          <w:top w:val="single" w:color="00C9A7" w:sz="2" w:space="12"/>
          <w:bottom w:val="single" w:color="00C9A7" w:sz="2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00C9A7"/>
          <w:sz w:val="26"/>
          <w:szCs w:val="26"/>
        </w:rPr>
        <w:t xml:space="preserve">Diagen imagines the molecule. BioDigital Twin proves it will work.</w:t>
      </w:r>
    </w:p>
    <w:p>
      <w:pPr>
        <w:spacing w:after="300" w:before="300"/>
      </w:pPr>
    </w:p>
    <w:p>
      <w:pPr>
        <w:pStyle w:val="Heading2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Complete Flow at a Glance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45EC2"/>
                <w:sz w:val="16"/>
                <w:szCs w:val="16"/>
              </w:rPr>
              <w:t xml:space="preserve">DIAGEN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45EC2"/>
                <w:sz w:val="16"/>
                <w:szCs w:val="16"/>
              </w:rPr>
              <w:t xml:space="preserve">Generate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80"/>
                <w:sz w:val="16"/>
                <w:szCs w:val="16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80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896B"/>
                <w:sz w:val="16"/>
                <w:szCs w:val="16"/>
              </w:rPr>
              <w:t xml:space="preserve">L1: MOLECULE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896B"/>
                <w:sz w:val="16"/>
                <w:szCs w:val="16"/>
              </w:rPr>
              <w:t xml:space="preserve">Is it safe?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73D2"/>
                <w:sz w:val="16"/>
                <w:szCs w:val="16"/>
              </w:rPr>
              <w:t xml:space="preserve">L2: PATIENT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73D2"/>
                <w:sz w:val="16"/>
                <w:szCs w:val="16"/>
              </w:rPr>
              <w:t xml:space="preserve">Who benefits?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8066"/>
                <w:sz w:val="16"/>
                <w:szCs w:val="16"/>
              </w:rPr>
              <w:t xml:space="preserve">L3: TRIAL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8066"/>
                <w:sz w:val="16"/>
                <w:szCs w:val="16"/>
              </w:rPr>
              <w:t xml:space="preserve">Will it succeed?</w:t>
            </w:r>
          </w:p>
        </w:tc>
      </w:tr>
    </w:tbl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No other platform connects molecular generation to trial simulation in a single ecosystem.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80"/>
        <w:sz w:val="16"/>
        <w:szCs w:val="16"/>
      </w:rPr>
      <w:t xml:space="preserve">Page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2" w:space="4"/>
      </w:pBdr>
    </w:pPr>
    <w:r>
      <w:rPr>
        <w:rFonts w:ascii="Arial" w:cs="Arial" w:eastAsia="Arial" w:hAnsi="Arial"/>
        <w:b/>
        <w:bCs/>
        <w:color w:val="00C9A7"/>
        <w:sz w:val="16"/>
        <w:szCs w:val="16"/>
      </w:rPr>
      <w:t xml:space="preserve">Hakase AI</w:t>
    </w:r>
    <w:r>
      <w:rPr>
        <w:rFonts w:ascii="Arial" w:cs="Arial" w:eastAsia="Arial" w:hAnsi="Arial"/>
        <w:color w:val="666680"/>
        <w:sz w:val="16"/>
        <w:szCs w:val="16"/>
      </w:rPr>
      <w:t xml:space="preserve">   |   Diagen → BioDigital Twin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845EC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2026-03-13T22:09:15.522Z</dcterms:created>
  <dcterms:modified xsi:type="dcterms:W3CDTF">2026-03-13T22:09:15.529Z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