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59669"/>
          <w:sz w:val="80"/>
          <w:szCs w:val="80"/>
        </w:rPr>
        <w:t xml:space="preserve">HAIOps</w:t>
      </w:r>
    </w:p>
    <w:p>
      <w:pPr>
        <w:spacing w:after="300"/>
        <w:jc w:val="center"/>
      </w:pPr>
      <w:r>
        <w:rPr>
          <w:rFonts w:ascii="Arial" w:cs="Arial" w:eastAsia="Arial" w:hAnsi="Arial"/>
          <w:color w:val="1B365D"/>
          <w:sz w:val="40"/>
          <w:szCs w:val="40"/>
        </w:rPr>
        <w:t xml:space="preserve">Healthcare AI Operations</w:t>
      </w:r>
    </w:p>
    <w:p>
      <w:pPr>
        <w:spacing w:after="80"/>
        <w:jc w:val="center"/>
      </w:pPr>
      <w:r>
        <w:rPr>
          <w:rFonts w:ascii="Arial" w:cs="Arial" w:eastAsia="Arial" w:hAnsi="Arial"/>
          <w:color w:val="1F2937"/>
          <w:sz w:val="26"/>
          <w:szCs w:val="26"/>
        </w:rPr>
        <w:t xml:space="preserve">A Comprehensive Framework for the</w:t>
      </w:r>
    </w:p>
    <w:p>
      <w:pPr>
        <w:spacing w:after="400"/>
        <w:jc w:val="center"/>
      </w:pPr>
      <w:r>
        <w:rPr>
          <w:rFonts w:ascii="Arial" w:cs="Arial" w:eastAsia="Arial" w:hAnsi="Arial"/>
          <w:b/>
          <w:bCs/>
          <w:color w:val="7C3AED"/>
          <w:sz w:val="28"/>
          <w:szCs w:val="28"/>
        </w:rPr>
        <w:t xml:space="preserve">HakaseAI BioDigital Twin Platform</w:t>
      </w:r>
    </w:p>
    <w:p>
      <w:pPr>
        <w:pBdr>
          <w:top w:val="single" w:color="E5E7EB" w:sz="2" w:space="12"/>
        </w:pBdr>
        <w:spacing w:after="80" w:before="200"/>
        <w:jc w:val="center"/>
      </w:pPr>
      <w:r>
        <w:rPr>
          <w:rFonts w:ascii="Arial" w:cs="Arial" w:eastAsia="Arial" w:hAnsi="Arial"/>
          <w:i/>
          <w:iCs/>
          <w:color w:val="1F2937"/>
          <w:sz w:val="22"/>
          <w:szCs w:val="22"/>
        </w:rPr>
        <w:t xml:space="preserve">Extending MLOps for Patient Safety, Regulatory Compliance, and Clinical Efficacy</w:t>
      </w:r>
    </w:p>
    <w:p>
      <w:pPr>
        <w:jc w:val="center"/>
      </w:pPr>
      <w:r>
        <w:rPr>
          <w:rFonts w:ascii="Arial" w:cs="Arial" w:eastAsia="Arial" w:hAnsi="Arial"/>
          <w:i/>
          <w:iCs/>
          <w:color w:val="1F2937"/>
          <w:sz w:val="22"/>
          <w:szCs w:val="22"/>
        </w:rPr>
        <w:t xml:space="preserve">From Model Accuracy to Patient Outcomes</w:t>
      </w:r>
    </w:p>
    <w:p>
      <w:pPr>
        <w:spacing w:before="2400"/>
      </w:pPr>
    </w:p>
    <w:p>
      <w:pPr>
        <w:jc w:val="center"/>
      </w:pPr>
      <w:r>
        <w:rPr>
          <w:rFonts w:ascii="Arial" w:cs="Arial" w:eastAsia="Arial" w:hAnsi="Arial"/>
          <w:color w:val="6B7280"/>
          <w:sz w:val="20"/>
          <w:szCs w:val="20"/>
        </w:rPr>
        <w:t xml:space="preserve">AKTHealth Inc.</w:t>
      </w:r>
    </w:p>
    <w:p>
      <w:pPr>
        <w:spacing w:after="60"/>
        <w:jc w:val="center"/>
      </w:pPr>
      <w:r>
        <w:rPr>
          <w:rFonts w:ascii="Arial" w:cs="Arial" w:eastAsia="Arial" w:hAnsi="Arial"/>
          <w:color w:val="6B7280"/>
          <w:sz w:val="20"/>
          <w:szCs w:val="20"/>
        </w:rPr>
        <w:t xml:space="preserve">Version 1.0  |  March 2026</w:t>
      </w:r>
    </w:p>
    <w:p>
      <w:pPr>
        <w:jc w:val="center"/>
      </w:pPr>
      <w:r>
        <w:rPr>
          <w:rFonts w:ascii="Arial" w:cs="Arial" w:eastAsia="Arial" w:hAnsi="Arial"/>
          <w:color w:val="9CA3AF"/>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What Is HAIOps?</w:t>
      </w:r>
    </w:p>
    <w:p>
      <w:pPr>
        <w:pStyle w:val="Heading2"/>
      </w:pPr>
      <w:r>
        <w:rPr>
          <w:b/>
          <w:bCs/>
        </w:rPr>
        <w:t xml:space="preserve">1.1 Definition</w:t>
      </w:r>
    </w:p>
    <w:p>
      <w:pPr>
        <w:spacing w:after="140"/>
      </w:pPr>
      <w:r>
        <w:rPr>
          <w:rFonts w:ascii="Arial" w:cs="Arial" w:eastAsia="Arial" w:hAnsi="Arial"/>
          <w:b/>
          <w:bCs/>
          <w:color w:val="1F2937"/>
          <w:sz w:val="22"/>
          <w:szCs w:val="22"/>
        </w:rPr>
        <w:t xml:space="preserve">Healthcare AI Operations (HAIOps)</w:t>
      </w:r>
      <w:r>
        <w:rPr>
          <w:rFonts w:ascii="Arial" w:cs="Arial" w:eastAsia="Arial" w:hAnsi="Arial"/>
          <w:color w:val="1F2937"/>
          <w:sz w:val="22"/>
          <w:szCs w:val="22"/>
        </w:rPr>
        <w:t xml:space="preserve"> is a framework developed by AKTHealth that extends traditional MLOps with healthcare-specific requirements for patient safety, regulatory compliance, and clinical efficacy. It governs how AI models are developed, validated, deployed, monitored, and retired within the HakaseAI BioDigital Twin platform.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D1D5DB" w:sz="1"/>
              <w:bottom w:val="single" w:color="D1D5DB" w:sz="1"/>
              <w:right w:val="single" w:color="D1D5DB" w:sz="1"/>
            </w:tcBorders>
            <w:shd w:fill="ECFDF5" w:val="clear"/>
            <w:tcMar>
              <w:top w:type="dxa" w:w="80"/>
              <w:left w:type="dxa" w:w="140"/>
              <w:bottom w:type="dxa" w:w="80"/>
              <w:right w:type="dxa" w:w="140"/>
            </w:tcMar>
          </w:tcPr>
          <w:p>
            <w:pPr>
              <w:spacing w:after="60"/>
            </w:pPr>
            <w:r>
              <w:rPr>
                <w:rFonts w:ascii="Arial" w:cs="Arial" w:eastAsia="Arial" w:hAnsi="Arial"/>
                <w:b/>
                <w:bCs/>
                <w:color w:val="1B365D"/>
                <w:sz w:val="22"/>
                <w:szCs w:val="22"/>
              </w:rPr>
              <w:t xml:space="preserve">The Core Distinction</w:t>
            </w:r>
          </w:p>
          <w:p>
            <w:pPr>
              <w:spacing w:after="40"/>
            </w:pPr>
            <w:r>
              <w:rPr>
                <w:rFonts w:ascii="Arial" w:cs="Arial" w:eastAsia="Arial" w:hAnsi="Arial"/>
                <w:b/>
                <w:bCs/>
                <w:color w:val="1F2937"/>
                <w:sz w:val="22"/>
                <w:szCs w:val="22"/>
              </w:rPr>
              <w:t xml:space="preserve">MLOps asks: </w:t>
            </w:r>
            <w:r>
              <w:rPr>
                <w:rFonts w:ascii="Arial" w:cs="Arial" w:eastAsia="Arial" w:hAnsi="Arial"/>
                <w:color w:val="1F2937"/>
                <w:sz w:val="22"/>
                <w:szCs w:val="22"/>
              </w:rPr>
              <w:t xml:space="preserve">“Is the model accurate?”   </w:t>
            </w:r>
            <w:r>
              <w:rPr>
                <w:rFonts w:ascii="Arial" w:cs="Arial" w:eastAsia="Arial" w:hAnsi="Arial"/>
                <w:b/>
                <w:bCs/>
                <w:color w:val="1F2937"/>
                <w:sz w:val="22"/>
                <w:szCs w:val="22"/>
              </w:rPr>
              <w:t xml:space="preserve">HAIOps asks: </w:t>
            </w:r>
            <w:r>
              <w:rPr>
                <w:rFonts w:ascii="Arial" w:cs="Arial" w:eastAsia="Arial" w:hAnsi="Arial"/>
                <w:color w:val="1F2937"/>
                <w:sz w:val="22"/>
                <w:szCs w:val="22"/>
              </w:rPr>
              <w:t xml:space="preserve">“Does the model improve patient outcomes safely?”</w:t>
            </w:r>
          </w:p>
        </w:tc>
      </w:tr>
    </w:tbl>
    <w:p>
      <w:pPr>
        <w:spacing w:after="100"/>
      </w:pPr>
    </w:p>
    <w:p>
      <w:pPr>
        <w:spacing w:after="140"/>
      </w:pPr>
      <w:r>
        <w:rPr>
          <w:rFonts w:ascii="Arial" w:cs="Arial" w:eastAsia="Arial" w:hAnsi="Arial"/>
          <w:color w:val="1F2937"/>
          <w:sz w:val="22"/>
          <w:szCs w:val="22"/>
        </w:rPr>
        <w:t xml:space="preserve">This is not a philosophical distinction. It changes every operational decision—what data is permissible for training, how models are validated, what constitutes an acceptable error rate, how outputs are presented to users, and when a model must be withdrawn from production. In conventional ML, a 2% error rate may be excellent. In drug development simulation, a 2% false-negative on a cardiac safety signal could mean a compound advances to human trials with an undetected lethal risk.</w:t>
      </w:r>
    </w:p>
    <w:p>
      <w:pPr>
        <w:spacing w:after="100"/>
      </w:pPr>
    </w:p>
    <w:p>
      <w:pPr>
        <w:pStyle w:val="Heading2"/>
      </w:pPr>
      <w:r>
        <w:rPr>
          <w:b/>
          <w:bCs/>
        </w:rPr>
        <w:t xml:space="preserve">1.2 Why MLOps Is Not Enough</w:t>
      </w:r>
    </w:p>
    <w:p>
      <w:pPr>
        <w:spacing w:after="140"/>
      </w:pPr>
      <w:r>
        <w:rPr>
          <w:rFonts w:ascii="Arial" w:cs="Arial" w:eastAsia="Arial" w:hAnsi="Arial"/>
          <w:color w:val="1F2937"/>
          <w:sz w:val="22"/>
          <w:szCs w:val="22"/>
        </w:rPr>
        <w:t xml:space="preserve">Standard MLOps frameworks—model versioning, CI/CD pipelines, A/B testing, performance monitoring—were designed for consumer and enterprise applications where the cost of error is measured in revenue, engagement, or user experience. Healthcare AI operates in a fundamentally different risk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MLOps (Standard)</w:t>
            </w:r>
          </w:p>
        </w:tc>
        <w:tc>
          <w:tcPr>
            <w:tcW w:type="dxa" w:w="41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HAIOps (Healthcare)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Failure consequence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Revenue loss, UX degradation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Patient harm, regulatory action, legal liability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Validation standard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Hold-out test sets, cross-validation</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validation against real-world outcomes over time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Regulatory context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GDPR, CCPA (privacy-focused)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FDA 510(k), EU MDR, HIPAA, 21 CFR Part 11, ICH guidelines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Error tolerance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Optimized via precision/recall trade-off</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Zero tolerance for safety-critical false negatives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Model update cadence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Continuous when metrics improve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Gated by clinical validation and regulatory review</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Explainability</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Nice-to-have (SHAP, LIME)</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Mandatory—clinicians must understand and verify predictions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Audit trail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Optional, for debugging</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Required by law—every prediction must be traceable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Data requirements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Structured and unstructured</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Plus medical imaging, genomics, physiological signals, CDISC formats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Bias detection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Fairness metrics (demographic parity)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 equity—outcomes across protected populations and pharmacogenomic subgroups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Human oversight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Automation-first philosophy</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Clinician-in-the-loop mandatory for safety-critical outputs</w:t>
            </w:r>
          </w:p>
        </w:tc>
      </w:tr>
    </w:tbl>
    <w:p>
      <w:pPr>
        <w:spacing w:after="100"/>
      </w:pPr>
    </w:p>
    <w:p>
      <w:pPr>
        <w:spacing w:after="140"/>
      </w:pPr>
      <w:r>
        <w:rPr>
          <w:rFonts w:ascii="Arial" w:cs="Arial" w:eastAsia="Arial" w:hAnsi="Arial"/>
          <w:color w:val="1F2937"/>
          <w:sz w:val="22"/>
          <w:szCs w:val="22"/>
        </w:rPr>
        <w:t xml:space="preserve">HAIOps does not discard MLOps. It builds on the same foundations—version control, reproducibility, monitoring, CI/CD—and adds the layers required to operate responsibly in a life-sciences context.</w:t>
      </w:r>
    </w:p>
    <w:p>
      <w:r>
        <w:br w:type="page"/>
      </w:r>
    </w:p>
    <w:p>
      <w:pPr>
        <w:pStyle w:val="Heading1"/>
      </w:pPr>
      <w:r>
        <w:rPr>
          <w:b/>
          <w:bCs/>
        </w:rPr>
        <w:t xml:space="preserve">2. HAIOps in the BioDigital Twin</w:t>
      </w:r>
    </w:p>
    <w:p>
      <w:pPr>
        <w:pStyle w:val="Heading2"/>
      </w:pPr>
      <w:r>
        <w:rPr>
          <w:b/>
          <w:bCs/>
        </w:rPr>
        <w:t xml:space="preserve">2.1 Architecture Overview</w:t>
      </w:r>
    </w:p>
    <w:p>
      <w:pPr>
        <w:spacing w:after="140"/>
      </w:pPr>
      <w:r>
        <w:rPr>
          <w:rFonts w:ascii="Arial" w:cs="Arial" w:eastAsia="Arial" w:hAnsi="Arial"/>
          <w:color w:val="1F2937"/>
          <w:sz w:val="22"/>
          <w:szCs w:val="22"/>
        </w:rPr>
        <w:t xml:space="preserve">The BioDigital Twin simulates the drug development pipeline through four sequential layers: In Vitro Digital Twin (Layer 1), Animal Cohort Digital Twin (Layer 2), Patient Cohort Digital Twin (Layer 3), and Trial Digital Twin (Layer 4). HAIOps governs every layer, embedding safety, compliance, and clinical validation into the simulation lifecycle rather than bolting them on as afterthoughts.</w:t>
      </w:r>
    </w:p>
    <w:p>
      <w:pPr>
        <w:spacing w:after="100"/>
      </w:pPr>
    </w:p>
    <w:p>
      <w:pPr>
        <w:spacing w:after="140"/>
      </w:pPr>
      <w:r>
        <w:rPr>
          <w:rFonts w:ascii="Arial" w:cs="Arial" w:eastAsia="Arial" w:hAnsi="Arial"/>
          <w:color w:val="1F2937"/>
          <w:sz w:val="22"/>
          <w:szCs w:val="22"/>
        </w:rPr>
        <w:t xml:space="preserve">The HAIOps framework operates across five pillars within the BioDigital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Pillar</w:t>
            </w:r>
          </w:p>
        </w:tc>
        <w:tc>
          <w:tcPr>
            <w:tcW w:type="dxa" w:w="24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51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BioDigital Twin Application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 Validation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Ensuring predictions match real-world clinical outcomes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Each layer’s outputs are benchmarked against published clinical data (IC50 vs. BindingDB actuals, NOAEL vs. ToxRefDB, trial outcomes vs. ClinicalTrials.gov results)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Regulatory Audit Trail</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Maintaining traceable records for every computational decision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Every GO/NO-GO verdict stores input parameters, model versions, database versions, confidence scores, and timestamp—exportable for regulatory review</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Patient Safety Surveillance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Flagging findings that require clinical review before advancement</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Structural alerts, hERG safety margins, organ toxicity signals, and AE predictions carry mandatory review flags before cascade to the next layer</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Compliance Monitoring</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Ensuring alignment with regulatory standards</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ICH guideline checks (M3, S2, S7A/B, S4A, E6), 21 CFR Part 11 audit controls, HIPAA-compliant data handling in patient cohort modeling</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Confidence Scoring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Quantifying statistical basis for each prediction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Every metric carries a confidence interval and data provenance annotation—users see not just the prediction but how certain the platform is and where the data came from</w:t>
            </w:r>
          </w:p>
        </w:tc>
      </w:tr>
    </w:tbl>
    <w:p>
      <w:pPr>
        <w:spacing w:after="100"/>
      </w:pPr>
    </w:p>
    <w:p>
      <w:pPr>
        <w:pStyle w:val="Heading2"/>
      </w:pPr>
      <w:r>
        <w:rPr>
          <w:b/>
          <w:bCs/>
        </w:rPr>
        <w:t xml:space="preserve">2.2 Layer-by-Layer HAIOps Implementation</w:t>
      </w:r>
    </w:p>
    <w:p>
      <w:pPr>
        <w:pStyle w:val="Heading3"/>
      </w:pPr>
      <w:r>
        <w:rPr>
          <w:b/>
          <w:bCs/>
        </w:rPr>
        <w:t xml:space="preserve">2.2.1 Layer 1 — In Vitro Digital Twin</w:t>
      </w:r>
    </w:p>
    <w:p>
      <w:pPr>
        <w:spacing w:after="140"/>
      </w:pPr>
      <w:r>
        <w:rPr>
          <w:rFonts w:ascii="Arial" w:cs="Arial" w:eastAsia="Arial" w:hAnsi="Arial"/>
          <w:b/>
          <w:bCs/>
          <w:color w:val="7C3AED"/>
          <w:sz w:val="22"/>
          <w:szCs w:val="22"/>
        </w:rPr>
        <w:t xml:space="preserve">VIOLET</w:t>
      </w:r>
      <w:r>
        <w:rPr>
          <w:rFonts w:ascii="Arial" w:cs="Arial" w:eastAsia="Arial" w:hAnsi="Arial"/>
          <w:color w:val="1F2937"/>
          <w:sz w:val="22"/>
          <w:szCs w:val="22"/>
        </w:rPr>
        <w:t xml:space="preserve"> | Compound Screening &amp; Characterization</w:t>
      </w:r>
    </w:p>
    <w:p>
      <w:pPr>
        <w:spacing w:after="140"/>
      </w:pPr>
      <w:r>
        <w:rPr>
          <w:rFonts w:ascii="Arial" w:cs="Arial" w:eastAsia="Arial" w:hAnsi="Arial"/>
          <w:color w:val="1F2937"/>
          <w:sz w:val="22"/>
          <w:szCs w:val="22"/>
        </w:rPr>
        <w:t xml:space="preserve">HAIOps governance in Layer 1 ensures that molecular predictions carry appropriate uncertainty and safety context before a compound is advanced to animal studies.</w:t>
      </w:r>
    </w:p>
    <w:p>
      <w:pPr>
        <w:spacing w:after="100"/>
      </w:pPr>
    </w:p>
    <w:p>
      <w:pPr>
        <w:spacing w:after="140"/>
      </w:pPr>
      <w:r>
        <w:rPr>
          <w:rFonts w:ascii="Arial" w:cs="Arial" w:eastAsia="Arial" w:hAnsi="Arial"/>
          <w:b/>
          <w:bCs/>
          <w:color w:val="1F2937"/>
          <w:sz w:val="22"/>
          <w:szCs w:val="22"/>
        </w:rPr>
        <w:t xml:space="preserve">Clinical Validation: </w:t>
      </w:r>
    </w:p>
    <w:p>
      <w:pPr>
        <w:pStyle w:val="ListParagraph"/>
        <w:numPr>
          <w:ilvl w:val="0"/>
          <w:numId w:val="2"/>
        </w:numPr>
        <w:spacing w:after="80"/>
      </w:pPr>
      <w:r>
        <w:rPr>
          <w:rFonts w:ascii="Arial" w:cs="Arial" w:eastAsia="Arial" w:hAnsi="Arial"/>
          <w:b/>
          <w:bCs/>
          <w:color w:val="1F2937"/>
          <w:sz w:val="22"/>
          <w:szCs w:val="22"/>
        </w:rPr>
        <w:t xml:space="preserve">IC50 benchmarking: </w:t>
      </w:r>
      <w:r>
        <w:rPr>
          <w:rFonts w:ascii="Arial" w:cs="Arial" w:eastAsia="Arial" w:hAnsi="Arial"/>
          <w:color w:val="1F2937"/>
          <w:sz w:val="22"/>
          <w:szCs w:val="22"/>
        </w:rPr>
        <w:t xml:space="preserve">Simulated IC50 values are cross-referenced against experimental binding affinities in BindingDB and ChEMBL. Where experimental data exists for the same compound-target pair, the platform displays both predicted and measured values with a deviation metric.</w:t>
      </w:r>
    </w:p>
    <w:p>
      <w:pPr>
        <w:pStyle w:val="ListParagraph"/>
        <w:numPr>
          <w:ilvl w:val="0"/>
          <w:numId w:val="2"/>
        </w:numPr>
        <w:spacing w:after="80"/>
      </w:pPr>
      <w:r>
        <w:rPr>
          <w:rFonts w:ascii="Arial" w:cs="Arial" w:eastAsia="Arial" w:hAnsi="Arial"/>
          <w:b/>
          <w:bCs/>
          <w:color w:val="1F2937"/>
          <w:sz w:val="22"/>
          <w:szCs w:val="22"/>
        </w:rPr>
        <w:t xml:space="preserve">ADMET reference calibration: </w:t>
      </w:r>
      <w:r>
        <w:rPr>
          <w:rFonts w:ascii="Arial" w:cs="Arial" w:eastAsia="Arial" w:hAnsi="Arial"/>
          <w:color w:val="1F2937"/>
          <w:sz w:val="22"/>
          <w:szCs w:val="22"/>
        </w:rPr>
        <w:t xml:space="preserve">Predicted ADMET scores are calibrated against published ADMET profiles for known drugs in the same therapeutic class. The 5-axis radar chart is labeled “Computational” precisely because HAIOps mandates distinguishing computational estimates from experimental data.</w:t>
      </w:r>
    </w:p>
    <w:p>
      <w:pPr>
        <w:pStyle w:val="ListParagraph"/>
        <w:numPr>
          <w:ilvl w:val="0"/>
          <w:numId w:val="2"/>
        </w:numPr>
        <w:spacing w:after="80"/>
      </w:pPr>
      <w:r>
        <w:rPr>
          <w:rFonts w:ascii="Arial" w:cs="Arial" w:eastAsia="Arial" w:hAnsi="Arial"/>
          <w:b/>
          <w:bCs/>
          <w:color w:val="1F2937"/>
          <w:sz w:val="22"/>
          <w:szCs w:val="22"/>
        </w:rPr>
        <w:t xml:space="preserve">Structural alert validation: </w:t>
      </w:r>
      <w:r>
        <w:rPr>
          <w:rFonts w:ascii="Arial" w:cs="Arial" w:eastAsia="Arial" w:hAnsi="Arial"/>
          <w:color w:val="1F2937"/>
          <w:sz w:val="22"/>
          <w:szCs w:val="22"/>
        </w:rPr>
        <w:t xml:space="preserve">The 10 AOP-based structural alerts are validated against OECD adverse outcome pathway data, FDA drug withdrawal records, and published bioactivation literature. Each alert includes a clinical relevance note citing real-world drug examples.</w:t>
      </w:r>
    </w:p>
    <w:p>
      <w:pPr>
        <w:spacing w:after="100"/>
      </w:pPr>
    </w:p>
    <w:p>
      <w:pPr>
        <w:spacing w:after="140"/>
      </w:pPr>
      <w:r>
        <w:rPr>
          <w:rFonts w:ascii="Arial" w:cs="Arial" w:eastAsia="Arial" w:hAnsi="Arial"/>
          <w:b/>
          <w:bCs/>
          <w:color w:val="1F2937"/>
          <w:sz w:val="22"/>
          <w:szCs w:val="22"/>
        </w:rPr>
        <w:t xml:space="preserve">Regulatory Audit Trail: </w:t>
      </w:r>
    </w:p>
    <w:p>
      <w:pPr>
        <w:pStyle w:val="ListParagraph"/>
        <w:numPr>
          <w:ilvl w:val="0"/>
          <w:numId w:val="3"/>
        </w:numPr>
        <w:spacing w:after="80"/>
      </w:pPr>
      <w:r>
        <w:rPr>
          <w:rFonts w:ascii="Arial" w:cs="Arial" w:eastAsia="Arial" w:hAnsi="Arial"/>
          <w:color w:val="1F2937"/>
          <w:sz w:val="22"/>
          <w:szCs w:val="22"/>
        </w:rPr>
        <w:t xml:space="preserve">Every simulation stores: SMILES input, RDKit.js version, simulation engine version (inVitroSim.ts hash), database query timestamps (BindingDB, STRING, KEGG, Reactome, Open Targets), all parameter values, and the full output payload.</w:t>
      </w:r>
    </w:p>
    <w:p>
      <w:pPr>
        <w:pStyle w:val="ListParagraph"/>
        <w:numPr>
          <w:ilvl w:val="0"/>
          <w:numId w:val="3"/>
        </w:numPr>
        <w:spacing w:after="80"/>
      </w:pPr>
      <w:r>
        <w:rPr>
          <w:rFonts w:ascii="Arial" w:cs="Arial" w:eastAsia="Arial" w:hAnsi="Arial"/>
          <w:color w:val="1F2937"/>
          <w:sz w:val="22"/>
          <w:szCs w:val="22"/>
        </w:rPr>
        <w:t xml:space="preserve">GO/NO-GO verdicts include a rationale trace—which metrics drove the decision and at what thresholds.</w:t>
      </w:r>
    </w:p>
    <w:p>
      <w:pPr>
        <w:pStyle w:val="ListParagraph"/>
        <w:numPr>
          <w:ilvl w:val="0"/>
          <w:numId w:val="3"/>
        </w:numPr>
        <w:spacing w:after="80"/>
      </w:pPr>
      <w:r>
        <w:rPr>
          <w:rFonts w:ascii="Arial" w:cs="Arial" w:eastAsia="Arial" w:hAnsi="Arial"/>
          <w:color w:val="1F2937"/>
          <w:sz w:val="22"/>
          <w:szCs w:val="22"/>
        </w:rPr>
        <w:t xml:space="preserve">Export to JSON preserves the complete audit chain; PDF reports include a metadata footer with provenance.</w:t>
      </w:r>
    </w:p>
    <w:p>
      <w:pPr>
        <w:spacing w:after="100"/>
      </w:pPr>
    </w:p>
    <w:p>
      <w:pPr>
        <w:spacing w:after="140"/>
      </w:pPr>
      <w:r>
        <w:rPr>
          <w:rFonts w:ascii="Arial" w:cs="Arial" w:eastAsia="Arial" w:hAnsi="Arial"/>
          <w:b/>
          <w:bCs/>
          <w:color w:val="1F2937"/>
          <w:sz w:val="22"/>
          <w:szCs w:val="22"/>
        </w:rPr>
        <w:t xml:space="preserve">Patient Safety Surveillance: </w:t>
      </w:r>
    </w:p>
    <w:p>
      <w:pPr>
        <w:pStyle w:val="ListParagraph"/>
        <w:numPr>
          <w:ilvl w:val="0"/>
          <w:numId w:val="4"/>
        </w:numPr>
        <w:spacing w:after="80"/>
      </w:pPr>
      <w:r>
        <w:rPr>
          <w:rFonts w:ascii="Arial" w:cs="Arial" w:eastAsia="Arial" w:hAnsi="Arial"/>
          <w:color w:val="1F2937"/>
          <w:sz w:val="22"/>
          <w:szCs w:val="22"/>
        </w:rPr>
        <w:t xml:space="preserve">hERG IC50 below 10 µM triggers a mandatory cardiac safety flag that persists through all downstream layers.</w:t>
      </w:r>
    </w:p>
    <w:p>
      <w:pPr>
        <w:pStyle w:val="ListParagraph"/>
        <w:numPr>
          <w:ilvl w:val="0"/>
          <w:numId w:val="4"/>
        </w:numPr>
        <w:spacing w:after="80"/>
      </w:pPr>
      <w:r>
        <w:rPr>
          <w:rFonts w:ascii="Arial" w:cs="Arial" w:eastAsia="Arial" w:hAnsi="Arial"/>
          <w:color w:val="1F2937"/>
          <w:sz w:val="22"/>
          <w:szCs w:val="22"/>
        </w:rPr>
        <w:t xml:space="preserve">Any structural alert with a confidence score above 70% generates a “Review Required” annotation on the GO/NO-GO card.</w:t>
      </w:r>
    </w:p>
    <w:p>
      <w:pPr>
        <w:pStyle w:val="ListParagraph"/>
        <w:numPr>
          <w:ilvl w:val="0"/>
          <w:numId w:val="4"/>
        </w:numPr>
        <w:spacing w:after="80"/>
      </w:pPr>
      <w:r>
        <w:rPr>
          <w:rFonts w:ascii="Arial" w:cs="Arial" w:eastAsia="Arial" w:hAnsi="Arial"/>
          <w:color w:val="1F2937"/>
          <w:sz w:val="22"/>
          <w:szCs w:val="22"/>
        </w:rPr>
        <w:t xml:space="preserve">CYP inhibition flags (IC50 &lt; 5 µM for any major CYP enzyme) carry forward as DDI risk warnings into Layer 2 dosing calculations.</w:t>
      </w:r>
    </w:p>
    <w:p>
      <w:pPr>
        <w:spacing w:after="100"/>
      </w:pPr>
    </w:p>
    <w:p>
      <w:pPr>
        <w:pStyle w:val="Heading3"/>
      </w:pPr>
      <w:r>
        <w:rPr>
          <w:b/>
          <w:bCs/>
        </w:rPr>
        <w:t xml:space="preserve">2.2.2 Layer 2 — Animal Cohort Digital Twin</w:t>
      </w:r>
    </w:p>
    <w:p>
      <w:pPr>
        <w:spacing w:after="140"/>
      </w:pPr>
      <w:r>
        <w:rPr>
          <w:rFonts w:ascii="Arial" w:cs="Arial" w:eastAsia="Arial" w:hAnsi="Arial"/>
          <w:b/>
          <w:bCs/>
          <w:color w:val="D97706"/>
          <w:sz w:val="22"/>
          <w:szCs w:val="22"/>
        </w:rPr>
        <w:t xml:space="preserve">AMBER</w:t>
      </w:r>
      <w:r>
        <w:rPr>
          <w:rFonts w:ascii="Arial" w:cs="Arial" w:eastAsia="Arial" w:hAnsi="Arial"/>
          <w:color w:val="1F2937"/>
          <w:sz w:val="22"/>
          <w:szCs w:val="22"/>
        </w:rPr>
        <w:t xml:space="preserve"> | Preclinical PBPK &amp; Human Dose Projection</w:t>
      </w:r>
    </w:p>
    <w:p>
      <w:pPr>
        <w:spacing w:after="140"/>
      </w:pPr>
      <w:r>
        <w:rPr>
          <w:rFonts w:ascii="Arial" w:cs="Arial" w:eastAsia="Arial" w:hAnsi="Arial"/>
          <w:color w:val="1F2937"/>
          <w:sz w:val="22"/>
          <w:szCs w:val="22"/>
        </w:rPr>
        <w:t xml:space="preserve">Layer 2 is where HAIOps governance becomes most critical—the output is a proposed first-in-human dose. Every element of this projection must be defensible, traceable, and conservative.</w:t>
      </w:r>
    </w:p>
    <w:p>
      <w:pPr>
        <w:spacing w:after="100"/>
      </w:pPr>
    </w:p>
    <w:p>
      <w:pPr>
        <w:spacing w:after="140"/>
      </w:pPr>
      <w:r>
        <w:rPr>
          <w:rFonts w:ascii="Arial" w:cs="Arial" w:eastAsia="Arial" w:hAnsi="Arial"/>
          <w:b/>
          <w:bCs/>
          <w:color w:val="1F2937"/>
          <w:sz w:val="22"/>
          <w:szCs w:val="22"/>
        </w:rPr>
        <w:t xml:space="preserve">Clinical Validation: </w:t>
      </w:r>
    </w:p>
    <w:p>
      <w:pPr>
        <w:pStyle w:val="ListParagraph"/>
        <w:numPr>
          <w:ilvl w:val="0"/>
          <w:numId w:val="5"/>
        </w:numPr>
        <w:spacing w:after="80"/>
      </w:pPr>
      <w:r>
        <w:rPr>
          <w:rFonts w:ascii="Arial" w:cs="Arial" w:eastAsia="Arial" w:hAnsi="Arial"/>
          <w:b/>
          <w:bCs/>
          <w:color w:val="1F2937"/>
          <w:sz w:val="22"/>
          <w:szCs w:val="22"/>
        </w:rPr>
        <w:t xml:space="preserve">Allometric scaling verification: </w:t>
      </w:r>
      <w:r>
        <w:rPr>
          <w:rFonts w:ascii="Arial" w:cs="Arial" w:eastAsia="Arial" w:hAnsi="Arial"/>
          <w:color w:val="1F2937"/>
          <w:sz w:val="22"/>
          <w:szCs w:val="22"/>
        </w:rPr>
        <w:t xml:space="preserve">Both HED methods (BSA/Km and PBPK-refined) are calculated independently. If they diverge by more than 2×, the platform flags the discrepancy and defaults to the more conservative estimate. The species justification AI narrative explains which scaling method is more appropriate for the molecule’s pharmacokinetic profile.</w:t>
      </w:r>
    </w:p>
    <w:p>
      <w:pPr>
        <w:pStyle w:val="ListParagraph"/>
        <w:numPr>
          <w:ilvl w:val="0"/>
          <w:numId w:val="5"/>
        </w:numPr>
        <w:spacing w:after="80"/>
      </w:pPr>
      <w:r>
        <w:rPr>
          <w:rFonts w:ascii="Arial" w:cs="Arial" w:eastAsia="Arial" w:hAnsi="Arial"/>
          <w:b/>
          <w:bCs/>
          <w:color w:val="1F2937"/>
          <w:sz w:val="22"/>
          <w:szCs w:val="22"/>
        </w:rPr>
        <w:t xml:space="preserve">NOAEL/MTD calibration: </w:t>
      </w:r>
      <w:r>
        <w:rPr>
          <w:rFonts w:ascii="Arial" w:cs="Arial" w:eastAsia="Arial" w:hAnsi="Arial"/>
          <w:color w:val="1F2937"/>
          <w:sz w:val="22"/>
          <w:szCs w:val="22"/>
        </w:rPr>
        <w:t xml:space="preserve">Predicted values are compared against ToxRefDB reference ranges for the same species-route combination. Outliers trigger confidence downgrades.</w:t>
      </w:r>
    </w:p>
    <w:p>
      <w:pPr>
        <w:pStyle w:val="ListParagraph"/>
        <w:numPr>
          <w:ilvl w:val="0"/>
          <w:numId w:val="5"/>
        </w:numPr>
        <w:spacing w:after="80"/>
      </w:pPr>
      <w:r>
        <w:rPr>
          <w:rFonts w:ascii="Arial" w:cs="Arial" w:eastAsia="Arial" w:hAnsi="Arial"/>
          <w:b/>
          <w:bCs/>
          <w:color w:val="1F2937"/>
          <w:sz w:val="22"/>
          <w:szCs w:val="22"/>
        </w:rPr>
        <w:t xml:space="preserve">Cross-species consistency: </w:t>
      </w:r>
      <w:r>
        <w:rPr>
          <w:rFonts w:ascii="Arial" w:cs="Arial" w:eastAsia="Arial" w:hAnsi="Arial"/>
          <w:color w:val="1F2937"/>
          <w:sz w:val="22"/>
          <w:szCs w:val="22"/>
        </w:rPr>
        <w:t xml:space="preserve">If the user has run simulations across multiple species, the platform checks for consistency in rank-order sensitivity. Inconsistent species sensitivity patterns are flagged for review.</w:t>
      </w:r>
    </w:p>
    <w:p>
      <w:pPr>
        <w:spacing w:after="100"/>
      </w:pPr>
    </w:p>
    <w:p>
      <w:pPr>
        <w:spacing w:after="140"/>
      </w:pPr>
      <w:r>
        <w:rPr>
          <w:rFonts w:ascii="Arial" w:cs="Arial" w:eastAsia="Arial" w:hAnsi="Arial"/>
          <w:b/>
          <w:bCs/>
          <w:color w:val="1F2937"/>
          <w:sz w:val="22"/>
          <w:szCs w:val="22"/>
        </w:rPr>
        <w:t xml:space="preserve">Regulatory Audit Trail: </w:t>
      </w:r>
    </w:p>
    <w:p>
      <w:pPr>
        <w:pStyle w:val="ListParagraph"/>
        <w:numPr>
          <w:ilvl w:val="0"/>
          <w:numId w:val="6"/>
        </w:numPr>
        <w:spacing w:after="80"/>
      </w:pPr>
      <w:r>
        <w:rPr>
          <w:rFonts w:ascii="Arial" w:cs="Arial" w:eastAsia="Arial" w:hAnsi="Arial"/>
          <w:color w:val="1F2937"/>
          <w:sz w:val="22"/>
          <w:szCs w:val="22"/>
        </w:rPr>
        <w:t xml:space="preserve">The IND-Enabling Regulatory Checklist maps each study element to specific ICH guidelines (M3(R2), S4A, S2(R1), S3A, S7A/S7B, S6(R1)) with pass/warn status.</w:t>
      </w:r>
    </w:p>
    <w:p>
      <w:pPr>
        <w:pStyle w:val="ListParagraph"/>
        <w:numPr>
          <w:ilvl w:val="0"/>
          <w:numId w:val="6"/>
        </w:numPr>
        <w:spacing w:after="80"/>
      </w:pPr>
      <w:r>
        <w:rPr>
          <w:rFonts w:ascii="Arial" w:cs="Arial" w:eastAsia="Arial" w:hAnsi="Arial"/>
          <w:color w:val="1F2937"/>
          <w:sz w:val="22"/>
          <w:szCs w:val="22"/>
        </w:rPr>
        <w:t xml:space="preserve">FIH dose calculation stores all intermediate values: animal clearance, bioavailability estimate, protein binding correction, allometric exponents, and safety factor applied.</w:t>
      </w:r>
    </w:p>
    <w:p>
      <w:pPr>
        <w:pStyle w:val="ListParagraph"/>
        <w:numPr>
          <w:ilvl w:val="0"/>
          <w:numId w:val="6"/>
        </w:numPr>
        <w:spacing w:after="80"/>
      </w:pPr>
      <w:r>
        <w:rPr>
          <w:rFonts w:ascii="Arial" w:cs="Arial" w:eastAsia="Arial" w:hAnsi="Arial"/>
          <w:color w:val="1F2937"/>
          <w:sz w:val="22"/>
          <w:szCs w:val="22"/>
        </w:rPr>
        <w:t xml:space="preserve">Every toxicity prediction links to the structural or pharmacological basis that generated it, creating an evidence chain from molecular property to organ-level risk.</w:t>
      </w:r>
    </w:p>
    <w:p>
      <w:pPr>
        <w:spacing w:after="100"/>
      </w:pPr>
    </w:p>
    <w:p>
      <w:pPr>
        <w:spacing w:after="140"/>
      </w:pPr>
      <w:r>
        <w:rPr>
          <w:rFonts w:ascii="Arial" w:cs="Arial" w:eastAsia="Arial" w:hAnsi="Arial"/>
          <w:b/>
          <w:bCs/>
          <w:color w:val="1F2937"/>
          <w:sz w:val="22"/>
          <w:szCs w:val="22"/>
        </w:rPr>
        <w:t xml:space="preserve">Patient Safety Surveillance: </w:t>
      </w:r>
    </w:p>
    <w:p>
      <w:pPr>
        <w:pStyle w:val="ListParagraph"/>
        <w:numPr>
          <w:ilvl w:val="0"/>
          <w:numId w:val="7"/>
        </w:numPr>
        <w:spacing w:after="80"/>
      </w:pPr>
      <w:r>
        <w:rPr>
          <w:rFonts w:ascii="Arial" w:cs="Arial" w:eastAsia="Arial" w:hAnsi="Arial"/>
          <w:color w:val="1F2937"/>
          <w:sz w:val="22"/>
          <w:szCs w:val="22"/>
        </w:rPr>
        <w:t xml:space="preserve">The proposed FIH dose is always calculated as 1/10th of the conservative HED—HAIOps enforces this safety factor as a floor, not a suggestion.</w:t>
      </w:r>
    </w:p>
    <w:p>
      <w:pPr>
        <w:pStyle w:val="ListParagraph"/>
        <w:numPr>
          <w:ilvl w:val="0"/>
          <w:numId w:val="7"/>
        </w:numPr>
        <w:spacing w:after="80"/>
      </w:pPr>
      <w:r>
        <w:rPr>
          <w:rFonts w:ascii="Arial" w:cs="Arial" w:eastAsia="Arial" w:hAnsi="Arial"/>
          <w:color w:val="1F2937"/>
          <w:sz w:val="22"/>
          <w:szCs w:val="22"/>
        </w:rPr>
        <w:t xml:space="preserve">Safety margins below 3× (Narrow classification) trigger a mandatory warning that persists into Layer 3 and Layer 4.</w:t>
      </w:r>
    </w:p>
    <w:p>
      <w:pPr>
        <w:pStyle w:val="ListParagraph"/>
        <w:numPr>
          <w:ilvl w:val="0"/>
          <w:numId w:val="7"/>
        </w:numPr>
        <w:spacing w:after="80"/>
      </w:pPr>
      <w:r>
        <w:rPr>
          <w:rFonts w:ascii="Arial" w:cs="Arial" w:eastAsia="Arial" w:hAnsi="Arial"/>
          <w:color w:val="1F2937"/>
          <w:sz w:val="22"/>
          <w:szCs w:val="22"/>
        </w:rPr>
        <w:t xml:space="preserve">Cardiovascular, hepatic, and genotoxicity signals from the toxicity prediction panel carry forward as hard constraints on dose escalation in Layer 3.</w:t>
      </w:r>
    </w:p>
    <w:p>
      <w:pPr>
        <w:spacing w:after="100"/>
      </w:pPr>
    </w:p>
    <w:p>
      <w:pPr>
        <w:pStyle w:val="Heading3"/>
      </w:pPr>
      <w:r>
        <w:rPr>
          <w:b/>
          <w:bCs/>
        </w:rPr>
        <w:t xml:space="preserve">2.2.3 Layer 3 — Patient Cohort Digital Twin</w:t>
      </w:r>
    </w:p>
    <w:p>
      <w:pPr>
        <w:spacing w:after="140"/>
      </w:pPr>
      <w:r>
        <w:rPr>
          <w:rFonts w:ascii="Arial" w:cs="Arial" w:eastAsia="Arial" w:hAnsi="Arial"/>
          <w:b/>
          <w:bCs/>
          <w:color w:val="2563EB"/>
          <w:sz w:val="22"/>
          <w:szCs w:val="22"/>
        </w:rPr>
        <w:t xml:space="preserve">BLUE</w:t>
      </w:r>
      <w:r>
        <w:rPr>
          <w:rFonts w:ascii="Arial" w:cs="Arial" w:eastAsia="Arial" w:hAnsi="Arial"/>
          <w:color w:val="1F2937"/>
          <w:sz w:val="22"/>
          <w:szCs w:val="22"/>
        </w:rPr>
        <w:t xml:space="preserve"> | Virtual Patient Population Simulation</w:t>
      </w:r>
    </w:p>
    <w:p>
      <w:pPr>
        <w:spacing w:after="140"/>
      </w:pPr>
      <w:r>
        <w:rPr>
          <w:rFonts w:ascii="Arial" w:cs="Arial" w:eastAsia="Arial" w:hAnsi="Arial"/>
          <w:color w:val="1F2937"/>
          <w:sz w:val="22"/>
          <w:szCs w:val="22"/>
        </w:rPr>
        <w:t xml:space="preserve">Layer 3 introduces patient data into the simulation—even though virtual, the HAIOps framework treats population modeling with the same rigor applied to real clinical data, because the outputs directly inform trial design decisions affecting real patients.</w:t>
      </w:r>
    </w:p>
    <w:p>
      <w:pPr>
        <w:spacing w:after="100"/>
      </w:pPr>
    </w:p>
    <w:p>
      <w:pPr>
        <w:spacing w:after="140"/>
      </w:pPr>
      <w:r>
        <w:rPr>
          <w:rFonts w:ascii="Arial" w:cs="Arial" w:eastAsia="Arial" w:hAnsi="Arial"/>
          <w:b/>
          <w:bCs/>
          <w:color w:val="1F2937"/>
          <w:sz w:val="22"/>
          <w:szCs w:val="22"/>
        </w:rPr>
        <w:t xml:space="preserve">Clinical Validation: </w:t>
      </w:r>
    </w:p>
    <w:p>
      <w:pPr>
        <w:pStyle w:val="ListParagraph"/>
        <w:numPr>
          <w:ilvl w:val="0"/>
          <w:numId w:val="8"/>
        </w:numPr>
        <w:spacing w:after="80"/>
      </w:pPr>
      <w:r>
        <w:rPr>
          <w:rFonts w:ascii="Arial" w:cs="Arial" w:eastAsia="Arial" w:hAnsi="Arial"/>
          <w:b/>
          <w:bCs/>
          <w:color w:val="1F2937"/>
          <w:sz w:val="22"/>
          <w:szCs w:val="22"/>
        </w:rPr>
        <w:t xml:space="preserve">Population parameter sourcing: </w:t>
      </w:r>
      <w:r>
        <w:rPr>
          <w:rFonts w:ascii="Arial" w:cs="Arial" w:eastAsia="Arial" w:hAnsi="Arial"/>
          <w:color w:val="1F2937"/>
          <w:sz w:val="22"/>
          <w:szCs w:val="22"/>
        </w:rPr>
        <w:t xml:space="preserve">All demographic distributions (age, BMI, eGFR, organ function) are derived from NHANES survey data with explicit version and year citations. The platform does not use synthetic population parameters without provenance.</w:t>
      </w:r>
    </w:p>
    <w:p>
      <w:pPr>
        <w:pStyle w:val="ListParagraph"/>
        <w:numPr>
          <w:ilvl w:val="0"/>
          <w:numId w:val="8"/>
        </w:numPr>
        <w:spacing w:after="80"/>
      </w:pPr>
      <w:r>
        <w:rPr>
          <w:rFonts w:ascii="Arial" w:cs="Arial" w:eastAsia="Arial" w:hAnsi="Arial"/>
          <w:b/>
          <w:bCs/>
          <w:color w:val="1F2937"/>
          <w:sz w:val="22"/>
          <w:szCs w:val="22"/>
        </w:rPr>
        <w:t xml:space="preserve">AE enrichment from real-world data: </w:t>
      </w:r>
      <w:r>
        <w:rPr>
          <w:rFonts w:ascii="Arial" w:cs="Arial" w:eastAsia="Arial" w:hAnsi="Arial"/>
          <w:color w:val="1F2937"/>
          <w:sz w:val="22"/>
          <w:szCs w:val="22"/>
        </w:rPr>
        <w:t xml:space="preserve">Adverse event predictions are enriched in real-time from FAERS and SIDER. Each predicted AE includes the number of FAERS reports for structurally similar compounds, providing a quantitative basis for the prediction rather than a purely computational estimate.</w:t>
      </w:r>
    </w:p>
    <w:p>
      <w:pPr>
        <w:pStyle w:val="ListParagraph"/>
        <w:numPr>
          <w:ilvl w:val="0"/>
          <w:numId w:val="8"/>
        </w:numPr>
        <w:spacing w:after="80"/>
      </w:pPr>
      <w:r>
        <w:rPr>
          <w:rFonts w:ascii="Arial" w:cs="Arial" w:eastAsia="Arial" w:hAnsi="Arial"/>
          <w:b/>
          <w:bCs/>
          <w:color w:val="1F2937"/>
          <w:sz w:val="22"/>
          <w:szCs w:val="22"/>
        </w:rPr>
        <w:t xml:space="preserve">Responder analysis calibration: </w:t>
      </w:r>
      <w:r>
        <w:rPr>
          <w:rFonts w:ascii="Arial" w:cs="Arial" w:eastAsia="Arial" w:hAnsi="Arial"/>
          <w:color w:val="1F2937"/>
          <w:sz w:val="22"/>
          <w:szCs w:val="22"/>
        </w:rPr>
        <w:t xml:space="preserve">Response rates are benchmarked against published trial results for the same indication and drug class from ClinicalTrials.gov and ChEMBL pharmacodynamic data.</w:t>
      </w:r>
    </w:p>
    <w:p>
      <w:pPr>
        <w:spacing w:after="100"/>
      </w:pPr>
    </w:p>
    <w:p>
      <w:pPr>
        <w:spacing w:after="140"/>
      </w:pPr>
      <w:r>
        <w:rPr>
          <w:rFonts w:ascii="Arial" w:cs="Arial" w:eastAsia="Arial" w:hAnsi="Arial"/>
          <w:b/>
          <w:bCs/>
          <w:color w:val="1F2937"/>
          <w:sz w:val="22"/>
          <w:szCs w:val="22"/>
        </w:rPr>
        <w:t xml:space="preserve">Patient Safety Surveillance: </w:t>
      </w:r>
    </w:p>
    <w:p>
      <w:pPr>
        <w:pStyle w:val="ListParagraph"/>
        <w:numPr>
          <w:ilvl w:val="0"/>
          <w:numId w:val="9"/>
        </w:numPr>
        <w:spacing w:after="80"/>
      </w:pPr>
      <w:r>
        <w:rPr>
          <w:rFonts w:ascii="Arial" w:cs="Arial" w:eastAsia="Arial" w:hAnsi="Arial"/>
          <w:color w:val="1F2937"/>
          <w:sz w:val="22"/>
          <w:szCs w:val="22"/>
        </w:rPr>
        <w:t xml:space="preserve">Grade ≥3 AE predictions above 15% incidence generate a mandatory safety review annotation.</w:t>
      </w:r>
    </w:p>
    <w:p>
      <w:pPr>
        <w:pStyle w:val="ListParagraph"/>
        <w:numPr>
          <w:ilvl w:val="0"/>
          <w:numId w:val="9"/>
        </w:numPr>
        <w:spacing w:after="80"/>
      </w:pPr>
      <w:r>
        <w:rPr>
          <w:rFonts w:ascii="Arial" w:cs="Arial" w:eastAsia="Arial" w:hAnsi="Arial"/>
          <w:color w:val="1F2937"/>
          <w:sz w:val="22"/>
          <w:szCs w:val="22"/>
        </w:rPr>
        <w:t xml:space="preserve">Subgroup analysis flags any population where the AE rate exceeds 2× the overall cohort rate—this informs inclusion/exclusion criteria generation for Layer 4.</w:t>
      </w:r>
    </w:p>
    <w:p>
      <w:pPr>
        <w:pStyle w:val="ListParagraph"/>
        <w:numPr>
          <w:ilvl w:val="0"/>
          <w:numId w:val="9"/>
        </w:numPr>
        <w:spacing w:after="80"/>
      </w:pPr>
      <w:r>
        <w:rPr>
          <w:rFonts w:ascii="Arial" w:cs="Arial" w:eastAsia="Arial" w:hAnsi="Arial"/>
          <w:color w:val="1F2937"/>
          <w:sz w:val="22"/>
          <w:szCs w:val="22"/>
        </w:rPr>
        <w:t xml:space="preserve">Dose-response analysis enforces that the RP2D must fall below the simulated MTD with a defined margin, not at or above it.</w:t>
      </w:r>
    </w:p>
    <w:p>
      <w:pPr>
        <w:spacing w:after="100"/>
      </w:pPr>
    </w:p>
    <w:p>
      <w:pPr>
        <w:pStyle w:val="Heading3"/>
      </w:pPr>
      <w:r>
        <w:rPr>
          <w:b/>
          <w:bCs/>
        </w:rPr>
        <w:t xml:space="preserve">2.2.4 Layer 4 — Trial Digital Twin</w:t>
      </w:r>
    </w:p>
    <w:p>
      <w:pPr>
        <w:spacing w:after="140"/>
      </w:pPr>
      <w:r>
        <w:rPr>
          <w:rFonts w:ascii="Arial" w:cs="Arial" w:eastAsia="Arial" w:hAnsi="Arial"/>
          <w:b/>
          <w:bCs/>
          <w:color w:val="059669"/>
          <w:sz w:val="22"/>
          <w:szCs w:val="22"/>
        </w:rPr>
        <w:t xml:space="preserve">EMERALD</w:t>
      </w:r>
      <w:r>
        <w:rPr>
          <w:rFonts w:ascii="Arial" w:cs="Arial" w:eastAsia="Arial" w:hAnsi="Arial"/>
          <w:color w:val="1F2937"/>
          <w:sz w:val="22"/>
          <w:szCs w:val="22"/>
        </w:rPr>
        <w:t xml:space="preserve"> | Monte Carlo Trial Simulation &amp; Design</w:t>
      </w:r>
    </w:p>
    <w:p>
      <w:pPr>
        <w:spacing w:after="140"/>
      </w:pPr>
      <w:r>
        <w:rPr>
          <w:rFonts w:ascii="Arial" w:cs="Arial" w:eastAsia="Arial" w:hAnsi="Arial"/>
          <w:color w:val="1F2937"/>
          <w:sz w:val="22"/>
          <w:szCs w:val="22"/>
        </w:rPr>
        <w:t xml:space="preserve">Layer 4 produces the final go/no-go recommendation. HAIOps ensures this recommendation carries the full weight of upstream evidence and appropriate uncertainty quantification.</w:t>
      </w:r>
    </w:p>
    <w:p>
      <w:pPr>
        <w:spacing w:after="100"/>
      </w:pPr>
    </w:p>
    <w:p>
      <w:pPr>
        <w:spacing w:after="140"/>
      </w:pPr>
      <w:r>
        <w:rPr>
          <w:rFonts w:ascii="Arial" w:cs="Arial" w:eastAsia="Arial" w:hAnsi="Arial"/>
          <w:b/>
          <w:bCs/>
          <w:color w:val="1F2937"/>
          <w:sz w:val="22"/>
          <w:szCs w:val="22"/>
        </w:rPr>
        <w:t xml:space="preserve">Clinical Validation: </w:t>
      </w:r>
    </w:p>
    <w:p>
      <w:pPr>
        <w:pStyle w:val="ListParagraph"/>
        <w:numPr>
          <w:ilvl w:val="0"/>
          <w:numId w:val="10"/>
        </w:numPr>
        <w:spacing w:after="80"/>
      </w:pPr>
      <w:r>
        <w:rPr>
          <w:rFonts w:ascii="Arial" w:cs="Arial" w:eastAsia="Arial" w:hAnsi="Arial"/>
          <w:b/>
          <w:bCs/>
          <w:color w:val="1F2937"/>
          <w:sz w:val="22"/>
          <w:szCs w:val="22"/>
        </w:rPr>
        <w:t xml:space="preserve">Competitive landscape verification: </w:t>
      </w:r>
      <w:r>
        <w:rPr>
          <w:rFonts w:ascii="Arial" w:cs="Arial" w:eastAsia="Arial" w:hAnsi="Arial"/>
          <w:color w:val="1F2937"/>
          <w:sz w:val="22"/>
          <w:szCs w:val="22"/>
        </w:rPr>
        <w:t xml:space="preserve">Success probability is contextualized against real active and completed trials for the same indication from ClinicalTrials.gov. The platform shows where the simulated trial sits relative to historical success rates for the phase and therapeutic area.</w:t>
      </w:r>
    </w:p>
    <w:p>
      <w:pPr>
        <w:pStyle w:val="ListParagraph"/>
        <w:numPr>
          <w:ilvl w:val="0"/>
          <w:numId w:val="10"/>
        </w:numPr>
        <w:spacing w:after="80"/>
      </w:pPr>
      <w:r>
        <w:rPr>
          <w:rFonts w:ascii="Arial" w:cs="Arial" w:eastAsia="Arial" w:hAnsi="Arial"/>
          <w:b/>
          <w:bCs/>
          <w:color w:val="1F2937"/>
          <w:sz w:val="22"/>
          <w:szCs w:val="22"/>
        </w:rPr>
        <w:t xml:space="preserve">Regulatory precedent checking: </w:t>
      </w:r>
      <w:r>
        <w:rPr>
          <w:rFonts w:ascii="Arial" w:cs="Arial" w:eastAsia="Arial" w:hAnsi="Arial"/>
          <w:color w:val="1F2937"/>
          <w:sz w:val="22"/>
          <w:szCs w:val="22"/>
        </w:rPr>
        <w:t xml:space="preserve">Designation eligibility assessments (Breakthrough, Fast Track, Accelerated Approval, Orphan Drug) are informed by Drugs@FDA approved precedents with specific NDA/BLA reference numbers, not general heuristics.</w:t>
      </w:r>
    </w:p>
    <w:p>
      <w:pPr>
        <w:pStyle w:val="ListParagraph"/>
        <w:numPr>
          <w:ilvl w:val="0"/>
          <w:numId w:val="10"/>
        </w:numPr>
        <w:spacing w:after="80"/>
      </w:pPr>
      <w:r>
        <w:rPr>
          <w:rFonts w:ascii="Arial" w:cs="Arial" w:eastAsia="Arial" w:hAnsi="Arial"/>
          <w:b/>
          <w:bCs/>
          <w:color w:val="1F2937"/>
          <w:sz w:val="22"/>
          <w:szCs w:val="22"/>
        </w:rPr>
        <w:t xml:space="preserve">Enrollment feasibility grounding: </w:t>
      </w:r>
      <w:r>
        <w:rPr>
          <w:rFonts w:ascii="Arial" w:cs="Arial" w:eastAsia="Arial" w:hAnsi="Arial"/>
          <w:color w:val="1F2937"/>
          <w:sz w:val="22"/>
          <w:szCs w:val="22"/>
        </w:rPr>
        <w:t xml:space="preserve">Site rankings and enrollment projections draw on historical ClinicalTrials.gov enrollment data for comparable trials, not theoretical estimates.</w:t>
      </w:r>
    </w:p>
    <w:p>
      <w:pPr>
        <w:spacing w:after="100"/>
      </w:pPr>
    </w:p>
    <w:p>
      <w:pPr>
        <w:spacing w:after="140"/>
      </w:pPr>
      <w:r>
        <w:rPr>
          <w:rFonts w:ascii="Arial" w:cs="Arial" w:eastAsia="Arial" w:hAnsi="Arial"/>
          <w:b/>
          <w:bCs/>
          <w:color w:val="1F2937"/>
          <w:sz w:val="22"/>
          <w:szCs w:val="22"/>
        </w:rPr>
        <w:t xml:space="preserve">Regulatory Audit Trail: </w:t>
      </w:r>
    </w:p>
    <w:p>
      <w:pPr>
        <w:pStyle w:val="ListParagraph"/>
        <w:numPr>
          <w:ilvl w:val="0"/>
          <w:numId w:val="11"/>
        </w:numPr>
        <w:spacing w:after="80"/>
      </w:pPr>
      <w:r>
        <w:rPr>
          <w:rFonts w:ascii="Arial" w:cs="Arial" w:eastAsia="Arial" w:hAnsi="Arial"/>
          <w:color w:val="1F2937"/>
          <w:sz w:val="22"/>
          <w:szCs w:val="22"/>
        </w:rPr>
        <w:t xml:space="preserve">The complete cascade chain is stored: Layer 1 GO verdict → Layer 2 FIH dose → Layer 3 responder rate → Layer 4 power calculation. Any change to an upstream parameter triggers re-evaluation of downstream outputs.</w:t>
      </w:r>
    </w:p>
    <w:p>
      <w:pPr>
        <w:pStyle w:val="ListParagraph"/>
        <w:numPr>
          <w:ilvl w:val="0"/>
          <w:numId w:val="11"/>
        </w:numPr>
        <w:spacing w:after="80"/>
      </w:pPr>
      <w:r>
        <w:rPr>
          <w:rFonts w:ascii="Arial" w:cs="Arial" w:eastAsia="Arial" w:hAnsi="Arial"/>
          <w:color w:val="1F2937"/>
          <w:sz w:val="22"/>
          <w:szCs w:val="22"/>
        </w:rPr>
        <w:t xml:space="preserve">Monte Carlo simulation parameters (number of repetitions, random seed, dropout model, alpha-spending function) are fully recorded for reproducibility.</w:t>
      </w:r>
    </w:p>
    <w:p>
      <w:pPr>
        <w:pStyle w:val="ListParagraph"/>
        <w:numPr>
          <w:ilvl w:val="0"/>
          <w:numId w:val="11"/>
        </w:numPr>
        <w:spacing w:after="80"/>
      </w:pPr>
      <w:r>
        <w:rPr>
          <w:rFonts w:ascii="Arial" w:cs="Arial" w:eastAsia="Arial" w:hAnsi="Arial"/>
          <w:color w:val="1F2937"/>
          <w:sz w:val="22"/>
          <w:szCs w:val="22"/>
        </w:rPr>
        <w:t xml:space="preserve">Cost estimates are traceable to per-unit rates with source annotations (per-patient cost, per-site cost, drug supply estimates).</w:t>
      </w:r>
    </w:p>
    <w:p>
      <w:pPr>
        <w:spacing w:after="100"/>
      </w:pPr>
    </w:p>
    <w:p>
      <w:pPr>
        <w:spacing w:after="140"/>
      </w:pPr>
      <w:r>
        <w:rPr>
          <w:rFonts w:ascii="Arial" w:cs="Arial" w:eastAsia="Arial" w:hAnsi="Arial"/>
          <w:b/>
          <w:bCs/>
          <w:color w:val="1F2937"/>
          <w:sz w:val="22"/>
          <w:szCs w:val="22"/>
        </w:rPr>
        <w:t xml:space="preserve">Confidence Scoring: </w:t>
      </w:r>
    </w:p>
    <w:p>
      <w:pPr>
        <w:pStyle w:val="ListParagraph"/>
        <w:numPr>
          <w:ilvl w:val="0"/>
          <w:numId w:val="12"/>
        </w:numPr>
        <w:spacing w:after="80"/>
      </w:pPr>
      <w:r>
        <w:rPr>
          <w:rFonts w:ascii="Arial" w:cs="Arial" w:eastAsia="Arial" w:hAnsi="Arial"/>
          <w:color w:val="1F2937"/>
          <w:sz w:val="22"/>
          <w:szCs w:val="22"/>
        </w:rPr>
        <w:t xml:space="preserve">Trial success probability includes a 95% confidence interval derived from the Monte Carlo distribution—the platform never presents a point estimate without uncertainty bounds.</w:t>
      </w:r>
    </w:p>
    <w:p>
      <w:pPr>
        <w:pStyle w:val="ListParagraph"/>
        <w:numPr>
          <w:ilvl w:val="0"/>
          <w:numId w:val="12"/>
        </w:numPr>
        <w:spacing w:after="80"/>
      </w:pPr>
      <w:r>
        <w:rPr>
          <w:rFonts w:ascii="Arial" w:cs="Arial" w:eastAsia="Arial" w:hAnsi="Arial"/>
          <w:color w:val="1F2937"/>
          <w:sz w:val="22"/>
          <w:szCs w:val="22"/>
        </w:rPr>
        <w:t xml:space="preserve">The power curve visualization shows the trade-off between sample size and statistical confidence, allowing sponsors to make informed decisions rather than accepting a single “optimal” recommendation.</w:t>
      </w:r>
    </w:p>
    <w:p>
      <w:pPr>
        <w:pStyle w:val="ListParagraph"/>
        <w:numPr>
          <w:ilvl w:val="0"/>
          <w:numId w:val="12"/>
        </w:numPr>
        <w:spacing w:after="80"/>
      </w:pPr>
      <w:r>
        <w:rPr>
          <w:rFonts w:ascii="Arial" w:cs="Arial" w:eastAsia="Arial" w:hAnsi="Arial"/>
          <w:color w:val="1F2937"/>
          <w:sz w:val="22"/>
          <w:szCs w:val="22"/>
        </w:rPr>
        <w:t xml:space="preserve">Risk factors are presented as a structured pass/warn checklist, not a single composite score, so that each risk dimension remains individually assessable.</w:t>
      </w:r>
    </w:p>
    <w:p>
      <w:r>
        <w:br w:type="page"/>
      </w:r>
    </w:p>
    <w:p>
      <w:pPr>
        <w:pStyle w:val="Heading1"/>
      </w:pPr>
      <w:r>
        <w:rPr>
          <w:b/>
          <w:bCs/>
        </w:rPr>
        <w:t xml:space="preserve">3. AI Model Governance Under HAIOps</w:t>
      </w:r>
    </w:p>
    <w:p>
      <w:pPr>
        <w:pStyle w:val="Heading2"/>
      </w:pPr>
      <w:r>
        <w:rPr>
          <w:b/>
          <w:bCs/>
        </w:rPr>
        <w:t xml:space="preserve">3.1 Model Inventory and Risk Classification</w:t>
      </w:r>
    </w:p>
    <w:p>
      <w:pPr>
        <w:spacing w:after="140"/>
      </w:pPr>
      <w:r>
        <w:rPr>
          <w:rFonts w:ascii="Arial" w:cs="Arial" w:eastAsia="Arial" w:hAnsi="Arial"/>
          <w:color w:val="1F2937"/>
          <w:sz w:val="22"/>
          <w:szCs w:val="22"/>
        </w:rPr>
        <w:t xml:space="preserve">The BioDigital Twin employs multiple specialized AI models. Under HAIOps, each model is classified by its impact on patient safety decisions and governed accordingly.</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4260"/>
      </w:tblGrid>
      <w:tr>
        <w:trPr>
          <w:tblHeader/>
        </w:trPr>
        <w:tc>
          <w:tcPr>
            <w:tcW w:type="dxa" w:w="14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8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9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Risk Class</w:t>
            </w:r>
          </w:p>
        </w:tc>
        <w:tc>
          <w:tcPr>
            <w:tcW w:type="dxa" w:w="42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Governance Requirements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RDKit.js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Molecular property computation (MW, LogP, TPSA, HBD, HBA)</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Foundational</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Version pinning, deterministic output verification, regression testing</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ESM-2 (650M)</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Protein structure prediction, binding affinity estimation</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validation against PDB experimental structures, pLDDT confidence thresholds, output calibration</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ChemBERTa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Molecular property prediction from SMILES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Calibration against ChEMBL experimental data, domain-specific validation sets, bias monitoring across chemical series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In Vitro Engine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IC50, permeability, clearance, hERG, selectivity simulation</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Critical</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Benchmark against published assay data, sensitivity analysis, edge-case stress testing, mandatory confidence scoring</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Bioactivation Engine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AOP-based structural alert detection, metabolic pathway prediction</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Critical</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Validation against OECD AOP-Wiki, FDA withdrawal database, expert toxicologist review of new alerts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ADMET Engine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5-axis pharmacokinetic scoring</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Moderate</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Labeled as directional/computational, calibrated against DrugBank ADMET reference values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Animal PBPK Engine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Allometric scaling, NOAEL/MTD, FIH dose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Critical</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Dual-method cross-validation (BSA vs. PBPK), conservative default enforcement, ToxRefDB benchmarking</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Cohort Simulation Engine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Virtual patient PK/PD, responder analysis</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Critical</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NHANES population parameter provenance, FAERS/SIDER real-world enrichment, subgroup safety analysis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Trial Simulation Engine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Monte Carlo trial design, power, cost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ClinicalTrials.gov competitive benchmarking, Drugs@FDA precedent validation, reproducibility via seed logging</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Claude Analysis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Narrative synthesis, GO/NO-GO rationale, report generation</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Moderate</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Constrained to synthesizing upstream computational outputs; cannot override safety flags; includes disclaimer language</w:t>
            </w:r>
          </w:p>
        </w:tc>
      </w:tr>
    </w:tbl>
    <w:p>
      <w:pPr>
        <w:spacing w:after="100"/>
      </w:pPr>
    </w:p>
    <w:p>
      <w:pPr>
        <w:pStyle w:val="Heading2"/>
      </w:pPr>
      <w:r>
        <w:rPr>
          <w:b/>
          <w:bCs/>
        </w:rPr>
        <w:t xml:space="preserve">3.2 Risk Classification Framework</w:t>
      </w:r>
    </w:p>
    <w:p>
      <w:pPr>
        <w:spacing w:after="140"/>
      </w:pPr>
      <w:r>
        <w:rPr>
          <w:rFonts w:ascii="Arial" w:cs="Arial" w:eastAsia="Arial" w:hAnsi="Arial"/>
          <w:color w:val="1F2937"/>
          <w:sz w:val="22"/>
          <w:szCs w:val="22"/>
        </w:rPr>
        <w:t xml:space="preserve">HAIOps classifies each model component into one of four risk tiers, each with escalating governance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rPr>
          <w:tblHeader/>
        </w:trPr>
        <w:tc>
          <w:tcPr>
            <w:tcW w:type="dxa" w:w="1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Risk Class</w:t>
            </w:r>
          </w:p>
        </w:tc>
        <w:tc>
          <w:tcPr>
            <w:tcW w:type="dxa" w:w="24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Governance Level</w:t>
            </w:r>
          </w:p>
        </w:tc>
        <w:tc>
          <w:tcPr>
            <w:tcW w:type="dxa" w:w="25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Review Cadence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Foundational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Deterministic computation, no ML inference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Version pinning, regression tests, input validation</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Per-release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Moderate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ML inference with directional/advisory output only</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Calibration benchmarks, confidence scoring, usage disclaimers</w:t>
            </w:r>
          </w:p>
        </w:tc>
        <w:tc>
          <w:tcPr>
            <w:tcW w:type="dxa" w:w="2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Quarterly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ML inference influencing quantitative predictions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 validation sets, bias monitoring, sensitivity analysis, expert review</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Monthly</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Critical</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Direct influence on safety-relevant decisions (dose, toxicity, GO/NO-GO)</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All of the above plus: dual-method cross-validation, conservative defaults, mandatory safety flags, incident response protocol</w:t>
            </w:r>
          </w:p>
        </w:tc>
        <w:tc>
          <w:tcPr>
            <w:tcW w:type="dxa" w:w="2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Continuous</w:t>
            </w:r>
          </w:p>
        </w:tc>
      </w:tr>
    </w:tbl>
    <w:p>
      <w:pPr>
        <w:spacing w:after="100"/>
      </w:pPr>
    </w:p>
    <w:p>
      <w:pPr>
        <w:pStyle w:val="Heading2"/>
      </w:pPr>
      <w:r>
        <w:rPr>
          <w:b/>
          <w:bCs/>
        </w:rPr>
        <w:t xml:space="preserve">3.3 Specialized Model Details</w:t>
      </w:r>
    </w:p>
    <w:p>
      <w:pPr>
        <w:spacing w:after="140"/>
      </w:pPr>
      <w:r>
        <w:rPr>
          <w:rFonts w:ascii="Arial" w:cs="Arial" w:eastAsia="Arial" w:hAnsi="Arial"/>
          <w:color w:val="1F2937"/>
          <w:sz w:val="22"/>
          <w:szCs w:val="22"/>
        </w:rPr>
        <w:t xml:space="preserve">The BioDigital Twin integrates purpose-built biomedical models rather than general-purpose language models. This is a deliberate HAIOps design decision—domain-specific models trained on relevant scientific data produce more calibrated predictions than general models prompted with scientific context.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4160"/>
      </w:tblGrid>
      <w:tr>
        <w:trPr>
          <w:tblHeader/>
        </w:trPr>
        <w:tc>
          <w:tcPr>
            <w:tcW w:type="dxa" w:w="20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0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Parameters</w:t>
            </w:r>
          </w:p>
        </w:tc>
        <w:tc>
          <w:tcPr>
            <w:tcW w:type="dxa" w:w="2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Training Data</w:t>
            </w:r>
          </w:p>
        </w:tc>
        <w:tc>
          <w:tcPr>
            <w:tcW w:type="dxa" w:w="41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BioDigital Twin Use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ChemBERTa (zinc-base-v1)</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~83M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77M SMILES from ZINC</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Molecular property prediction, compound embedding for similarity search</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MolT5</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77M–770M variants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Molecular text pairs</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Molecular description generation, SMILES-to-text for report narratives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ESM-2 (t33_650M_UR50D)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650M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UniRef50 protein sequences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Protein structure prediction, binding site identification, target suggestion engine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ProtBERT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420M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UniRef100 protein sequences</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Protein embedding fusion (combined with ESM-2 via fusion layer)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MolFormer-XL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47M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1.1B molecules (ZINC + PubChem)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Molecular embedding (combined with ChemBERTa for consensus encoding)</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ClinicalBERT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110M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MIMIC-III clinical notes</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text understanding for AE narrative generation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TrialBERT (custom)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~340M (BioBERT base)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400K+ ClinicalTrials.gov protocols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Trial design classification, I/E criteria parsing, endpoint extraction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ProtocolGPT (custom)</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Variable (BioGPT base)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trial protocols + amendments</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Protocol optimization, amendment prediction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Clinical-T5</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220M–3B variants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 text corpus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Regulatory response drafting, clinical narrative generation</w:t>
            </w:r>
          </w:p>
        </w:tc>
      </w:tr>
    </w:tbl>
    <w:p>
      <w:pPr>
        <w:spacing w:after="100"/>
      </w:pPr>
    </w:p>
    <w:p>
      <w:pPr>
        <w:pStyle w:val="Heading2"/>
      </w:pPr>
      <w:r>
        <w:rPr>
          <w:b/>
          <w:bCs/>
        </w:rPr>
        <w:t xml:space="preserve">3.4 Model Lifecycle Under HAIOps</w:t>
      </w:r>
    </w:p>
    <w:p>
      <w:pPr>
        <w:spacing w:after="140"/>
      </w:pPr>
      <w:r>
        <w:rPr>
          <w:rFonts w:ascii="Arial" w:cs="Arial" w:eastAsia="Arial" w:hAnsi="Arial"/>
          <w:color w:val="1F2937"/>
          <w:sz w:val="22"/>
          <w:szCs w:val="22"/>
        </w:rPr>
        <w:t xml:space="preserve">HAIOps defines a six-stage model lifecycle that applies to every model component in the BioDigital Twin:</w:t>
      </w:r>
    </w:p>
    <w:p>
      <w:pPr>
        <w:spacing w:after="100"/>
      </w:pPr>
    </w:p>
    <w:p>
      <w:pPr>
        <w:pStyle w:val="ListParagraph"/>
        <w:numPr>
          <w:ilvl w:val="0"/>
          <w:numId w:val="13"/>
        </w:numPr>
        <w:spacing w:after="80"/>
      </w:pPr>
      <w:r>
        <w:rPr>
          <w:rFonts w:ascii="Arial" w:cs="Arial" w:eastAsia="Arial" w:hAnsi="Arial"/>
          <w:b/>
          <w:bCs/>
          <w:color w:val="1F2937"/>
          <w:sz w:val="22"/>
          <w:szCs w:val="22"/>
        </w:rPr>
        <w:t xml:space="preserve">Development: </w:t>
      </w:r>
      <w:r>
        <w:rPr>
          <w:rFonts w:ascii="Arial" w:cs="Arial" w:eastAsia="Arial" w:hAnsi="Arial"/>
          <w:color w:val="1F2937"/>
          <w:sz w:val="22"/>
          <w:szCs w:val="22"/>
        </w:rPr>
        <w:t xml:space="preserve">Model trained or fine-tuned on domain-specific data. HAIOps requires documentation of training data provenance, data quality checks, and bias audits before proceeding.</w:t>
      </w:r>
    </w:p>
    <w:p>
      <w:pPr>
        <w:pStyle w:val="ListParagraph"/>
        <w:numPr>
          <w:ilvl w:val="0"/>
          <w:numId w:val="13"/>
        </w:numPr>
        <w:spacing w:after="80"/>
      </w:pPr>
      <w:r>
        <w:rPr>
          <w:rFonts w:ascii="Arial" w:cs="Arial" w:eastAsia="Arial" w:hAnsi="Arial"/>
          <w:b/>
          <w:bCs/>
          <w:color w:val="1F2937"/>
          <w:sz w:val="22"/>
          <w:szCs w:val="22"/>
        </w:rPr>
        <w:t xml:space="preserve">Validation: </w:t>
      </w:r>
      <w:r>
        <w:rPr>
          <w:rFonts w:ascii="Arial" w:cs="Arial" w:eastAsia="Arial" w:hAnsi="Arial"/>
          <w:color w:val="1F2937"/>
          <w:sz w:val="22"/>
          <w:szCs w:val="22"/>
        </w:rPr>
        <w:t xml:space="preserve">Model evaluated against clinical validation sets—not just statistical benchmarks but comparisons against published experimental data. For Critical-class models, dual-method cross-validation is mandatory.</w:t>
      </w:r>
    </w:p>
    <w:p>
      <w:pPr>
        <w:pStyle w:val="ListParagraph"/>
        <w:numPr>
          <w:ilvl w:val="0"/>
          <w:numId w:val="13"/>
        </w:numPr>
        <w:spacing w:after="80"/>
      </w:pPr>
      <w:r>
        <w:rPr>
          <w:rFonts w:ascii="Arial" w:cs="Arial" w:eastAsia="Arial" w:hAnsi="Arial"/>
          <w:b/>
          <w:bCs/>
          <w:color w:val="1F2937"/>
          <w:sz w:val="22"/>
          <w:szCs w:val="22"/>
        </w:rPr>
        <w:t xml:space="preserve">Deployment: </w:t>
      </w:r>
      <w:r>
        <w:rPr>
          <w:rFonts w:ascii="Arial" w:cs="Arial" w:eastAsia="Arial" w:hAnsi="Arial"/>
          <w:color w:val="1F2937"/>
          <w:sz w:val="22"/>
          <w:szCs w:val="22"/>
        </w:rPr>
        <w:t xml:space="preserve">Model deployed with version pinning, rollback capability, and canary monitoring. HAIOps requires that no model update goes live without passing the full validation suite for its risk class.</w:t>
      </w:r>
    </w:p>
    <w:p>
      <w:pPr>
        <w:pStyle w:val="ListParagraph"/>
        <w:numPr>
          <w:ilvl w:val="0"/>
          <w:numId w:val="13"/>
        </w:numPr>
        <w:spacing w:after="80"/>
      </w:pPr>
      <w:r>
        <w:rPr>
          <w:rFonts w:ascii="Arial" w:cs="Arial" w:eastAsia="Arial" w:hAnsi="Arial"/>
          <w:b/>
          <w:bCs/>
          <w:color w:val="1F2937"/>
          <w:sz w:val="22"/>
          <w:szCs w:val="22"/>
        </w:rPr>
        <w:t xml:space="preserve">Monitoring: </w:t>
      </w:r>
      <w:r>
        <w:rPr>
          <w:rFonts w:ascii="Arial" w:cs="Arial" w:eastAsia="Arial" w:hAnsi="Arial"/>
          <w:color w:val="1F2937"/>
          <w:sz w:val="22"/>
          <w:szCs w:val="22"/>
        </w:rPr>
        <w:t xml:space="preserve">Continuous performance tracking against clinical benchmarks. Drift detection compares current predictions against baseline distributions. For Critical-class models, any statistically significant drift triggers automatic investigation.</w:t>
      </w:r>
    </w:p>
    <w:p>
      <w:pPr>
        <w:pStyle w:val="ListParagraph"/>
        <w:numPr>
          <w:ilvl w:val="0"/>
          <w:numId w:val="13"/>
        </w:numPr>
        <w:spacing w:after="80"/>
      </w:pPr>
      <w:r>
        <w:rPr>
          <w:rFonts w:ascii="Arial" w:cs="Arial" w:eastAsia="Arial" w:hAnsi="Arial"/>
          <w:b/>
          <w:bCs/>
          <w:color w:val="1F2937"/>
          <w:sz w:val="22"/>
          <w:szCs w:val="22"/>
        </w:rPr>
        <w:t xml:space="preserve">Incident Response: </w:t>
      </w:r>
      <w:r>
        <w:rPr>
          <w:rFonts w:ascii="Arial" w:cs="Arial" w:eastAsia="Arial" w:hAnsi="Arial"/>
          <w:color w:val="1F2937"/>
          <w:sz w:val="22"/>
          <w:szCs w:val="22"/>
        </w:rPr>
        <w:t xml:space="preserve">If a model produces an output that contradicts known clinical evidence or triggers a user-reported safety concern, HAIOps mandates investigation within 24 hours, temporary fallback to the previous validated version, and a root-cause analysis before the model returns to production.</w:t>
      </w:r>
    </w:p>
    <w:p>
      <w:pPr>
        <w:pStyle w:val="ListParagraph"/>
        <w:numPr>
          <w:ilvl w:val="0"/>
          <w:numId w:val="13"/>
        </w:numPr>
        <w:spacing w:after="80"/>
      </w:pPr>
      <w:r>
        <w:rPr>
          <w:rFonts w:ascii="Arial" w:cs="Arial" w:eastAsia="Arial" w:hAnsi="Arial"/>
          <w:b/>
          <w:bCs/>
          <w:color w:val="1F2937"/>
          <w:sz w:val="22"/>
          <w:szCs w:val="22"/>
        </w:rPr>
        <w:t xml:space="preserve">Retirement: </w:t>
      </w:r>
      <w:r>
        <w:rPr>
          <w:rFonts w:ascii="Arial" w:cs="Arial" w:eastAsia="Arial" w:hAnsi="Arial"/>
          <w:color w:val="1F2937"/>
          <w:sz w:val="22"/>
          <w:szCs w:val="22"/>
        </w:rPr>
        <w:t xml:space="preserve">Models are retired when superseded by a validated replacement, when the training data becomes stale relative to current scientific evidence, or when a systematic bias is discovered that cannot be corrected. Retired models remain accessible in archive for audit purposes.</w:t>
      </w:r>
    </w:p>
    <w:p>
      <w:r>
        <w:br w:type="page"/>
      </w:r>
    </w:p>
    <w:p>
      <w:pPr>
        <w:pStyle w:val="Heading1"/>
      </w:pPr>
      <w:r>
        <w:rPr>
          <w:b/>
          <w:bCs/>
        </w:rPr>
        <w:t xml:space="preserve">4. Data Governance and Provenance</w:t>
      </w:r>
    </w:p>
    <w:p>
      <w:pPr>
        <w:pStyle w:val="Heading2"/>
      </w:pPr>
      <w:r>
        <w:rPr>
          <w:b/>
          <w:bCs/>
        </w:rPr>
        <w:t xml:space="preserve">4.1 Database Integration Governance</w:t>
      </w:r>
    </w:p>
    <w:p>
      <w:pPr>
        <w:spacing w:after="140"/>
      </w:pPr>
      <w:r>
        <w:rPr>
          <w:rFonts w:ascii="Arial" w:cs="Arial" w:eastAsia="Arial" w:hAnsi="Arial"/>
          <w:color w:val="1F2937"/>
          <w:sz w:val="22"/>
          <w:szCs w:val="22"/>
        </w:rPr>
        <w:t xml:space="preserve">The BioDigital Twin integrates 12+ live databases. Under HAIOps, each database connection carries governance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4560"/>
      </w:tblGrid>
      <w:tr>
        <w:trPr>
          <w:tblHeader/>
        </w:trPr>
        <w:tc>
          <w:tcPr>
            <w:tcW w:type="dxa" w:w="16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Database</w:t>
            </w:r>
          </w:p>
        </w:tc>
        <w:tc>
          <w:tcPr>
            <w:tcW w:type="dxa" w:w="18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4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Update Frequency</w:t>
            </w:r>
          </w:p>
        </w:tc>
        <w:tc>
          <w:tcPr>
            <w:tcW w:type="dxa" w:w="45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HAIOps Governance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ChEMBL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Bioactivity, compound properties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Quarterly releases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Version-stamped queries; simulation results annotated with ChEMBL release number</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BindingDB</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Experimental binding affinities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Monthly</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IC50 predictions cross-referenced; deviation metrics displayed when experimental data exists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UniProt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Protein information, crystal structures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Bi-monthly</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Accession-level provenance; structure resolution and method noted</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PDB (RCSB)</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3D protein structures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Weekly</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Resolution threshold enforcement; only structures above quality cutoff used for docking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FAERS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FDA adverse event reports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Quarterly</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Report count thresholds for safety signal enrichment; single-case reports excluded from quantitative analysis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ClinicalTrials.gov</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trial data</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Real-time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NCT ID-level references in trial benchmarking; status-aware (excludes withdrawn trials)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NHANES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Population health survey data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Biennial cycles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Survey year and cycle explicitly cited in population parameter sourcing</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Drugs@FDA</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Approved drug database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Continuous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NDA/BLA number-level references for regulatory precedent checking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STRING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Protein-protein interactions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Annual</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Confidence score thresholds for network inclusion (default &gt;0.7)</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KEGG/Reactome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Biological pathways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Variable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Pathway version noted; enrichment p-values included in analysis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AlphaFold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Predicted protein structures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Ongoing</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pLDDT confidence scores displayed; low-confidence regions flagged</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SIDER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Drug side effects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Periodic</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Used for AE enrichment only when supported by ≥3 independent reports</w:t>
            </w:r>
          </w:p>
        </w:tc>
      </w:tr>
    </w:tbl>
    <w:p>
      <w:pPr>
        <w:spacing w:after="100"/>
      </w:pPr>
    </w:p>
    <w:p>
      <w:pPr>
        <w:pStyle w:val="Heading2"/>
      </w:pPr>
      <w:r>
        <w:rPr>
          <w:b/>
          <w:bCs/>
        </w:rPr>
        <w:t xml:space="preserve">4.2 Data Lineage and Traceability</w:t>
      </w:r>
    </w:p>
    <w:p>
      <w:pPr>
        <w:spacing w:after="140"/>
      </w:pPr>
      <w:r>
        <w:rPr>
          <w:rFonts w:ascii="Arial" w:cs="Arial" w:eastAsia="Arial" w:hAnsi="Arial"/>
          <w:color w:val="1F2937"/>
          <w:sz w:val="22"/>
          <w:szCs w:val="22"/>
        </w:rPr>
        <w:t xml:space="preserve">Every simulation output in the BioDigital Twin carries a provenance chain documenting:</w:t>
      </w:r>
    </w:p>
    <w:p>
      <w:pPr>
        <w:pStyle w:val="ListParagraph"/>
        <w:numPr>
          <w:ilvl w:val="0"/>
          <w:numId w:val="14"/>
        </w:numPr>
        <w:spacing w:after="80"/>
      </w:pPr>
      <w:r>
        <w:rPr>
          <w:rFonts w:ascii="Arial" w:cs="Arial" w:eastAsia="Arial" w:hAnsi="Arial"/>
          <w:b/>
          <w:bCs/>
          <w:color w:val="1F2937"/>
          <w:sz w:val="22"/>
          <w:szCs w:val="22"/>
        </w:rPr>
        <w:t xml:space="preserve">Input provenance: </w:t>
      </w:r>
      <w:r>
        <w:rPr>
          <w:rFonts w:ascii="Arial" w:cs="Arial" w:eastAsia="Arial" w:hAnsi="Arial"/>
          <w:color w:val="1F2937"/>
          <w:sz w:val="22"/>
          <w:szCs w:val="22"/>
        </w:rPr>
        <w:t xml:space="preserve">SMILES source (manual entry, Diagen AI import, ChEMBL/PubChem API), UniProt accession and version, therapeutic area preset.</w:t>
      </w:r>
    </w:p>
    <w:p>
      <w:pPr>
        <w:pStyle w:val="ListParagraph"/>
        <w:numPr>
          <w:ilvl w:val="0"/>
          <w:numId w:val="14"/>
        </w:numPr>
        <w:spacing w:after="80"/>
      </w:pPr>
      <w:r>
        <w:rPr>
          <w:rFonts w:ascii="Arial" w:cs="Arial" w:eastAsia="Arial" w:hAnsi="Arial"/>
          <w:b/>
          <w:bCs/>
          <w:color w:val="1F2937"/>
          <w:sz w:val="22"/>
          <w:szCs w:val="22"/>
        </w:rPr>
        <w:t xml:space="preserve">Computation provenance: </w:t>
      </w:r>
      <w:r>
        <w:rPr>
          <w:rFonts w:ascii="Arial" w:cs="Arial" w:eastAsia="Arial" w:hAnsi="Arial"/>
          <w:color w:val="1F2937"/>
          <w:sz w:val="22"/>
          <w:szCs w:val="22"/>
        </w:rPr>
        <w:t xml:space="preserve">Simulation engine file and version hash, model versions for all ML components, timestamp of execution, random seed where applicable.</w:t>
      </w:r>
    </w:p>
    <w:p>
      <w:pPr>
        <w:pStyle w:val="ListParagraph"/>
        <w:numPr>
          <w:ilvl w:val="0"/>
          <w:numId w:val="14"/>
        </w:numPr>
        <w:spacing w:after="80"/>
      </w:pPr>
      <w:r>
        <w:rPr>
          <w:rFonts w:ascii="Arial" w:cs="Arial" w:eastAsia="Arial" w:hAnsi="Arial"/>
          <w:b/>
          <w:bCs/>
          <w:color w:val="1F2937"/>
          <w:sz w:val="22"/>
          <w:szCs w:val="22"/>
        </w:rPr>
        <w:t xml:space="preserve">Data enrichment provenance: </w:t>
      </w:r>
      <w:r>
        <w:rPr>
          <w:rFonts w:ascii="Arial" w:cs="Arial" w:eastAsia="Arial" w:hAnsi="Arial"/>
          <w:color w:val="1F2937"/>
          <w:sz w:val="22"/>
          <w:szCs w:val="22"/>
        </w:rPr>
        <w:t xml:space="preserve">Database versions queried, query timestamps, number of results returned, confidence thresholds applied.</w:t>
      </w:r>
    </w:p>
    <w:p>
      <w:pPr>
        <w:pStyle w:val="ListParagraph"/>
        <w:numPr>
          <w:ilvl w:val="0"/>
          <w:numId w:val="14"/>
        </w:numPr>
        <w:spacing w:after="80"/>
      </w:pPr>
      <w:r>
        <w:rPr>
          <w:rFonts w:ascii="Arial" w:cs="Arial" w:eastAsia="Arial" w:hAnsi="Arial"/>
          <w:b/>
          <w:bCs/>
          <w:color w:val="1F2937"/>
          <w:sz w:val="22"/>
          <w:szCs w:val="22"/>
        </w:rPr>
        <w:t xml:space="preserve">Decision provenance: </w:t>
      </w:r>
      <w:r>
        <w:rPr>
          <w:rFonts w:ascii="Arial" w:cs="Arial" w:eastAsia="Arial" w:hAnsi="Arial"/>
          <w:color w:val="1F2937"/>
          <w:sz w:val="22"/>
          <w:szCs w:val="22"/>
        </w:rPr>
        <w:t xml:space="preserve">GO/NO-GO threshold values, which metrics triggered the verdict, override history if any.</w:t>
      </w:r>
    </w:p>
    <w:p>
      <w:pPr>
        <w:spacing w:after="100"/>
      </w:pPr>
    </w:p>
    <w:p>
      <w:pPr>
        <w:spacing w:after="140"/>
      </w:pPr>
      <w:r>
        <w:rPr>
          <w:rFonts w:ascii="Arial" w:cs="Arial" w:eastAsia="Arial" w:hAnsi="Arial"/>
          <w:color w:val="1F2937"/>
          <w:sz w:val="22"/>
          <w:szCs w:val="22"/>
        </w:rPr>
        <w:t xml:space="preserve">This lineage is stored as structured metadata alongside every simulation result and can be exported as part of the JSON export or included in PDF report footers. For regulatory submissions, this provenance chain provides the documentary evidence that computational predictions were generated under controlled, reproducible conditions.</w:t>
      </w:r>
    </w:p>
    <w:p>
      <w:pPr>
        <w:spacing w:after="100"/>
      </w:pPr>
    </w:p>
    <w:p>
      <w:pPr>
        <w:pStyle w:val="Heading2"/>
      </w:pPr>
      <w:r>
        <w:rPr>
          <w:b/>
          <w:bCs/>
        </w:rPr>
        <w:t xml:space="preserve">4.3 Data Quality Controls</w:t>
      </w:r>
    </w:p>
    <w:p>
      <w:pPr>
        <w:spacing w:after="140"/>
      </w:pPr>
      <w:r>
        <w:rPr>
          <w:rFonts w:ascii="Arial" w:cs="Arial" w:eastAsia="Arial" w:hAnsi="Arial"/>
          <w:color w:val="1F2937"/>
          <w:sz w:val="22"/>
          <w:szCs w:val="22"/>
        </w:rPr>
        <w:t xml:space="preserve">HAIOps enforces data quality controls at three levels:</w:t>
      </w:r>
    </w:p>
    <w:p>
      <w:pPr>
        <w:pStyle w:val="ListParagraph"/>
        <w:numPr>
          <w:ilvl w:val="0"/>
          <w:numId w:val="15"/>
        </w:numPr>
        <w:spacing w:after="80"/>
      </w:pPr>
      <w:r>
        <w:rPr>
          <w:rFonts w:ascii="Arial" w:cs="Arial" w:eastAsia="Arial" w:hAnsi="Arial"/>
          <w:b/>
          <w:bCs/>
          <w:color w:val="1F2937"/>
          <w:sz w:val="22"/>
          <w:szCs w:val="22"/>
        </w:rPr>
        <w:t xml:space="preserve">Input validation: </w:t>
      </w:r>
      <w:r>
        <w:rPr>
          <w:rFonts w:ascii="Arial" w:cs="Arial" w:eastAsia="Arial" w:hAnsi="Arial"/>
          <w:color w:val="1F2937"/>
          <w:sz w:val="22"/>
          <w:szCs w:val="22"/>
        </w:rPr>
        <w:t xml:space="preserve">SMILES strings are validated by RDKit.js for chemical validity before simulation. UniProt IDs are verified against the live API. Molecular weight constraints (100–1,500 Da) prevent edge-case inputs that could produce unreliable predictions.</w:t>
      </w:r>
    </w:p>
    <w:p>
      <w:pPr>
        <w:pStyle w:val="ListParagraph"/>
        <w:numPr>
          <w:ilvl w:val="0"/>
          <w:numId w:val="15"/>
        </w:numPr>
        <w:spacing w:after="80"/>
      </w:pPr>
      <w:r>
        <w:rPr>
          <w:rFonts w:ascii="Arial" w:cs="Arial" w:eastAsia="Arial" w:hAnsi="Arial"/>
          <w:b/>
          <w:bCs/>
          <w:color w:val="1F2937"/>
          <w:sz w:val="22"/>
          <w:szCs w:val="22"/>
        </w:rPr>
        <w:t xml:space="preserve">Cross-source consistency: </w:t>
      </w:r>
      <w:r>
        <w:rPr>
          <w:rFonts w:ascii="Arial" w:cs="Arial" w:eastAsia="Arial" w:hAnsi="Arial"/>
          <w:color w:val="1F2937"/>
          <w:sz w:val="22"/>
          <w:szCs w:val="22"/>
        </w:rPr>
        <w:t xml:space="preserve">When multiple databases provide overlapping information (e.g., ChEMBL and BindingDB both containing IC50 data for the same compound-target pair), the platform displays both values and flags discrepancies exceeding 10×.</w:t>
      </w:r>
    </w:p>
    <w:p>
      <w:pPr>
        <w:pStyle w:val="ListParagraph"/>
        <w:numPr>
          <w:ilvl w:val="0"/>
          <w:numId w:val="15"/>
        </w:numPr>
        <w:spacing w:after="80"/>
      </w:pPr>
      <w:r>
        <w:rPr>
          <w:rFonts w:ascii="Arial" w:cs="Arial" w:eastAsia="Arial" w:hAnsi="Arial"/>
          <w:b/>
          <w:bCs/>
          <w:color w:val="1F2937"/>
          <w:sz w:val="22"/>
          <w:szCs w:val="22"/>
        </w:rPr>
        <w:t xml:space="preserve">Temporal coherence: </w:t>
      </w:r>
      <w:r>
        <w:rPr>
          <w:rFonts w:ascii="Arial" w:cs="Arial" w:eastAsia="Arial" w:hAnsi="Arial"/>
          <w:color w:val="1F2937"/>
          <w:sz w:val="22"/>
          <w:szCs w:val="22"/>
        </w:rPr>
        <w:t xml:space="preserve">Database versions are tracked per-simulation. If a user re-runs a simulation after a major database update, the platform notes which data sources have changed and offers to highlight differences in results.</w:t>
      </w:r>
    </w:p>
    <w:p>
      <w:r>
        <w:br w:type="page"/>
      </w:r>
    </w:p>
    <w:p>
      <w:pPr>
        <w:pStyle w:val="Heading1"/>
      </w:pPr>
      <w:r>
        <w:rPr>
          <w:b/>
          <w:bCs/>
        </w:rPr>
        <w:t xml:space="preserve">5. Safety Architecture</w:t>
      </w:r>
    </w:p>
    <w:p>
      <w:pPr>
        <w:pStyle w:val="Heading2"/>
      </w:pPr>
      <w:r>
        <w:rPr>
          <w:b/>
          <w:bCs/>
        </w:rPr>
        <w:t xml:space="preserve">5.1 Safety Flag Cascade</w:t>
      </w:r>
    </w:p>
    <w:p>
      <w:pPr>
        <w:spacing w:after="140"/>
      </w:pPr>
      <w:r>
        <w:rPr>
          <w:rFonts w:ascii="Arial" w:cs="Arial" w:eastAsia="Arial" w:hAnsi="Arial"/>
          <w:color w:val="1F2937"/>
          <w:sz w:val="22"/>
          <w:szCs w:val="22"/>
        </w:rPr>
        <w:t xml:space="preserve">HAIOps implements a multi-layer safety flag system where safety-relevant findings persist and propagate through all downstream layers. Safety flags are never silently dropped when results cascade forward.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Safety Flag</w:t>
            </w:r>
          </w:p>
        </w:tc>
        <w:tc>
          <w:tcPr>
            <w:tcW w:type="dxa" w:w="14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Origin</w:t>
            </w:r>
          </w:p>
        </w:tc>
        <w:tc>
          <w:tcPr>
            <w:tcW w:type="dxa" w:w="20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43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Cascade Behavior</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Cardiac Safety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Layer 1 (hERG)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hERG IC50 &lt; 10 µM</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Persists through L2 (CV tox prediction), L3 (QT prolongation AE), L4 (safety monitoring protocol requirement)</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Hepatotoxicity Alert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Layer 1 (Bioactivation)</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Liver-targeting structural alert with confidence &gt; 70%</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Persists through L2 (ALT/AST monitoring requirement), L3 (hepatic AE enrichment from FAERS), L4 (DILI monitoring in trial design)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DDI Risk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Layer 1 (CYP)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CYP IC50 &lt; 5 µM for any major enzyme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Persists through L2 (concomitant medication restrictions), L3 (DDI subgroup analysis), L4 (I/E criteria for concomitant meds)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Narrow Safety Margin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Layer 2 (PBPK)</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Safety margin &lt; 3× (NOAEL/HED)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Persists through L3 (conservative dose escalation limits), L4 (enhanced safety monitoring protocol)</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High-Grade AE Risk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Layer 3 (Cohort)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Grade ≥3 AE incidence &gt; 15%</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Persists through L4 (dropout rate adjustment, DSMB requirement, stopping rules)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Subgroup Safety Disparity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Layer 3 (Subgroup)</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Any subgroup AE rate &gt; 2× overall cohort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Persists through L4 (stratified randomization requirement, subgroup-specific I/E criteria)</w:t>
            </w:r>
          </w:p>
        </w:tc>
      </w:tr>
    </w:tbl>
    <w:p>
      <w:pPr>
        <w:spacing w:after="100"/>
      </w:pPr>
    </w:p>
    <w:p>
      <w:pPr>
        <w:pStyle w:val="Heading2"/>
      </w:pPr>
      <w:r>
        <w:rPr>
          <w:b/>
          <w:bCs/>
        </w:rPr>
        <w:t xml:space="preserve">5.2 Clinician-in-the-Loop Design</w:t>
      </w:r>
    </w:p>
    <w:p>
      <w:pPr>
        <w:spacing w:after="140"/>
      </w:pPr>
      <w:r>
        <w:rPr>
          <w:rFonts w:ascii="Arial" w:cs="Arial" w:eastAsia="Arial" w:hAnsi="Arial"/>
          <w:color w:val="1F2937"/>
          <w:sz w:val="22"/>
          <w:szCs w:val="22"/>
        </w:rPr>
        <w:t xml:space="preserve">HAIOps mandates that computational predictions are never treated as standalone decisions. The BioDigital Twin is designed as a decision-support tool, not an autonomous decision-maker. This principle is implemented through:</w:t>
      </w:r>
    </w:p>
    <w:p>
      <w:pPr>
        <w:pStyle w:val="ListParagraph"/>
        <w:numPr>
          <w:ilvl w:val="0"/>
          <w:numId w:val="16"/>
        </w:numPr>
        <w:spacing w:after="80"/>
      </w:pPr>
      <w:r>
        <w:rPr>
          <w:rFonts w:ascii="Arial" w:cs="Arial" w:eastAsia="Arial" w:hAnsi="Arial"/>
          <w:b/>
          <w:bCs/>
          <w:color w:val="1F2937"/>
          <w:sz w:val="22"/>
          <w:szCs w:val="22"/>
        </w:rPr>
        <w:t xml:space="preserve">GO/WATCH/NO-GO verdicts: </w:t>
      </w:r>
      <w:r>
        <w:rPr>
          <w:rFonts w:ascii="Arial" w:cs="Arial" w:eastAsia="Arial" w:hAnsi="Arial"/>
          <w:color w:val="1F2937"/>
          <w:sz w:val="22"/>
          <w:szCs w:val="22"/>
        </w:rPr>
        <w:t xml:space="preserve">Three-tier decision framework—not binary. The WATCH category explicitly communicates “proceed with additional investigation” rather than forcing a premature yes/no.</w:t>
      </w:r>
    </w:p>
    <w:p>
      <w:pPr>
        <w:pStyle w:val="ListParagraph"/>
        <w:numPr>
          <w:ilvl w:val="0"/>
          <w:numId w:val="16"/>
        </w:numPr>
        <w:spacing w:after="80"/>
      </w:pPr>
      <w:r>
        <w:rPr>
          <w:rFonts w:ascii="Arial" w:cs="Arial" w:eastAsia="Arial" w:hAnsi="Arial"/>
          <w:b/>
          <w:bCs/>
          <w:color w:val="1F2937"/>
          <w:sz w:val="22"/>
          <w:szCs w:val="22"/>
        </w:rPr>
        <w:t xml:space="preserve">Confidence scoring on every metric: </w:t>
      </w:r>
      <w:r>
        <w:rPr>
          <w:rFonts w:ascii="Arial" w:cs="Arial" w:eastAsia="Arial" w:hAnsi="Arial"/>
          <w:color w:val="1F2937"/>
          <w:sz w:val="22"/>
          <w:szCs w:val="22"/>
        </w:rPr>
        <w:t xml:space="preserve">Users see not just the prediction but how certain the platform is, with explicit confidence intervals and data provenance.</w:t>
      </w:r>
    </w:p>
    <w:p>
      <w:pPr>
        <w:pStyle w:val="ListParagraph"/>
        <w:numPr>
          <w:ilvl w:val="0"/>
          <w:numId w:val="16"/>
        </w:numPr>
        <w:spacing w:after="80"/>
      </w:pPr>
      <w:r>
        <w:rPr>
          <w:rFonts w:ascii="Arial" w:cs="Arial" w:eastAsia="Arial" w:hAnsi="Arial"/>
          <w:b/>
          <w:bCs/>
          <w:color w:val="1F2937"/>
          <w:sz w:val="22"/>
          <w:szCs w:val="22"/>
        </w:rPr>
        <w:t xml:space="preserve">Mandatory review annotations: </w:t>
      </w:r>
      <w:r>
        <w:rPr>
          <w:rFonts w:ascii="Arial" w:cs="Arial" w:eastAsia="Arial" w:hAnsi="Arial"/>
          <w:color w:val="1F2937"/>
          <w:sz w:val="22"/>
          <w:szCs w:val="22"/>
        </w:rPr>
        <w:t xml:space="preserve">Safety-relevant findings carry “Review Required” flags that cannot be dismissed without user acknowledgment.</w:t>
      </w:r>
    </w:p>
    <w:p>
      <w:pPr>
        <w:pStyle w:val="ListParagraph"/>
        <w:numPr>
          <w:ilvl w:val="0"/>
          <w:numId w:val="16"/>
        </w:numPr>
        <w:spacing w:after="80"/>
      </w:pPr>
      <w:r>
        <w:rPr>
          <w:rFonts w:ascii="Arial" w:cs="Arial" w:eastAsia="Arial" w:hAnsi="Arial"/>
          <w:b/>
          <w:bCs/>
          <w:color w:val="1F2937"/>
          <w:sz w:val="22"/>
          <w:szCs w:val="22"/>
        </w:rPr>
        <w:t xml:space="preserve">Conservative defaults: </w:t>
      </w:r>
      <w:r>
        <w:rPr>
          <w:rFonts w:ascii="Arial" w:cs="Arial" w:eastAsia="Arial" w:hAnsi="Arial"/>
          <w:color w:val="1F2937"/>
          <w:sz w:val="22"/>
          <w:szCs w:val="22"/>
        </w:rPr>
        <w:t xml:space="preserve">When two methods disagree (e.g., BSA vs. PBPK dose scaling), the platform defaults to the more conservative estimate. When confidence is low, the platform downgrades the verdict toward WATCH or NO-GO rather than presenting an uncertain GO.</w:t>
      </w:r>
    </w:p>
    <w:p>
      <w:pPr>
        <w:pStyle w:val="ListParagraph"/>
        <w:numPr>
          <w:ilvl w:val="0"/>
          <w:numId w:val="16"/>
        </w:numPr>
        <w:spacing w:after="80"/>
      </w:pPr>
      <w:r>
        <w:rPr>
          <w:rFonts w:ascii="Arial" w:cs="Arial" w:eastAsia="Arial" w:hAnsi="Arial"/>
          <w:b/>
          <w:bCs/>
          <w:color w:val="1F2937"/>
          <w:sz w:val="22"/>
          <w:szCs w:val="22"/>
        </w:rPr>
        <w:t xml:space="preserve">AI analysis positioning: </w:t>
      </w:r>
      <w:r>
        <w:rPr>
          <w:rFonts w:ascii="Arial" w:cs="Arial" w:eastAsia="Arial" w:hAnsi="Arial"/>
          <w:color w:val="1F2937"/>
          <w:sz w:val="22"/>
          <w:szCs w:val="22"/>
        </w:rPr>
        <w:t xml:space="preserve">Claude-generated analysis is positioned as narrative synthesis of computational outputs. It cannot override safety flags generated by the simulation engines. The AI report explicitly states which safety concerns remain unresolved.</w:t>
      </w:r>
    </w:p>
    <w:p>
      <w:pPr>
        <w:spacing w:after="100"/>
      </w:pPr>
    </w:p>
    <w:p>
      <w:pPr>
        <w:pStyle w:val="Heading2"/>
      </w:pPr>
      <w:r>
        <w:rPr>
          <w:b/>
          <w:bCs/>
        </w:rPr>
        <w:t xml:space="preserve">5.3 Error Handling and Graceful Degradation</w:t>
      </w:r>
    </w:p>
    <w:p>
      <w:pPr>
        <w:spacing w:after="140"/>
      </w:pPr>
      <w:r>
        <w:rPr>
          <w:rFonts w:ascii="Arial" w:cs="Arial" w:eastAsia="Arial" w:hAnsi="Arial"/>
          <w:color w:val="1F2937"/>
          <w:sz w:val="22"/>
          <w:szCs w:val="22"/>
        </w:rPr>
        <w:t xml:space="preserve">When a simulation component fails or produces unreliable results, HAIOps enforces graceful degradation rather than silent failure:</w:t>
      </w:r>
    </w:p>
    <w:p>
      <w:pPr>
        <w:pStyle w:val="ListParagraph"/>
        <w:numPr>
          <w:ilvl w:val="0"/>
          <w:numId w:val="17"/>
        </w:numPr>
        <w:spacing w:after="80"/>
      </w:pPr>
      <w:r>
        <w:rPr>
          <w:rFonts w:ascii="Arial" w:cs="Arial" w:eastAsia="Arial" w:hAnsi="Arial"/>
          <w:b/>
          <w:bCs/>
          <w:color w:val="1F2937"/>
          <w:sz w:val="22"/>
          <w:szCs w:val="22"/>
        </w:rPr>
        <w:t xml:space="preserve">Database unavailability: </w:t>
      </w:r>
      <w:r>
        <w:rPr>
          <w:rFonts w:ascii="Arial" w:cs="Arial" w:eastAsia="Arial" w:hAnsi="Arial"/>
          <w:color w:val="1F2937"/>
          <w:sz w:val="22"/>
          <w:szCs w:val="22"/>
        </w:rPr>
        <w:t xml:space="preserve">If a live database query fails, the simulation proceeds with cached data (if available, with a staleness warning) or excludes that data source and downgrades confidence. The output explicitly notes which databases were unavailable.</w:t>
      </w:r>
    </w:p>
    <w:p>
      <w:pPr>
        <w:pStyle w:val="ListParagraph"/>
        <w:numPr>
          <w:ilvl w:val="0"/>
          <w:numId w:val="17"/>
        </w:numPr>
        <w:spacing w:after="80"/>
      </w:pPr>
      <w:r>
        <w:rPr>
          <w:rFonts w:ascii="Arial" w:cs="Arial" w:eastAsia="Arial" w:hAnsi="Arial"/>
          <w:b/>
          <w:bCs/>
          <w:color w:val="1F2937"/>
          <w:sz w:val="22"/>
          <w:szCs w:val="22"/>
        </w:rPr>
        <w:t xml:space="preserve">Model uncertainty: </w:t>
      </w:r>
      <w:r>
        <w:rPr>
          <w:rFonts w:ascii="Arial" w:cs="Arial" w:eastAsia="Arial" w:hAnsi="Arial"/>
          <w:color w:val="1F2937"/>
          <w:sz w:val="22"/>
          <w:szCs w:val="22"/>
        </w:rPr>
        <w:t xml:space="preserve">When a compound falls outside the training distribution of a prediction model (e.g., MW outside the ChEMBL training range), the platform flags the prediction as “extrapolated” and reduces the confidence score proportionally.</w:t>
      </w:r>
    </w:p>
    <w:p>
      <w:pPr>
        <w:pStyle w:val="ListParagraph"/>
        <w:numPr>
          <w:ilvl w:val="0"/>
          <w:numId w:val="17"/>
        </w:numPr>
        <w:spacing w:after="80"/>
      </w:pPr>
      <w:r>
        <w:rPr>
          <w:rFonts w:ascii="Arial" w:cs="Arial" w:eastAsia="Arial" w:hAnsi="Arial"/>
          <w:b/>
          <w:bCs/>
          <w:color w:val="1F2937"/>
          <w:sz w:val="22"/>
          <w:szCs w:val="22"/>
        </w:rPr>
        <w:t xml:space="preserve">Cascade integrity: </w:t>
      </w:r>
      <w:r>
        <w:rPr>
          <w:rFonts w:ascii="Arial" w:cs="Arial" w:eastAsia="Arial" w:hAnsi="Arial"/>
          <w:color w:val="1F2937"/>
          <w:sz w:val="22"/>
          <w:szCs w:val="22"/>
        </w:rPr>
        <w:t xml:space="preserve">If a Layer 1 simulation produces a NO-GO but the user overrides and proceeds to Layer 2, the override is logged, the override reason is recorded, and all downstream outputs carry an annotation that they are based on an overridden upstream verdict.</w:t>
      </w:r>
    </w:p>
    <w:p>
      <w:r>
        <w:br w:type="page"/>
      </w:r>
    </w:p>
    <w:p>
      <w:pPr>
        <w:pStyle w:val="Heading1"/>
      </w:pPr>
      <w:r>
        <w:rPr>
          <w:b/>
          <w:bCs/>
        </w:rPr>
        <w:t xml:space="preserve">6. Regulatory Compliance Framework</w:t>
      </w:r>
    </w:p>
    <w:p>
      <w:pPr>
        <w:pStyle w:val="Heading2"/>
      </w:pPr>
      <w:r>
        <w:rPr>
          <w:b/>
          <w:bCs/>
        </w:rPr>
        <w:t xml:space="preserve">6.1 Regulatory Standards Alignment</w:t>
      </w:r>
    </w:p>
    <w:p>
      <w:pPr>
        <w:spacing w:after="140"/>
      </w:pPr>
      <w:r>
        <w:rPr>
          <w:rFonts w:ascii="Arial" w:cs="Arial" w:eastAsia="Arial" w:hAnsi="Arial"/>
          <w:color w:val="1F2937"/>
          <w:sz w:val="22"/>
          <w:szCs w:val="22"/>
        </w:rPr>
        <w:t xml:space="preserve">The BioDigital Twin operates within a multi-jurisdictional regulatory framework. HAIOps maps platform capabilities to specific regulatory requirements: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Standard</w:t>
            </w:r>
          </w:p>
        </w:tc>
        <w:tc>
          <w:tcPr>
            <w:tcW w:type="dxa" w:w="24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51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HAIOps Implementation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21 CFR Part 11</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Electronic records and electronic signatures (FDA)</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Audit trail for every simulation (who, what, when); data integrity controls; access control enforcement; electronic signature-ready export format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HIPAA</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Protected health information (US)</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Patient cohort modeling (L3/L4) uses de-identified population parameters from NHANES; no individual patient data enters the platform; virtual patient records are synthetic</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GDPR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Personal data protection (EU)</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Cross-border data processing compliance; right-to-erasure compatibility for any user data; data minimization in population modeling</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ICH E6(R2)</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Good Clinical Practice</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Layer 4 trial design outputs align with GCP principles; protocol elements reference ICH E6(R2) requirements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ICH M3(R2)</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Nonclinical safety studies for human pharmaceuticals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Layer 2 IND-Enabling Checklist maps directly to M3(R2) requirements; rodent and non-rodent toxicology study adequacy assessment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ICH S7A / S7B</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Safety pharmacology (core battery / cardiovascular)</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Layer 1 hERG assessment aligned with S7B; Layer 2 cardiovascular, CNS, and respiratory safety evaluation per S7A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ICH S2(R1)</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Genotoxicity testing</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Layer 2 Ames test prediction and genotoxicity battery requirement assessment per S2(R1)</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ICH S4A</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Chronic toxicity testing</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Layer 2 study type selection and duration mapping for non-rodent toxicology</w:t>
            </w:r>
          </w:p>
        </w:tc>
      </w:tr>
    </w:tbl>
    <w:p>
      <w:pPr>
        <w:spacing w:after="100"/>
      </w:pPr>
    </w:p>
    <w:p>
      <w:pPr>
        <w:pStyle w:val="Heading2"/>
      </w:pPr>
      <w:r>
        <w:rPr>
          <w:b/>
          <w:bCs/>
        </w:rPr>
        <w:t xml:space="preserve">6.2 Data Standards Compliance</w:t>
      </w:r>
    </w:p>
    <w:p>
      <w:pPr>
        <w:spacing w:after="140"/>
      </w:pPr>
      <w:r>
        <w:rPr>
          <w:rFonts w:ascii="Arial" w:cs="Arial" w:eastAsia="Arial" w:hAnsi="Arial"/>
          <w:color w:val="1F2937"/>
          <w:sz w:val="22"/>
          <w:szCs w:val="22"/>
        </w:rPr>
        <w:t xml:space="preserve">HAIOps ensures that platform outputs are compatible with established healthcare data standards, supporting downstream regulatory submission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Standard</w:t>
            </w:r>
          </w:p>
        </w:tc>
        <w:tc>
          <w:tcPr>
            <w:tcW w:type="dxa" w:w="26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7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CDISC SDTM / ADaM</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Standardized clinical data formats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Layer 3/4 outputs structured to align with SDTM domains; AE coding compatible with MedDRA terminology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HL7 FHIR</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Healthcare data interoperability</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API architecture supports FHIR resource formatting for EHR integration pathways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SNOMED CT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 terminology</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Medical concepts within the platform mapped to SNOMED CT codes where applicable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ICD-10/11</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Disease classification</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Indication coding in Layer 3/4 uses ICD-10-CM codes with ICD-11 transition readiness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RxNorm</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Drug naming conventions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Compound identification cross-referenced with RxNorm where an approved equivalent exists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eCTD</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Electronic Common Technical Document</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Report exports structured to support eCTD Module 2.6 (nonclinical summaries) and Module 2.7 (clinical summaries) requirements</w:t>
            </w:r>
          </w:p>
        </w:tc>
      </w:tr>
    </w:tbl>
    <w:p>
      <w:pPr>
        <w:spacing w:after="100"/>
      </w:pPr>
    </w:p>
    <w:p>
      <w:pPr>
        <w:pStyle w:val="Heading2"/>
      </w:pPr>
      <w:r>
        <w:rPr>
          <w:b/>
          <w:bCs/>
        </w:rPr>
        <w:t xml:space="preserve">6.3 Audit and Traceability Architecture</w:t>
      </w:r>
    </w:p>
    <w:p>
      <w:pPr>
        <w:spacing w:after="140"/>
      </w:pPr>
      <w:r>
        <w:rPr>
          <w:rFonts w:ascii="Arial" w:cs="Arial" w:eastAsia="Arial" w:hAnsi="Arial"/>
          <w:color w:val="1F2937"/>
          <w:sz w:val="22"/>
          <w:szCs w:val="22"/>
        </w:rPr>
        <w:t xml:space="preserve">The HAIOps audit architecture ensures that every computational decision can be reconstructed and reviewed, meeting the requirements of 21 CFR Part 11 and GxP audit expectations:</w:t>
      </w:r>
    </w:p>
    <w:p>
      <w:pPr>
        <w:pStyle w:val="ListParagraph"/>
        <w:numPr>
          <w:ilvl w:val="0"/>
          <w:numId w:val="18"/>
        </w:numPr>
        <w:spacing w:after="80"/>
      </w:pPr>
      <w:r>
        <w:rPr>
          <w:rFonts w:ascii="Arial" w:cs="Arial" w:eastAsia="Arial" w:hAnsi="Arial"/>
          <w:b/>
          <w:bCs/>
          <w:color w:val="1F2937"/>
          <w:sz w:val="22"/>
          <w:szCs w:val="22"/>
        </w:rPr>
        <w:t xml:space="preserve">Immutable simulation records: </w:t>
      </w:r>
      <w:r>
        <w:rPr>
          <w:rFonts w:ascii="Arial" w:cs="Arial" w:eastAsia="Arial" w:hAnsi="Arial"/>
          <w:color w:val="1F2937"/>
          <w:sz w:val="22"/>
          <w:szCs w:val="22"/>
        </w:rPr>
        <w:t xml:space="preserve">Completed simulations are stored as immutable records. Users can re-run simulations with updated parameters but cannot alter historical results.</w:t>
      </w:r>
    </w:p>
    <w:p>
      <w:pPr>
        <w:pStyle w:val="ListParagraph"/>
        <w:numPr>
          <w:ilvl w:val="0"/>
          <w:numId w:val="18"/>
        </w:numPr>
        <w:spacing w:after="80"/>
      </w:pPr>
      <w:r>
        <w:rPr>
          <w:rFonts w:ascii="Arial" w:cs="Arial" w:eastAsia="Arial" w:hAnsi="Arial"/>
          <w:b/>
          <w:bCs/>
          <w:color w:val="1F2937"/>
          <w:sz w:val="22"/>
          <w:szCs w:val="22"/>
        </w:rPr>
        <w:t xml:space="preserve">User action logging: </w:t>
      </w:r>
      <w:r>
        <w:rPr>
          <w:rFonts w:ascii="Arial" w:cs="Arial" w:eastAsia="Arial" w:hAnsi="Arial"/>
          <w:color w:val="1F2937"/>
          <w:sz w:val="22"/>
          <w:szCs w:val="22"/>
        </w:rPr>
        <w:t xml:space="preserve">Every user interaction—simulation launch, parameter change, GO/NO-GO override, report export—is logged with timestamp and user identity.</w:t>
      </w:r>
    </w:p>
    <w:p>
      <w:pPr>
        <w:pStyle w:val="ListParagraph"/>
        <w:numPr>
          <w:ilvl w:val="0"/>
          <w:numId w:val="18"/>
        </w:numPr>
        <w:spacing w:after="80"/>
      </w:pPr>
      <w:r>
        <w:rPr>
          <w:rFonts w:ascii="Arial" w:cs="Arial" w:eastAsia="Arial" w:hAnsi="Arial"/>
          <w:b/>
          <w:bCs/>
          <w:color w:val="1F2937"/>
          <w:sz w:val="22"/>
          <w:szCs w:val="22"/>
        </w:rPr>
        <w:t xml:space="preserve">Version-stamped outputs: </w:t>
      </w:r>
      <w:r>
        <w:rPr>
          <w:rFonts w:ascii="Arial" w:cs="Arial" w:eastAsia="Arial" w:hAnsi="Arial"/>
          <w:color w:val="1F2937"/>
          <w:sz w:val="22"/>
          <w:szCs w:val="22"/>
        </w:rPr>
        <w:t xml:space="preserve">Every output document includes the platform version, simulation engine versions, database versions queried, and model versions used.</w:t>
      </w:r>
    </w:p>
    <w:p>
      <w:pPr>
        <w:pStyle w:val="ListParagraph"/>
        <w:numPr>
          <w:ilvl w:val="0"/>
          <w:numId w:val="18"/>
        </w:numPr>
        <w:spacing w:after="80"/>
      </w:pPr>
      <w:r>
        <w:rPr>
          <w:rFonts w:ascii="Arial" w:cs="Arial" w:eastAsia="Arial" w:hAnsi="Arial"/>
          <w:b/>
          <w:bCs/>
          <w:color w:val="1F2937"/>
          <w:sz w:val="22"/>
          <w:szCs w:val="22"/>
        </w:rPr>
        <w:t xml:space="preserve">Export formats: </w:t>
      </w:r>
      <w:r>
        <w:rPr>
          <w:rFonts w:ascii="Arial" w:cs="Arial" w:eastAsia="Arial" w:hAnsi="Arial"/>
          <w:color w:val="1F2937"/>
          <w:sz w:val="22"/>
          <w:szCs w:val="22"/>
        </w:rPr>
        <w:t xml:space="preserve">JSON (machine-readable complete audit chain), PDF (human-readable with metadata footer), PNG (chart images with embedded provenance metadata).</w:t>
      </w:r>
    </w:p>
    <w:p>
      <w:r>
        <w:br w:type="page"/>
      </w:r>
    </w:p>
    <w:p>
      <w:pPr>
        <w:pStyle w:val="Heading1"/>
      </w:pPr>
      <w:r>
        <w:rPr>
          <w:b/>
          <w:bCs/>
        </w:rPr>
        <w:t xml:space="preserve">7. Bias Detection and Clinical Equity</w:t>
      </w:r>
    </w:p>
    <w:p>
      <w:pPr>
        <w:pStyle w:val="Heading2"/>
      </w:pPr>
      <w:r>
        <w:rPr>
          <w:b/>
          <w:bCs/>
        </w:rPr>
        <w:t xml:space="preserve">7.1 Why Standard Fairness Metrics Are Insufficient</w:t>
      </w:r>
    </w:p>
    <w:p>
      <w:pPr>
        <w:spacing w:after="140"/>
      </w:pPr>
      <w:r>
        <w:rPr>
          <w:rFonts w:ascii="Arial" w:cs="Arial" w:eastAsia="Arial" w:hAnsi="Arial"/>
          <w:color w:val="1F2937"/>
          <w:sz w:val="22"/>
          <w:szCs w:val="22"/>
        </w:rPr>
        <w:t xml:space="preserve">Standard ML fairness metrics (demographic parity, equalized odds) were designed for classification tasks in consumer applications. In drug development simulation, bias manifests differently—and more dangerously:</w:t>
      </w:r>
    </w:p>
    <w:p>
      <w:pPr>
        <w:pStyle w:val="ListParagraph"/>
        <w:numPr>
          <w:ilvl w:val="0"/>
          <w:numId w:val="19"/>
        </w:numPr>
        <w:spacing w:after="80"/>
      </w:pPr>
      <w:r>
        <w:rPr>
          <w:rFonts w:ascii="Arial" w:cs="Arial" w:eastAsia="Arial" w:hAnsi="Arial"/>
          <w:b/>
          <w:bCs/>
          <w:color w:val="1F2937"/>
          <w:sz w:val="22"/>
          <w:szCs w:val="22"/>
        </w:rPr>
        <w:t xml:space="preserve">Pharmacogenomic bias: </w:t>
      </w:r>
      <w:r>
        <w:rPr>
          <w:rFonts w:ascii="Arial" w:cs="Arial" w:eastAsia="Arial" w:hAnsi="Arial"/>
          <w:color w:val="1F2937"/>
          <w:sz w:val="22"/>
          <w:szCs w:val="22"/>
        </w:rPr>
        <w:t xml:space="preserve">A model trained predominantly on Caucasian metabolizer profiles may systematically underestimate toxicity for East Asian CYP2D6 poor metabolizers. Standard demographic parity metrics would not detect this because the bias operates at the pharmacogenomic, not demographic, level.</w:t>
      </w:r>
    </w:p>
    <w:p>
      <w:pPr>
        <w:pStyle w:val="ListParagraph"/>
        <w:numPr>
          <w:ilvl w:val="0"/>
          <w:numId w:val="19"/>
        </w:numPr>
        <w:spacing w:after="80"/>
      </w:pPr>
      <w:r>
        <w:rPr>
          <w:rFonts w:ascii="Arial" w:cs="Arial" w:eastAsia="Arial" w:hAnsi="Arial"/>
          <w:b/>
          <w:bCs/>
          <w:color w:val="1F2937"/>
          <w:sz w:val="22"/>
          <w:szCs w:val="22"/>
        </w:rPr>
        <w:t xml:space="preserve">Population representation bias: </w:t>
      </w:r>
      <w:r>
        <w:rPr>
          <w:rFonts w:ascii="Arial" w:cs="Arial" w:eastAsia="Arial" w:hAnsi="Arial"/>
          <w:color w:val="1F2937"/>
          <w:sz w:val="22"/>
          <w:szCs w:val="22"/>
        </w:rPr>
        <w:t xml:space="preserve">If the NHANES data used for Layer 3 population modeling underrepresents certain age, BMI, or renal function strata, the simulated cohort will not reflect the real-world patient population, leading to enrollment projections and subgroup analyses that miss critical safety signals.</w:t>
      </w:r>
    </w:p>
    <w:p>
      <w:pPr>
        <w:pStyle w:val="ListParagraph"/>
        <w:numPr>
          <w:ilvl w:val="0"/>
          <w:numId w:val="19"/>
        </w:numPr>
        <w:spacing w:after="80"/>
      </w:pPr>
      <w:r>
        <w:rPr>
          <w:rFonts w:ascii="Arial" w:cs="Arial" w:eastAsia="Arial" w:hAnsi="Arial"/>
          <w:b/>
          <w:bCs/>
          <w:color w:val="1F2937"/>
          <w:sz w:val="22"/>
          <w:szCs w:val="22"/>
        </w:rPr>
        <w:t xml:space="preserve">Database coverage bias: </w:t>
      </w:r>
      <w:r>
        <w:rPr>
          <w:rFonts w:ascii="Arial" w:cs="Arial" w:eastAsia="Arial" w:hAnsi="Arial"/>
          <w:color w:val="1F2937"/>
          <w:sz w:val="22"/>
          <w:szCs w:val="22"/>
        </w:rPr>
        <w:t xml:space="preserve">ChEMBL and BindingDB contain more experimental data for well-studied targets (kinases, GPCRs) than for novel or rare-disease targets. Predictions for underrepresented targets carry lower confidence, but without explicit flagging, users might not recognize this limitation.</w:t>
      </w:r>
    </w:p>
    <w:p>
      <w:pPr>
        <w:spacing w:after="100"/>
      </w:pPr>
    </w:p>
    <w:p>
      <w:pPr>
        <w:pStyle w:val="Heading2"/>
      </w:pPr>
      <w:r>
        <w:rPr>
          <w:b/>
          <w:bCs/>
        </w:rPr>
        <w:t xml:space="preserve">7.2 HAIOps Bias Controls in the BioDigital Twin</w:t>
      </w:r>
    </w:p>
    <w:p>
      <w:pPr>
        <w:spacing w:after="140"/>
      </w:pPr>
      <w:r>
        <w:rPr>
          <w:rFonts w:ascii="Arial" w:cs="Arial" w:eastAsia="Arial" w:hAnsi="Arial"/>
          <w:color w:val="1F2937"/>
          <w:sz w:val="22"/>
          <w:szCs w:val="22"/>
        </w:rPr>
        <w:t xml:space="preserve">The platform implements bias detection and mitigation at multiple levels:</w:t>
      </w:r>
    </w:p>
    <w:p>
      <w:pPr>
        <w:pStyle w:val="ListParagraph"/>
        <w:numPr>
          <w:ilvl w:val="0"/>
          <w:numId w:val="20"/>
        </w:numPr>
        <w:spacing w:after="80"/>
      </w:pPr>
      <w:r>
        <w:rPr>
          <w:rFonts w:ascii="Arial" w:cs="Arial" w:eastAsia="Arial" w:hAnsi="Arial"/>
          <w:b/>
          <w:bCs/>
          <w:color w:val="1F2937"/>
          <w:sz w:val="22"/>
          <w:szCs w:val="22"/>
        </w:rPr>
        <w:t xml:space="preserve">Layer 1 — Chemical series coverage: </w:t>
      </w:r>
      <w:r>
        <w:rPr>
          <w:rFonts w:ascii="Arial" w:cs="Arial" w:eastAsia="Arial" w:hAnsi="Arial"/>
          <w:color w:val="1F2937"/>
          <w:sz w:val="22"/>
          <w:szCs w:val="22"/>
        </w:rPr>
        <w:t xml:space="preserve">When a compound falls outside the chemical space well-represented in training data, the platform flags predictions as “extrapolated” with a reduced confidence score.</w:t>
      </w:r>
    </w:p>
    <w:p>
      <w:pPr>
        <w:pStyle w:val="ListParagraph"/>
        <w:numPr>
          <w:ilvl w:val="0"/>
          <w:numId w:val="20"/>
        </w:numPr>
        <w:spacing w:after="80"/>
      </w:pPr>
      <w:r>
        <w:rPr>
          <w:rFonts w:ascii="Arial" w:cs="Arial" w:eastAsia="Arial" w:hAnsi="Arial"/>
          <w:b/>
          <w:bCs/>
          <w:color w:val="1F2937"/>
          <w:sz w:val="22"/>
          <w:szCs w:val="22"/>
        </w:rPr>
        <w:t xml:space="preserve">Layer 2 — Species-specific validation: </w:t>
      </w:r>
      <w:r>
        <w:rPr>
          <w:rFonts w:ascii="Arial" w:cs="Arial" w:eastAsia="Arial" w:hAnsi="Arial"/>
          <w:color w:val="1F2937"/>
          <w:sz w:val="22"/>
          <w:szCs w:val="22"/>
        </w:rPr>
        <w:t xml:space="preserve">Allometric scaling parameters are species-specific, not generic. Each species-strain combination has independently validated parameter sets, preventing cross-species bias.</w:t>
      </w:r>
    </w:p>
    <w:p>
      <w:pPr>
        <w:pStyle w:val="ListParagraph"/>
        <w:numPr>
          <w:ilvl w:val="0"/>
          <w:numId w:val="20"/>
        </w:numPr>
        <w:spacing w:after="80"/>
      </w:pPr>
      <w:r>
        <w:rPr>
          <w:rFonts w:ascii="Arial" w:cs="Arial" w:eastAsia="Arial" w:hAnsi="Arial"/>
          <w:b/>
          <w:bCs/>
          <w:color w:val="1F2937"/>
          <w:sz w:val="22"/>
          <w:szCs w:val="22"/>
        </w:rPr>
        <w:t xml:space="preserve">Layer 3 — Subgroup equity analysis: </w:t>
      </w:r>
      <w:r>
        <w:rPr>
          <w:rFonts w:ascii="Arial" w:cs="Arial" w:eastAsia="Arial" w:hAnsi="Arial"/>
          <w:color w:val="1F2937"/>
          <w:sz w:val="22"/>
          <w:szCs w:val="22"/>
        </w:rPr>
        <w:t xml:space="preserve">The subgroup analysis tab explicitly compares efficacy and safety across age brackets, sex, race/ethnicity, and renal function strata. Disparities exceeding predefined thresholds trigger mandatory review flags.</w:t>
      </w:r>
    </w:p>
    <w:p>
      <w:pPr>
        <w:pStyle w:val="ListParagraph"/>
        <w:numPr>
          <w:ilvl w:val="0"/>
          <w:numId w:val="20"/>
        </w:numPr>
        <w:spacing w:after="80"/>
      </w:pPr>
      <w:r>
        <w:rPr>
          <w:rFonts w:ascii="Arial" w:cs="Arial" w:eastAsia="Arial" w:hAnsi="Arial"/>
          <w:b/>
          <w:bCs/>
          <w:color w:val="1F2937"/>
          <w:sz w:val="22"/>
          <w:szCs w:val="22"/>
        </w:rPr>
        <w:t xml:space="preserve">Layer 4 — Enrollment diversity checks: </w:t>
      </w:r>
      <w:r>
        <w:rPr>
          <w:rFonts w:ascii="Arial" w:cs="Arial" w:eastAsia="Arial" w:hAnsi="Arial"/>
          <w:color w:val="1F2937"/>
          <w:sz w:val="22"/>
          <w:szCs w:val="22"/>
        </w:rPr>
        <w:t xml:space="preserve">The balance report verifies that randomization produces balanced treatment arms across all covariates. The site ranking considers geographic and demographic diversity alongside enrollment rate and quality.</w:t>
      </w:r>
    </w:p>
    <w:p>
      <w:r>
        <w:br w:type="page"/>
      </w:r>
    </w:p>
    <w:p>
      <w:pPr>
        <w:pStyle w:val="Heading1"/>
      </w:pPr>
      <w:r>
        <w:rPr>
          <w:b/>
          <w:bCs/>
        </w:rPr>
        <w:t xml:space="preserve">8. Technical Infrastructure</w:t>
      </w:r>
    </w:p>
    <w:p>
      <w:pPr>
        <w:pStyle w:val="Heading2"/>
      </w:pPr>
      <w:r>
        <w:rPr>
          <w:b/>
          <w:bCs/>
        </w:rPr>
        <w:t xml:space="preserve">8.1 Compute Architecture</w:t>
      </w:r>
    </w:p>
    <w:p>
      <w:pPr>
        <w:spacing w:after="140"/>
      </w:pPr>
      <w:r>
        <w:rPr>
          <w:rFonts w:ascii="Arial" w:cs="Arial" w:eastAsia="Arial" w:hAnsi="Arial"/>
          <w:color w:val="1F2937"/>
          <w:sz w:val="22"/>
          <w:szCs w:val="22"/>
        </w:rPr>
        <w:t xml:space="preserve">The BioDigital Twin runs browser-side simulation engines for data privacy and low-latency results. AI model inference is handled by dedicated GPU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c>
          <w:tcPr>
            <w:tcW w:type="dxa" w:w="37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Hardware</w:t>
            </w:r>
          </w:p>
        </w:tc>
        <w:tc>
          <w:tcPr>
            <w:tcW w:type="dxa" w:w="40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Production</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A100 80GB (4× per node), NVLink, 2–20 nodes auto-scaling, 10Gbps InfiniBand</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Full-scale model inference, real-time database enrichment</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Development</w:t>
            </w:r>
          </w:p>
        </w:tc>
        <w:tc>
          <w:tcPr>
            <w:tcW w:type="dxa" w:w="3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RTX 6000 Ada (2× per node), single-node</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Model experimentation, validation suite execution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Inference</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H100 80GB, serverless auto-scaling</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Low-latency inference for user-facing predictions</w:t>
            </w:r>
          </w:p>
        </w:tc>
      </w:tr>
    </w:tbl>
    <w:p>
      <w:pPr>
        <w:spacing w:after="100"/>
      </w:pPr>
    </w:p>
    <w:p>
      <w:pPr>
        <w:pStyle w:val="Heading2"/>
      </w:pPr>
      <w:r>
        <w:rPr>
          <w:b/>
          <w:bCs/>
        </w:rPr>
        <w:t xml:space="preserve">8.2 Data Pipeline</w:t>
      </w:r>
    </w:p>
    <w:p>
      <w:pPr>
        <w:spacing w:after="140"/>
      </w:pPr>
      <w:r>
        <w:rPr>
          <w:rFonts w:ascii="Arial" w:cs="Arial" w:eastAsia="Arial" w:hAnsi="Arial"/>
          <w:color w:val="1F2937"/>
          <w:sz w:val="22"/>
          <w:szCs w:val="22"/>
        </w:rPr>
        <w:t xml:space="preserve">HAIOps-compliant data processing uses:</w:t>
      </w:r>
    </w:p>
    <w:p>
      <w:pPr>
        <w:pStyle w:val="ListParagraph"/>
        <w:numPr>
          <w:ilvl w:val="0"/>
          <w:numId w:val="21"/>
        </w:numPr>
        <w:spacing w:after="80"/>
      </w:pPr>
      <w:r>
        <w:rPr>
          <w:rFonts w:ascii="Arial" w:cs="Arial" w:eastAsia="Arial" w:hAnsi="Arial"/>
          <w:b/>
          <w:bCs/>
          <w:color w:val="1F2937"/>
          <w:sz w:val="22"/>
          <w:szCs w:val="22"/>
        </w:rPr>
        <w:t xml:space="preserve">Streaming: </w:t>
      </w:r>
      <w:r>
        <w:rPr>
          <w:rFonts w:ascii="Arial" w:cs="Arial" w:eastAsia="Arial" w:hAnsi="Arial"/>
          <w:color w:val="1F2937"/>
          <w:sz w:val="22"/>
          <w:szCs w:val="22"/>
        </w:rPr>
        <w:t xml:space="preserve">Apache Kafka for real-time data ingestion from live database APIs (FAERS, ClinicalTrials.gov, Drugs@FDA).</w:t>
      </w:r>
    </w:p>
    <w:p>
      <w:pPr>
        <w:pStyle w:val="ListParagraph"/>
        <w:numPr>
          <w:ilvl w:val="0"/>
          <w:numId w:val="21"/>
        </w:numPr>
        <w:spacing w:after="80"/>
      </w:pPr>
      <w:r>
        <w:rPr>
          <w:rFonts w:ascii="Arial" w:cs="Arial" w:eastAsia="Arial" w:hAnsi="Arial"/>
          <w:b/>
          <w:bCs/>
          <w:color w:val="1F2937"/>
          <w:sz w:val="22"/>
          <w:szCs w:val="22"/>
        </w:rPr>
        <w:t xml:space="preserve">ETL: </w:t>
      </w:r>
      <w:r>
        <w:rPr>
          <w:rFonts w:ascii="Arial" w:cs="Arial" w:eastAsia="Arial" w:hAnsi="Arial"/>
          <w:color w:val="1F2937"/>
          <w:sz w:val="22"/>
          <w:szCs w:val="22"/>
        </w:rPr>
        <w:t xml:space="preserve">HIPAA-compliant extract-transform-load pipelines with data quality validation at each stage.</w:t>
      </w:r>
    </w:p>
    <w:p>
      <w:pPr>
        <w:pStyle w:val="ListParagraph"/>
        <w:numPr>
          <w:ilvl w:val="0"/>
          <w:numId w:val="21"/>
        </w:numPr>
        <w:spacing w:after="80"/>
      </w:pPr>
      <w:r>
        <w:rPr>
          <w:rFonts w:ascii="Arial" w:cs="Arial" w:eastAsia="Arial" w:hAnsi="Arial"/>
          <w:b/>
          <w:bCs/>
          <w:color w:val="1F2937"/>
          <w:sz w:val="22"/>
          <w:szCs w:val="22"/>
        </w:rPr>
        <w:t xml:space="preserve">Model serving: </w:t>
      </w:r>
      <w:r>
        <w:rPr>
          <w:rFonts w:ascii="Arial" w:cs="Arial" w:eastAsia="Arial" w:hAnsi="Arial"/>
          <w:color w:val="1F2937"/>
          <w:sz w:val="22"/>
          <w:szCs w:val="22"/>
        </w:rPr>
        <w:t xml:space="preserve">Ray Serve for distributed model inference with Kubernetes orchestration.</w:t>
      </w:r>
    </w:p>
    <w:p>
      <w:pPr>
        <w:pStyle w:val="ListParagraph"/>
        <w:numPr>
          <w:ilvl w:val="0"/>
          <w:numId w:val="21"/>
        </w:numPr>
        <w:spacing w:after="80"/>
      </w:pPr>
      <w:r>
        <w:rPr>
          <w:rFonts w:ascii="Arial" w:cs="Arial" w:eastAsia="Arial" w:hAnsi="Arial"/>
          <w:b/>
          <w:bCs/>
          <w:color w:val="1F2937"/>
          <w:sz w:val="22"/>
          <w:szCs w:val="22"/>
        </w:rPr>
        <w:t xml:space="preserve">Caching: </w:t>
      </w:r>
      <w:r>
        <w:rPr>
          <w:rFonts w:ascii="Arial" w:cs="Arial" w:eastAsia="Arial" w:hAnsi="Arial"/>
          <w:color w:val="1F2937"/>
          <w:sz w:val="22"/>
          <w:szCs w:val="22"/>
        </w:rPr>
        <w:t xml:space="preserve">Redis for embedding cache and frequently accessed database query results.</w:t>
      </w:r>
    </w:p>
    <w:p>
      <w:pPr>
        <w:pStyle w:val="ListParagraph"/>
        <w:numPr>
          <w:ilvl w:val="0"/>
          <w:numId w:val="21"/>
        </w:numPr>
        <w:spacing w:after="80"/>
      </w:pPr>
      <w:r>
        <w:rPr>
          <w:rFonts w:ascii="Arial" w:cs="Arial" w:eastAsia="Arial" w:hAnsi="Arial"/>
          <w:b/>
          <w:bCs/>
          <w:color w:val="1F2937"/>
          <w:sz w:val="22"/>
          <w:szCs w:val="22"/>
        </w:rPr>
        <w:t xml:space="preserve">Monitoring: </w:t>
      </w:r>
      <w:r>
        <w:rPr>
          <w:rFonts w:ascii="Arial" w:cs="Arial" w:eastAsia="Arial" w:hAnsi="Arial"/>
          <w:color w:val="1F2937"/>
          <w:sz w:val="22"/>
          <w:szCs w:val="22"/>
        </w:rPr>
        <w:t xml:space="preserve">Prometheus + Grafana for model performance tracking with clinical outcome dashboards.</w:t>
      </w:r>
    </w:p>
    <w:p>
      <w:pPr>
        <w:pStyle w:val="ListParagraph"/>
        <w:numPr>
          <w:ilvl w:val="0"/>
          <w:numId w:val="21"/>
        </w:numPr>
        <w:spacing w:after="80"/>
      </w:pPr>
      <w:r>
        <w:rPr>
          <w:rFonts w:ascii="Arial" w:cs="Arial" w:eastAsia="Arial" w:hAnsi="Arial"/>
          <w:b/>
          <w:bCs/>
          <w:color w:val="1F2937"/>
          <w:sz w:val="22"/>
          <w:szCs w:val="22"/>
        </w:rPr>
        <w:t xml:space="preserve">Vector store: </w:t>
      </w:r>
      <w:r>
        <w:rPr>
          <w:rFonts w:ascii="Arial" w:cs="Arial" w:eastAsia="Arial" w:hAnsi="Arial"/>
          <w:color w:val="1F2937"/>
          <w:sz w:val="22"/>
          <w:szCs w:val="22"/>
        </w:rPr>
        <w:t xml:space="preserve">ChromaDB for clinical trial embeddings, protocol similarity search, and regulatory precedent retrieval.</w:t>
      </w:r>
    </w:p>
    <w:p>
      <w:pPr>
        <w:pStyle w:val="ListParagraph"/>
        <w:numPr>
          <w:ilvl w:val="0"/>
          <w:numId w:val="21"/>
        </w:numPr>
        <w:spacing w:after="80"/>
      </w:pPr>
      <w:r>
        <w:rPr>
          <w:rFonts w:ascii="Arial" w:cs="Arial" w:eastAsia="Arial" w:hAnsi="Arial"/>
          <w:b/>
          <w:bCs/>
          <w:color w:val="1F2937"/>
          <w:sz w:val="22"/>
          <w:szCs w:val="22"/>
        </w:rPr>
        <w:t xml:space="preserve">Security: </w:t>
      </w:r>
      <w:r>
        <w:rPr>
          <w:rFonts w:ascii="Arial" w:cs="Arial" w:eastAsia="Arial" w:hAnsi="Arial"/>
          <w:color w:val="1F2937"/>
          <w:sz w:val="22"/>
          <w:szCs w:val="22"/>
        </w:rPr>
        <w:t xml:space="preserve">SOC 2 Type II aligned, end-to-end encryption in transit and at rest.</w:t>
      </w:r>
    </w:p>
    <w:p>
      <w:pPr>
        <w:spacing w:after="100"/>
      </w:pPr>
    </w:p>
    <w:p>
      <w:pPr>
        <w:pStyle w:val="Heading2"/>
      </w:pPr>
      <w:r>
        <w:rPr>
          <w:b/>
          <w:bCs/>
        </w:rPr>
        <w:t xml:space="preserve">8.3 Browser-Side Simulation Engines</w:t>
      </w:r>
    </w:p>
    <w:p>
      <w:pPr>
        <w:spacing w:after="140"/>
      </w:pPr>
      <w:r>
        <w:rPr>
          <w:rFonts w:ascii="Arial" w:cs="Arial" w:eastAsia="Arial" w:hAnsi="Arial"/>
          <w:color w:val="1F2937"/>
          <w:sz w:val="22"/>
          <w:szCs w:val="22"/>
        </w:rPr>
        <w:t xml:space="preserve">A distinctive architectural decision in the BioDigital Twin is that the six core simulation engines (inVitroSim.ts, bioactivationEngine.ts, admet.ts, animalSim.ts, cohortSim.ts, trialSim.ts) execute client-side in the browser. This design choice was driven by HAIOps considerations:</w:t>
      </w:r>
    </w:p>
    <w:p>
      <w:pPr>
        <w:pStyle w:val="ListParagraph"/>
        <w:numPr>
          <w:ilvl w:val="0"/>
          <w:numId w:val="22"/>
        </w:numPr>
        <w:spacing w:after="80"/>
      </w:pPr>
      <w:r>
        <w:rPr>
          <w:rFonts w:ascii="Arial" w:cs="Arial" w:eastAsia="Arial" w:hAnsi="Arial"/>
          <w:b/>
          <w:bCs/>
          <w:color w:val="1F2937"/>
          <w:sz w:val="22"/>
          <w:szCs w:val="22"/>
        </w:rPr>
        <w:t xml:space="preserve">Data privacy: </w:t>
      </w:r>
      <w:r>
        <w:rPr>
          <w:rFonts w:ascii="Arial" w:cs="Arial" w:eastAsia="Arial" w:hAnsi="Arial"/>
          <w:color w:val="1F2937"/>
          <w:sz w:val="22"/>
          <w:szCs w:val="22"/>
        </w:rPr>
        <w:t xml:space="preserve">Molecular structures and simulation parameters do not leave the user’s browser for core computations. Only database enrichment queries go to external APIs.</w:t>
      </w:r>
    </w:p>
    <w:p>
      <w:pPr>
        <w:pStyle w:val="ListParagraph"/>
        <w:numPr>
          <w:ilvl w:val="0"/>
          <w:numId w:val="22"/>
        </w:numPr>
        <w:spacing w:after="80"/>
      </w:pPr>
      <w:r>
        <w:rPr>
          <w:rFonts w:ascii="Arial" w:cs="Arial" w:eastAsia="Arial" w:hAnsi="Arial"/>
          <w:b/>
          <w:bCs/>
          <w:color w:val="1F2937"/>
          <w:sz w:val="22"/>
          <w:szCs w:val="22"/>
        </w:rPr>
        <w:t xml:space="preserve">Latency: </w:t>
      </w:r>
      <w:r>
        <w:rPr>
          <w:rFonts w:ascii="Arial" w:cs="Arial" w:eastAsia="Arial" w:hAnsi="Arial"/>
          <w:color w:val="1F2937"/>
          <w:sz w:val="22"/>
          <w:szCs w:val="22"/>
        </w:rPr>
        <w:t xml:space="preserve">Browser-side execution eliminates round-trip latency for the simulation pipeline. Database queries run in parallel during simulation.</w:t>
      </w:r>
    </w:p>
    <w:p>
      <w:pPr>
        <w:pStyle w:val="ListParagraph"/>
        <w:numPr>
          <w:ilvl w:val="0"/>
          <w:numId w:val="22"/>
        </w:numPr>
        <w:spacing w:after="80"/>
      </w:pPr>
      <w:r>
        <w:rPr>
          <w:rFonts w:ascii="Arial" w:cs="Arial" w:eastAsia="Arial" w:hAnsi="Arial"/>
          <w:b/>
          <w:bCs/>
          <w:color w:val="1F2937"/>
          <w:sz w:val="22"/>
          <w:szCs w:val="22"/>
        </w:rPr>
        <w:t xml:space="preserve">Auditability: </w:t>
      </w:r>
      <w:r>
        <w:rPr>
          <w:rFonts w:ascii="Arial" w:cs="Arial" w:eastAsia="Arial" w:hAnsi="Arial"/>
          <w:color w:val="1F2937"/>
          <w:sz w:val="22"/>
          <w:szCs w:val="22"/>
        </w:rPr>
        <w:t xml:space="preserve">Client-side execution means simulation logic is inspectable. The simulation engine source code (TypeScript) can be version-pinned and hash-verified, providing a transparent computation chain.</w:t>
      </w:r>
    </w:p>
    <w:p>
      <w:r>
        <w:br w:type="page"/>
      </w:r>
    </w:p>
    <w:p>
      <w:pPr>
        <w:pStyle w:val="Heading1"/>
      </w:pPr>
      <w:r>
        <w:rPr>
          <w:b/>
          <w:bCs/>
        </w:rPr>
        <w:t xml:space="preserve">9. Strategic Value of HAIOps</w:t>
      </w:r>
    </w:p>
    <w:p>
      <w:pPr>
        <w:pStyle w:val="Heading2"/>
      </w:pPr>
      <w:r>
        <w:rPr>
          <w:b/>
          <w:bCs/>
        </w:rPr>
        <w:t xml:space="preserve">9.1 For Biotech Companies</w:t>
      </w:r>
    </w:p>
    <w:p>
      <w:pPr>
        <w:spacing w:after="140"/>
      </w:pPr>
      <w:r>
        <w:rPr>
          <w:rFonts w:ascii="Arial" w:cs="Arial" w:eastAsia="Arial" w:hAnsi="Arial"/>
          <w:color w:val="1F2937"/>
          <w:sz w:val="22"/>
          <w:szCs w:val="22"/>
        </w:rPr>
        <w:t xml:space="preserve">Small and mid-size biotechs—the primary users of the BioDigital Twin—operate under severe resource constraints. A failed Phase II trial can end a company. HAIOps provides operational value at every decision point:</w:t>
      </w:r>
    </w:p>
    <w:p>
      <w:pPr>
        <w:pStyle w:val="ListParagraph"/>
        <w:numPr>
          <w:ilvl w:val="0"/>
          <w:numId w:val="23"/>
        </w:numPr>
        <w:spacing w:after="80"/>
      </w:pPr>
      <w:r>
        <w:rPr>
          <w:rFonts w:ascii="Arial" w:cs="Arial" w:eastAsia="Arial" w:hAnsi="Arial"/>
          <w:b/>
          <w:bCs/>
          <w:color w:val="1F2937"/>
          <w:sz w:val="22"/>
          <w:szCs w:val="22"/>
        </w:rPr>
        <w:t xml:space="preserve">De-risking budget allocation: </w:t>
      </w:r>
      <w:r>
        <w:rPr>
          <w:rFonts w:ascii="Arial" w:cs="Arial" w:eastAsia="Arial" w:hAnsi="Arial"/>
          <w:color w:val="1F2937"/>
          <w:sz w:val="22"/>
          <w:szCs w:val="22"/>
        </w:rPr>
        <w:t xml:space="preserve">Computational screening with full safety context means fewer compounds advance to expensive animal studies. The GO/WATCH/NO-GO framework provides actionable decision support, not just data.</w:t>
      </w:r>
    </w:p>
    <w:p>
      <w:pPr>
        <w:pStyle w:val="ListParagraph"/>
        <w:numPr>
          <w:ilvl w:val="0"/>
          <w:numId w:val="23"/>
        </w:numPr>
        <w:spacing w:after="80"/>
      </w:pPr>
      <w:r>
        <w:rPr>
          <w:rFonts w:ascii="Arial" w:cs="Arial" w:eastAsia="Arial" w:hAnsi="Arial"/>
          <w:b/>
          <w:bCs/>
          <w:color w:val="1F2937"/>
          <w:sz w:val="22"/>
          <w:szCs w:val="22"/>
        </w:rPr>
        <w:t xml:space="preserve">Regulatory confidence: </w:t>
      </w:r>
      <w:r>
        <w:rPr>
          <w:rFonts w:ascii="Arial" w:cs="Arial" w:eastAsia="Arial" w:hAnsi="Arial"/>
          <w:color w:val="1F2937"/>
          <w:sz w:val="22"/>
          <w:szCs w:val="22"/>
        </w:rPr>
        <w:t xml:space="preserve">The IND-Enabling Checklist and regulatory audit trail mean that when a biotech enters regulatory discussions, they have documented, traceable evidence supporting their development decisions.</w:t>
      </w:r>
    </w:p>
    <w:p>
      <w:pPr>
        <w:pStyle w:val="ListParagraph"/>
        <w:numPr>
          <w:ilvl w:val="0"/>
          <w:numId w:val="23"/>
        </w:numPr>
        <w:spacing w:after="80"/>
      </w:pPr>
      <w:r>
        <w:rPr>
          <w:rFonts w:ascii="Arial" w:cs="Arial" w:eastAsia="Arial" w:hAnsi="Arial"/>
          <w:b/>
          <w:bCs/>
          <w:color w:val="1F2937"/>
          <w:sz w:val="22"/>
          <w:szCs w:val="22"/>
        </w:rPr>
        <w:t xml:space="preserve">Faster FIH dose selection: </w:t>
      </w:r>
      <w:r>
        <w:rPr>
          <w:rFonts w:ascii="Arial" w:cs="Arial" w:eastAsia="Arial" w:hAnsi="Arial"/>
          <w:color w:val="1F2937"/>
          <w:sz w:val="22"/>
          <w:szCs w:val="22"/>
        </w:rPr>
        <w:t xml:space="preserve">The dual-method HED calculation with conservative safety factor enforcement provides a defensible FIH dose without months of manual allometric scaling analysis.</w:t>
      </w:r>
    </w:p>
    <w:p>
      <w:pPr>
        <w:pStyle w:val="ListParagraph"/>
        <w:numPr>
          <w:ilvl w:val="0"/>
          <w:numId w:val="23"/>
        </w:numPr>
        <w:spacing w:after="80"/>
      </w:pPr>
      <w:r>
        <w:rPr>
          <w:rFonts w:ascii="Arial" w:cs="Arial" w:eastAsia="Arial" w:hAnsi="Arial"/>
          <w:b/>
          <w:bCs/>
          <w:color w:val="1F2937"/>
          <w:sz w:val="22"/>
          <w:szCs w:val="22"/>
        </w:rPr>
        <w:t xml:space="preserve">Trial design rigor: </w:t>
      </w:r>
      <w:r>
        <w:rPr>
          <w:rFonts w:ascii="Arial" w:cs="Arial" w:eastAsia="Arial" w:hAnsi="Arial"/>
          <w:color w:val="1F2937"/>
          <w:sz w:val="22"/>
          <w:szCs w:val="22"/>
        </w:rPr>
        <w:t xml:space="preserve">Monte Carlo simulation with competitive landscape context and historical success rate benchmarking gives small biotechs the same analytical sophistication that large pharma achieves with dedicated biostatistics departments.</w:t>
      </w:r>
    </w:p>
    <w:p>
      <w:pPr>
        <w:spacing w:after="100"/>
      </w:pPr>
    </w:p>
    <w:p>
      <w:pPr>
        <w:pStyle w:val="Heading2"/>
      </w:pPr>
      <w:r>
        <w:rPr>
          <w:b/>
          <w:bCs/>
        </w:rPr>
        <w:t xml:space="preserve">9.2 For Regulatory Interactions</w:t>
      </w:r>
    </w:p>
    <w:p>
      <w:pPr>
        <w:spacing w:after="140"/>
      </w:pPr>
      <w:r>
        <w:rPr>
          <w:rFonts w:ascii="Arial" w:cs="Arial" w:eastAsia="Arial" w:hAnsi="Arial"/>
          <w:color w:val="1F2937"/>
          <w:sz w:val="22"/>
          <w:szCs w:val="22"/>
        </w:rPr>
        <w:t xml:space="preserve">HAIOps-governed outputs are designed to support regulatory interactions:</w:t>
      </w:r>
    </w:p>
    <w:p>
      <w:pPr>
        <w:pStyle w:val="ListParagraph"/>
        <w:numPr>
          <w:ilvl w:val="0"/>
          <w:numId w:val="24"/>
        </w:numPr>
        <w:spacing w:after="80"/>
      </w:pPr>
      <w:r>
        <w:rPr>
          <w:rFonts w:ascii="Arial" w:cs="Arial" w:eastAsia="Arial" w:hAnsi="Arial"/>
          <w:b/>
          <w:bCs/>
          <w:color w:val="1F2937"/>
          <w:sz w:val="22"/>
          <w:szCs w:val="22"/>
        </w:rPr>
        <w:t xml:space="preserve">Pre-IND meeting preparation: </w:t>
      </w:r>
      <w:r>
        <w:rPr>
          <w:rFonts w:ascii="Arial" w:cs="Arial" w:eastAsia="Arial" w:hAnsi="Arial"/>
          <w:color w:val="1F2937"/>
          <w:sz w:val="22"/>
          <w:szCs w:val="22"/>
        </w:rPr>
        <w:t xml:space="preserve">The Layer 2 IND-Enabling Checklist maps directly to FDA/EMA expectations. Gaps are identified computationally before the meeting, not discovered during it.</w:t>
      </w:r>
    </w:p>
    <w:p>
      <w:pPr>
        <w:pStyle w:val="ListParagraph"/>
        <w:numPr>
          <w:ilvl w:val="0"/>
          <w:numId w:val="24"/>
        </w:numPr>
        <w:spacing w:after="80"/>
      </w:pPr>
      <w:r>
        <w:rPr>
          <w:rFonts w:ascii="Arial" w:cs="Arial" w:eastAsia="Arial" w:hAnsi="Arial"/>
          <w:b/>
          <w:bCs/>
          <w:color w:val="1F2937"/>
          <w:sz w:val="22"/>
          <w:szCs w:val="22"/>
        </w:rPr>
        <w:t xml:space="preserve">Audit-ready documentation: </w:t>
      </w:r>
      <w:r>
        <w:rPr>
          <w:rFonts w:ascii="Arial" w:cs="Arial" w:eastAsia="Arial" w:hAnsi="Arial"/>
          <w:color w:val="1F2937"/>
          <w:sz w:val="22"/>
          <w:szCs w:val="22"/>
        </w:rPr>
        <w:t xml:space="preserve">21 CFR Part 11-aligned audit trails mean that computational methods can be presented to regulators with full provenance, reproducibility, and version control documentation.</w:t>
      </w:r>
    </w:p>
    <w:p>
      <w:pPr>
        <w:pStyle w:val="ListParagraph"/>
        <w:numPr>
          <w:ilvl w:val="0"/>
          <w:numId w:val="24"/>
        </w:numPr>
        <w:spacing w:after="80"/>
      </w:pPr>
      <w:r>
        <w:rPr>
          <w:rFonts w:ascii="Arial" w:cs="Arial" w:eastAsia="Arial" w:hAnsi="Arial"/>
          <w:b/>
          <w:bCs/>
          <w:color w:val="1F2937"/>
          <w:sz w:val="22"/>
          <w:szCs w:val="22"/>
        </w:rPr>
        <w:t xml:space="preserve">ICH guideline alignment: </w:t>
      </w:r>
      <w:r>
        <w:rPr>
          <w:rFonts w:ascii="Arial" w:cs="Arial" w:eastAsia="Arial" w:hAnsi="Arial"/>
          <w:color w:val="1F2937"/>
          <w:sz w:val="22"/>
          <w:szCs w:val="22"/>
        </w:rPr>
        <w:t xml:space="preserve">Every toxicity prediction and safety assessment references the specific ICH guideline it addresses, making it straightforward to demonstrate that computational methods complement—not replace—standard regulatory science requirements.</w:t>
      </w:r>
    </w:p>
    <w:p>
      <w:pPr>
        <w:spacing w:after="100"/>
      </w:pPr>
    </w:p>
    <w:p>
      <w:pPr>
        <w:pStyle w:val="Heading2"/>
      </w:pPr>
      <w:r>
        <w:rPr>
          <w:b/>
          <w:bCs/>
        </w:rPr>
        <w:t xml:space="preserve">9.3 For Investors and Due Diligence</w:t>
      </w:r>
    </w:p>
    <w:p>
      <w:pPr>
        <w:spacing w:after="140"/>
      </w:pPr>
      <w:r>
        <w:rPr>
          <w:rFonts w:ascii="Arial" w:cs="Arial" w:eastAsia="Arial" w:hAnsi="Arial"/>
          <w:color w:val="1F2937"/>
          <w:sz w:val="22"/>
          <w:szCs w:val="22"/>
        </w:rPr>
        <w:t xml:space="preserve">Investment firms evaluating biotech portfolios benefit from HAIOps governance because it provides verifiable rigor:</w:t>
      </w:r>
    </w:p>
    <w:p>
      <w:pPr>
        <w:pStyle w:val="ListParagraph"/>
        <w:numPr>
          <w:ilvl w:val="0"/>
          <w:numId w:val="25"/>
        </w:numPr>
        <w:spacing w:after="80"/>
      </w:pPr>
      <w:r>
        <w:rPr>
          <w:rFonts w:ascii="Arial" w:cs="Arial" w:eastAsia="Arial" w:hAnsi="Arial"/>
          <w:b/>
          <w:bCs/>
          <w:color w:val="1F2937"/>
          <w:sz w:val="22"/>
          <w:szCs w:val="22"/>
        </w:rPr>
        <w:t xml:space="preserve">Reproducible assessments: </w:t>
      </w:r>
      <w:r>
        <w:rPr>
          <w:rFonts w:ascii="Arial" w:cs="Arial" w:eastAsia="Arial" w:hAnsi="Arial"/>
          <w:color w:val="1F2937"/>
          <w:sz w:val="22"/>
          <w:szCs w:val="22"/>
        </w:rPr>
        <w:t xml:space="preserve">Every simulation can be independently reproduced by running the same inputs through the same platform version. Due diligence is not dependent on opaque proprietary models with no audit trail.</w:t>
      </w:r>
    </w:p>
    <w:p>
      <w:pPr>
        <w:pStyle w:val="ListParagraph"/>
        <w:numPr>
          <w:ilvl w:val="0"/>
          <w:numId w:val="25"/>
        </w:numPr>
        <w:spacing w:after="80"/>
      </w:pPr>
      <w:r>
        <w:rPr>
          <w:rFonts w:ascii="Arial" w:cs="Arial" w:eastAsia="Arial" w:hAnsi="Arial"/>
          <w:b/>
          <w:bCs/>
          <w:color w:val="1F2937"/>
          <w:sz w:val="22"/>
          <w:szCs w:val="22"/>
        </w:rPr>
        <w:t xml:space="preserve">Risk quantification: </w:t>
      </w:r>
      <w:r>
        <w:rPr>
          <w:rFonts w:ascii="Arial" w:cs="Arial" w:eastAsia="Arial" w:hAnsi="Arial"/>
          <w:color w:val="1F2937"/>
          <w:sz w:val="22"/>
          <w:szCs w:val="22"/>
        </w:rPr>
        <w:t xml:space="preserve">Safety flags, confidence scores, and competitive landscape data provide a structured risk assessment framework rather than qualitative judgment calls.</w:t>
      </w:r>
    </w:p>
    <w:p>
      <w:pPr>
        <w:pStyle w:val="ListParagraph"/>
        <w:numPr>
          <w:ilvl w:val="0"/>
          <w:numId w:val="25"/>
        </w:numPr>
        <w:spacing w:after="80"/>
      </w:pPr>
      <w:r>
        <w:rPr>
          <w:rFonts w:ascii="Arial" w:cs="Arial" w:eastAsia="Arial" w:hAnsi="Arial"/>
          <w:b/>
          <w:bCs/>
          <w:color w:val="1F2937"/>
          <w:sz w:val="22"/>
          <w:szCs w:val="22"/>
        </w:rPr>
        <w:t xml:space="preserve">Pipeline credibility signal: </w:t>
      </w:r>
      <w:r>
        <w:rPr>
          <w:rFonts w:ascii="Arial" w:cs="Arial" w:eastAsia="Arial" w:hAnsi="Arial"/>
          <w:color w:val="1F2937"/>
          <w:sz w:val="22"/>
          <w:szCs w:val="22"/>
        </w:rPr>
        <w:t xml:space="preserve">A biotech using HAIOps-governed computational methods signals to investors that their development decisions are data-driven, traceable, and safety-conscious—qualities that reduce investment risk.</w:t>
      </w:r>
    </w:p>
    <w:p>
      <w:pPr>
        <w:spacing w:after="100"/>
      </w:pPr>
    </w:p>
    <w:p>
      <w:pPr>
        <w:pStyle w:val="Heading2"/>
      </w:pPr>
      <w:r>
        <w:rPr>
          <w:b/>
          <w:bCs/>
        </w:rPr>
        <w:t xml:space="preserve">9.4 Competitive Differentiation</w:t>
      </w:r>
    </w:p>
    <w:p>
      <w:pPr>
        <w:spacing w:after="140"/>
      </w:pPr>
      <w:r>
        <w:rPr>
          <w:rFonts w:ascii="Arial" w:cs="Arial" w:eastAsia="Arial" w:hAnsi="Arial"/>
          <w:color w:val="1F2937"/>
          <w:sz w:val="22"/>
          <w:szCs w:val="22"/>
        </w:rPr>
        <w:t xml:space="preserve">HAIOps is not an incremental improvement over standard MLOps applied to healthcare. It represents a different operational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Generic AI + MLOps</w:t>
            </w:r>
          </w:p>
        </w:tc>
        <w:tc>
          <w:tcPr>
            <w:tcW w:type="dxa" w:w="43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HakaseAI BioDigital Twin + HAIOps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AI models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General-purpose LLMs prompted with medical context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Purpose-built models (ChemBERTa, ESM-2, TrialBERT) trained on domain-specific scientific data</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Safety handling</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Post-hoc filtering or disclaimer</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Structural safety flag cascade propagating through all layers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Regulatory support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Generic compliance checklist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ICH guideline-mapped checklist with specific standard references per finding</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Validation</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Statistical benchmarks (AUC, F1)</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validation against published experimental data from BindingDB, ChEMBL, ToxRefDB, ClinicalTrials.gov</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Audit trail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Model versioning and logs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 provenance chain: input → computation → enrichment → decision, 21 CFR Part 11-aligned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Decision support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Binary recommendation or score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Three-tier GO/WATCH/NO-GO with confidence intervals, safety flags, and mandatory review annotations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Data enrichment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Static training data</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12+ live database integrations with version-stamped queries and real-time safety signal enrichment from FAERS/SIDER</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Error handling</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Model outputs without uncertainty context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Graceful degradation, confidence downgrading, extrapolation warnings, override logging</w:t>
            </w:r>
          </w:p>
        </w:tc>
      </w:tr>
    </w:tbl>
    <w:p>
      <w:r>
        <w:br w:type="page"/>
      </w:r>
    </w:p>
    <w:p>
      <w:pPr>
        <w:pStyle w:val="Heading1"/>
      </w:pPr>
      <w:r>
        <w:rPr>
          <w:b/>
          <w:bCs/>
        </w:rPr>
        <w:t xml:space="preserve">10. Implementation and Maturity Roadmap</w:t>
      </w:r>
    </w:p>
    <w:p>
      <w:pPr>
        <w:pStyle w:val="Heading2"/>
      </w:pPr>
      <w:r>
        <w:rPr>
          <w:b/>
          <w:bCs/>
        </w:rPr>
        <w:t xml:space="preserve">10.1 HAIOps Maturity Model</w:t>
      </w:r>
    </w:p>
    <w:p>
      <w:pPr>
        <w:spacing w:after="140"/>
      </w:pPr>
      <w:r>
        <w:rPr>
          <w:rFonts w:ascii="Arial" w:cs="Arial" w:eastAsia="Arial" w:hAnsi="Arial"/>
          <w:color w:val="1F2937"/>
          <w:sz w:val="22"/>
          <w:szCs w:val="22"/>
        </w:rPr>
        <w:t xml:space="preserve">HAIOps implementation follows a phased maturity model. Each phase builds on the previous, with clear capability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360"/>
        <w:gridCol w:w="2600"/>
      </w:tblGrid>
      <w:tr>
        <w:trPr>
          <w:tblHeader/>
        </w:trPr>
        <w:tc>
          <w:tcPr>
            <w:tcW w:type="dxa" w:w="1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43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c>
          <w:tcPr>
            <w:tcW w:type="dxa" w:w="26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Maturity Gate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Foundation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Months 1–2</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Model versioning, basic audit trails, input validation, deterministic output verification, version pinning for all simulation engines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All Critical-class models have version-pinned, regression-tested deployment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Validation</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Months 3–4</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validation pipelines against published experimental data, confidence scoring on all outputs, safety flag implementation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Every GO/NO-GO verdict includes provenance trace and confidence interval</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Integration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Months 5–8</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Live database enrichment with version-stamped queries, cross-source consistency checks, safety flag cascade across all four layers, FAERS/SIDER real-time enrichment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 data lineage from input to decision across all four layers; safety flags persist through cascade</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Compliance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Months 9–10</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21 CFR Part 11 audit trail completion, ICH guideline mapping for all toxicity and safety assessments, regulatory export formats (JSON, PDF with provenance)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Platform outputs pass simulated regulatory audit review</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Maturation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Months 11–12</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Bias detection and clinical equity monitoring, model drift detection with automated investigation triggers, incident response protocols for Critical-class models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Complete HAIOps governance operational for all model classes</w:t>
            </w:r>
          </w:p>
        </w:tc>
      </w:tr>
    </w:tbl>
    <w:p>
      <w:pPr>
        <w:spacing w:after="100"/>
      </w:pPr>
    </w:p>
    <w:p>
      <w:pPr>
        <w:pStyle w:val="Heading2"/>
      </w:pPr>
      <w:r>
        <w:rPr>
          <w:b/>
          <w:bCs/>
        </w:rPr>
        <w:t xml:space="preserve">10.2 Continuous Improvement</w:t>
      </w:r>
    </w:p>
    <w:p>
      <w:pPr>
        <w:spacing w:after="140"/>
      </w:pPr>
      <w:r>
        <w:rPr>
          <w:rFonts w:ascii="Arial" w:cs="Arial" w:eastAsia="Arial" w:hAnsi="Arial"/>
          <w:color w:val="1F2937"/>
          <w:sz w:val="22"/>
          <w:szCs w:val="22"/>
        </w:rPr>
        <w:t xml:space="preserve">HAIOps is not a one-time implementation. The framework includes continuous improvement mechanisms:</w:t>
      </w:r>
    </w:p>
    <w:p>
      <w:pPr>
        <w:pStyle w:val="ListParagraph"/>
        <w:numPr>
          <w:ilvl w:val="0"/>
          <w:numId w:val="26"/>
        </w:numPr>
        <w:spacing w:after="80"/>
      </w:pPr>
      <w:r>
        <w:rPr>
          <w:rFonts w:ascii="Arial" w:cs="Arial" w:eastAsia="Arial" w:hAnsi="Arial"/>
          <w:b/>
          <w:bCs/>
          <w:color w:val="1F2937"/>
          <w:sz w:val="22"/>
          <w:szCs w:val="22"/>
        </w:rPr>
        <w:t xml:space="preserve">Validation set expansion: </w:t>
      </w:r>
      <w:r>
        <w:rPr>
          <w:rFonts w:ascii="Arial" w:cs="Arial" w:eastAsia="Arial" w:hAnsi="Arial"/>
          <w:color w:val="1F2937"/>
          <w:sz w:val="22"/>
          <w:szCs w:val="22"/>
        </w:rPr>
        <w:t xml:space="preserve">As new experimental data becomes available in ChEMBL, BindingDB, ToxRefDB, and ClinicalTrials.gov, clinical validation sets are updated and models re-evaluated.</w:t>
      </w:r>
    </w:p>
    <w:p>
      <w:pPr>
        <w:pStyle w:val="ListParagraph"/>
        <w:numPr>
          <w:ilvl w:val="0"/>
          <w:numId w:val="26"/>
        </w:numPr>
        <w:spacing w:after="80"/>
      </w:pPr>
      <w:r>
        <w:rPr>
          <w:rFonts w:ascii="Arial" w:cs="Arial" w:eastAsia="Arial" w:hAnsi="Arial"/>
          <w:b/>
          <w:bCs/>
          <w:color w:val="1F2937"/>
          <w:sz w:val="22"/>
          <w:szCs w:val="22"/>
        </w:rPr>
        <w:t xml:space="preserve">Regulatory landscape tracking: </w:t>
      </w:r>
      <w:r>
        <w:rPr>
          <w:rFonts w:ascii="Arial" w:cs="Arial" w:eastAsia="Arial" w:hAnsi="Arial"/>
          <w:color w:val="1F2937"/>
          <w:sz w:val="22"/>
          <w:szCs w:val="22"/>
        </w:rPr>
        <w:t xml:space="preserve">ICH guideline updates, FDA guidance documents, and EMA scientific advice are monitored and mapped to platform assessment criteria.</w:t>
      </w:r>
    </w:p>
    <w:p>
      <w:pPr>
        <w:pStyle w:val="ListParagraph"/>
        <w:numPr>
          <w:ilvl w:val="0"/>
          <w:numId w:val="26"/>
        </w:numPr>
        <w:spacing w:after="80"/>
      </w:pPr>
      <w:r>
        <w:rPr>
          <w:rFonts w:ascii="Arial" w:cs="Arial" w:eastAsia="Arial" w:hAnsi="Arial"/>
          <w:b/>
          <w:bCs/>
          <w:color w:val="1F2937"/>
          <w:sz w:val="22"/>
          <w:szCs w:val="22"/>
        </w:rPr>
        <w:t xml:space="preserve">User feedback integration: </w:t>
      </w:r>
      <w:r>
        <w:rPr>
          <w:rFonts w:ascii="Arial" w:cs="Arial" w:eastAsia="Arial" w:hAnsi="Arial"/>
          <w:color w:val="1F2937"/>
          <w:sz w:val="22"/>
          <w:szCs w:val="22"/>
        </w:rPr>
        <w:t xml:space="preserve">When users report that a prediction diverged significantly from subsequent experimental results, this data point enters the validation pipeline for model improvement.</w:t>
      </w:r>
    </w:p>
    <w:p>
      <w:pPr>
        <w:pStyle w:val="ListParagraph"/>
        <w:numPr>
          <w:ilvl w:val="0"/>
          <w:numId w:val="26"/>
        </w:numPr>
        <w:spacing w:after="80"/>
      </w:pPr>
      <w:r>
        <w:rPr>
          <w:rFonts w:ascii="Arial" w:cs="Arial" w:eastAsia="Arial" w:hAnsi="Arial"/>
          <w:b/>
          <w:bCs/>
          <w:color w:val="1F2937"/>
          <w:sz w:val="22"/>
          <w:szCs w:val="22"/>
        </w:rPr>
        <w:t xml:space="preserve">Database coverage expansion: </w:t>
      </w:r>
      <w:r>
        <w:rPr>
          <w:rFonts w:ascii="Arial" w:cs="Arial" w:eastAsia="Arial" w:hAnsi="Arial"/>
          <w:color w:val="1F2937"/>
          <w:sz w:val="22"/>
          <w:szCs w:val="22"/>
        </w:rPr>
        <w:t xml:space="preserve">As new publicly available healthcare databases become accessible, HAIOps governance processes evaluate and onboard them with appropriate quality controls.</w:t>
      </w:r>
    </w:p>
    <w:p>
      <w:r>
        <w:br w:type="page"/>
      </w:r>
    </w:p>
    <w:p>
      <w:pPr>
        <w:pStyle w:val="Heading1"/>
      </w:pPr>
      <w:r>
        <w:rPr>
          <w:b/>
          <w:bCs/>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1B365D"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21 CFR Part 11</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FDA regulation governing electronic records and electronic signatures—requires audit trails, data integrity, and access controls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AOP</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Adverse Outcome Pathway—OECD framework linking molecular initiating events to adverse health outcomes through a chain of key events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CDISC</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Clinical Data Interchange Standards Consortium—develops data standards (SDTM, ADaM) for regulatory submissions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Clinical Validation</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Verification of model predictions against real-world clinical outcomes, as distinct from statistical validation against test sets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Confidence Scoring</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Quantifying the statistical basis and reliability of a prediction, including data provenance and uncertainty bounds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eCTD</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Electronic Common Technical Document—standardized format for regulatory submission dossiers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FAERS</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FDA Adverse Event Reporting System—post-market safety surveillance database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FIH</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First-In-Human—the first dose administered to human subjects in clinical development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GxP</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Good Practice quality guidelines (GLP, GCP, GMP) governing pharmaceutical development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HAIOps</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Healthcare AI Operations—framework extending MLOps with patient safety, regulatory compliance, and clinical efficacy requirements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HED</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Human Equivalent Dose—animal dose scaled to human using allometric methods (BSA/Km or PBPK-refined)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ICH</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International Council for Harmonisation of Technical Requirements for Pharmaceuticals for Human Use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IND</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Investigational New Drug application—regulatory filing required before first-in-human clinical trials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MLOps</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Machine Learning Operations—practices for deploying and maintaining ML models in production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NOAEL</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 Observed Adverse Effect Level—highest dose showing no adverse effects in animal studies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PBPK</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Physiologically-Based Pharmacokinetic modeling—mechanistic approach to predicting drug disposition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Provenance Chain</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Complete documentation of input sources, computation methods, data enrichment, and decision logic for a given output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Safety Flag Cascade</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Mechanism by which safety-relevant findings persist and propagate through all downstream layers of the simulation pipeline</w:t>
            </w:r>
          </w:p>
        </w:tc>
      </w:tr>
    </w:tbl>
    <w:p>
      <w:pPr>
        <w:spacing w:after="100"/>
      </w:pPr>
    </w:p>
    <w:p>
      <w:pPr>
        <w:spacing w:after="100"/>
      </w:pPr>
    </w:p>
    <w:p>
      <w:pPr>
        <w:pBdr>
          <w:top w:val="single" w:color="E5E7EB" w:sz="1" w:space="8"/>
        </w:pBdr>
        <w:spacing w:before="400"/>
        <w:jc w:val="center"/>
      </w:pPr>
      <w:r>
        <w:rPr>
          <w:rFonts w:ascii="Arial" w:cs="Arial" w:eastAsia="Arial" w:hAnsi="Arial"/>
          <w:i/>
          <w:iCs/>
          <w:color w:val="1F2937"/>
          <w:sz w:val="22"/>
          <w:szCs w:val="22"/>
        </w:rPr>
        <w:t xml:space="preserve">End of Document</w:t>
      </w:r>
    </w:p>
    <w:p>
      <w:pPr>
        <w:spacing w:after="60"/>
        <w:jc w:val="center"/>
      </w:pPr>
      <w:r>
        <w:rPr>
          <w:rFonts w:ascii="Arial" w:cs="Arial" w:eastAsia="Arial" w:hAnsi="Arial"/>
          <w:color w:val="6B7280"/>
          <w:sz w:val="20"/>
          <w:szCs w:val="20"/>
        </w:rPr>
        <w:t xml:space="preserve">HAIOps for HakaseAI BioDigital Twin Platform — v1.0</w:t>
      </w:r>
    </w:p>
    <w:p>
      <w:pPr>
        <w:jc w:val="center"/>
      </w:pPr>
      <w:r>
        <w:rPr>
          <w:rFonts w:ascii="Arial" w:cs="Arial" w:eastAsia="Arial" w:hAnsi="Arial"/>
          <w:color w:val="6B7280"/>
          <w:sz w:val="20"/>
          <w:szCs w:val="20"/>
        </w:rPr>
        <w:t xml:space="preserve">© 2026 AKTHealth Inc.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20"/>
        <w:szCs w:val="20"/>
      </w:rPr>
      <w:t xml:space="preserve">AKTHealth Inc. | HAIOps for BioDigital Twin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color w:val="6B7280"/>
        <w:sz w:val="20"/>
        <w:szCs w:val="20"/>
      </w:rPr>
      <w:t xml:space="preserve">HakaseAI HAIOps Framework</w:t>
    </w:r>
    <w:r>
      <w:t xml:space="preserve">	</w:t>
    </w:r>
    <w:r>
      <w:rPr>
        <w:rFonts w:ascii="Arial" w:cs="Arial" w:eastAsia="Arial" w:hAnsi="Arial"/>
        <w:color w:val="6B7280"/>
        <w:sz w:val="20"/>
        <w:szCs w:val="20"/>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32"/>
    <w:lvlOverride w:ilvl="0">
      <w:startOverride w:val="1"/>
    </w:lvlOverride>
  </w:num>
  <w:num w:numId="14">
    <w:abstractNumId w:val="13"/>
    <w:lvlOverride w:ilvl="0">
      <w:startOverride w:val="1"/>
    </w:lvlOverride>
  </w:num>
  <w:num w:numId="15">
    <w:abstractNumId w:val="3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8"/>
    <w:lvlOverride w:ilvl="0">
      <w:startOverride w:val="1"/>
    </w:lvlOverride>
  </w:num>
  <w:num w:numId="21">
    <w:abstractNumId w:val="19"/>
    <w:lvlOverride w:ilvl="0">
      <w:startOverride w:val="1"/>
    </w:lvlOverride>
  </w:num>
  <w:num w:numId="22">
    <w:abstractNumId w:val="20"/>
    <w:lvlOverride w:ilvl="0">
      <w:startOverride w:val="1"/>
    </w:lvlOverride>
  </w:num>
  <w:num w:numId="23">
    <w:abstractNumId w:val="21"/>
    <w:lvlOverride w:ilvl="0">
      <w:startOverride w:val="1"/>
    </w:lvlOverride>
  </w:num>
  <w:num w:numId="24">
    <w:abstractNumId w:val="22"/>
    <w:lvlOverride w:ilvl="0">
      <w:startOverride w:val="1"/>
    </w:lvlOverride>
  </w:num>
  <w:num w:numId="25">
    <w:abstractNumId w:val="23"/>
    <w:lvlOverride w:ilvl="0">
      <w:startOverride w:val="1"/>
    </w:lvlOverride>
  </w:num>
  <w:num w:numId="26">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2026-03-28T06:51:36.636Z</dcterms:created>
  <dcterms:modified xsi:type="dcterms:W3CDTF">2026-03-28T06:51:36.637Z</dcterms:modified>
</cp:coreProperties>
</file>

<file path=docProps/custom.xml><?xml version="1.0" encoding="utf-8"?>
<Properties xmlns="http://schemas.openxmlformats.org/officeDocument/2006/custom-properties" xmlns:vt="http://schemas.openxmlformats.org/officeDocument/2006/docPropsVTypes"/>
</file>