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7A4D"/>
          <w:sz w:val="56"/>
          <w:szCs w:val="56"/>
        </w:rPr>
        <w:t xml:space="preserve">HakaseAI</w:t>
      </w:r>
    </w:p>
    <w:p>
      <w:pPr>
        <w:spacing w:after="120"/>
        <w:jc w:val="center"/>
      </w:pPr>
      <w:r>
        <w:rPr>
          <w:rFonts w:ascii="Arial" w:cs="Arial" w:eastAsia="Arial" w:hAnsi="Arial"/>
          <w:color w:val="1A1A2E"/>
          <w:sz w:val="36"/>
          <w:szCs w:val="36"/>
        </w:rPr>
        <w:t xml:space="preserve">BioDigital Twin Platform</w:t>
      </w:r>
    </w:p>
    <w:p>
      <w:pPr>
        <w:pBdr>
          <w:bottom w:val="single" w:color="1B7A4D" w:sz="6" w:space="1"/>
        </w:pBdr>
        <w:spacing w:after="300"/>
        <w:jc w:val="center"/>
      </w:pPr>
    </w:p>
    <w:p>
      <w:pPr>
        <w:spacing w:after="160"/>
        <w:jc w:val="center"/>
      </w:pPr>
      <w:r>
        <w:rPr>
          <w:rFonts w:ascii="Arial" w:cs="Arial" w:eastAsia="Arial" w:hAnsi="Arial"/>
          <w:b/>
          <w:bCs/>
          <w:color w:val="1A1A2E"/>
          <w:sz w:val="32"/>
          <w:szCs w:val="32"/>
        </w:rPr>
        <w:t xml:space="preserve">Feature Specification</w:t>
      </w:r>
    </w:p>
    <w:p>
      <w:pPr>
        <w:spacing w:after="80"/>
        <w:jc w:val="center"/>
      </w:pPr>
      <w:r>
        <w:rPr>
          <w:rFonts w:ascii="Arial" w:cs="Arial" w:eastAsia="Arial" w:hAnsi="Arial"/>
          <w:color w:val="2E75B6"/>
          <w:sz w:val="28"/>
          <w:szCs w:val="28"/>
        </w:rPr>
        <w:t xml:space="preserve">Prognostic Covariate Adjustment (PROCOVA-Style)</w:t>
      </w:r>
    </w:p>
    <w:p>
      <w:pPr>
        <w:spacing w:after="80"/>
        <w:jc w:val="center"/>
      </w:pPr>
      <w:r>
        <w:rPr>
          <w:rFonts w:ascii="Arial" w:cs="Arial" w:eastAsia="Arial" w:hAnsi="Arial"/>
          <w:color w:val="666666"/>
          <w:sz w:val="24"/>
          <w:szCs w:val="24"/>
        </w:rPr>
        <w:t xml:space="preserve">Integration into Layer 4 — Trial Digital Twin</w:t>
      </w:r>
    </w:p>
    <w:p>
      <w:pPr>
        <w:spacing w:after="80"/>
      </w:pPr>
    </w:p>
    <w:p>
      <w:pPr>
        <w:spacing w:after="80"/>
      </w:pPr>
    </w:p>
    <w:p>
      <w:pPr>
        <w:spacing w:after="80"/>
      </w:pPr>
    </w:p>
    <w:p>
      <w:pPr>
        <w:spacing w:after="80"/>
      </w:pPr>
    </w:p>
    <w:p>
      <w:pPr>
        <w:spacing w:after="80"/>
        <w:jc w:val="center"/>
      </w:pPr>
      <w:r>
        <w:rPr>
          <w:rFonts w:ascii="Arial" w:cs="Arial" w:eastAsia="Arial" w:hAnsi="Arial"/>
          <w:color w:val="1A1A2E"/>
          <w:sz w:val="22"/>
          <w:szCs w:val="22"/>
        </w:rPr>
        <w:t xml:space="preserve">AKTHealth Inc.</w:t>
      </w:r>
    </w:p>
    <w:p>
      <w:pPr>
        <w:spacing w:after="80"/>
        <w:jc w:val="center"/>
      </w:pPr>
      <w:r>
        <w:rPr>
          <w:rFonts w:ascii="Arial" w:cs="Arial" w:eastAsia="Arial" w:hAnsi="Arial"/>
          <w:color w:val="666666"/>
          <w:sz w:val="20"/>
          <w:szCs w:val="20"/>
        </w:rPr>
        <w:t xml:space="preserve">Version 1.0  |  March 2026</w:t>
      </w:r>
    </w:p>
    <w:p>
      <w:pPr>
        <w:spacing w:after="80"/>
        <w:jc w:val="center"/>
      </w:pPr>
      <w:r>
        <w:rPr>
          <w:rFonts w:ascii="Arial" w:cs="Arial" w:eastAsia="Arial" w:hAnsi="Arial"/>
          <w:i/>
          <w:iCs/>
          <w:color w:val="666666"/>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2"/>
          <w:szCs w:val="32"/>
        </w:rPr>
        <w:t xml:space="preserve">1. Executive Summary</w:t>
      </w:r>
    </w:p>
    <w:p>
      <w:pPr>
        <w:spacing w:after="160" w:line="276"/>
      </w:pPr>
      <w:r>
        <w:rPr>
          <w:rFonts w:ascii="Arial" w:cs="Arial" w:eastAsia="Arial" w:hAnsi="Arial"/>
          <w:color w:val="1A1A2E"/>
          <w:sz w:val="21"/>
          <w:szCs w:val="21"/>
        </w:rPr>
        <w:t xml:space="preserve">This feature specification defines the integration of Prognostic Covariate Adjustment (PROCOVA-style) analysis into Layer 4 (Trial Digital Twin) of the HakaseAI BioDigital Twin platform. The feature enables sponsors to model the impact of AI-enhanced trial designs that use prognostic scoring to reduce control arm enrollment by 20–30% while maintaining equivalent statistical power.</w:t>
      </w:r>
    </w:p>
    <w:p>
      <w:pPr>
        <w:spacing w:after="160" w:line="276"/>
      </w:pPr>
      <w:r>
        <w:rPr>
          <w:rFonts w:ascii="Arial" w:cs="Arial" w:eastAsia="Arial" w:hAnsi="Arial"/>
          <w:color w:val="1A1A2E"/>
          <w:sz w:val="21"/>
          <w:szCs w:val="21"/>
        </w:rPr>
        <w:t xml:space="preserve">The integration does not require building a patient-level Digital Twin Generator (DTG). Instead, it models the downstream statistical impact of prognostic covariate adjustment using published variance reduction ranges, giving sponsors a decision-support tool for evaluating whether PROCOVA-style designs are viable for their indication and trial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7A4D" w:sz="12"/>
              <w:bottom w:val="none" w:sz="0"/>
              <w:right w:val="none" w:sz="0"/>
            </w:tcBorders>
            <w:shd w:fill="F0F7F4" w:val="clear"/>
            <w:tcMar>
              <w:top w:type="dxa" w:w="120"/>
              <w:left w:type="dxa" w:w="200"/>
              <w:bottom w:type="dxa" w:w="120"/>
              <w:right w:type="dxa" w:w="200"/>
            </w:tcMar>
          </w:tcPr>
          <w:p>
            <w:pPr>
              <w:spacing w:after="60"/>
            </w:pPr>
            <w:r>
              <w:rPr>
                <w:rFonts w:ascii="Arial" w:cs="Arial" w:eastAsia="Arial" w:hAnsi="Arial"/>
                <w:b/>
                <w:bCs/>
                <w:color w:val="1B7A4D"/>
                <w:sz w:val="21"/>
                <w:szCs w:val="21"/>
              </w:rPr>
              <w:t xml:space="preserve">Regulatory Context</w:t>
            </w:r>
          </w:p>
          <w:p>
            <w:pPr>
              <w:spacing w:after="0"/>
            </w:pPr>
            <w:r>
              <w:rPr>
                <w:rFonts w:ascii="Arial" w:cs="Arial" w:eastAsia="Arial" w:hAnsi="Arial"/>
                <w:color w:val="1A1A2E"/>
                <w:sz w:val="20"/>
                <w:szCs w:val="20"/>
              </w:rPr>
              <w:t xml:space="preserve">PROCOVA has been qualified by the European Medicines Agency (EMA) for primary analysis in Phase 2 and 3 clinical trials with continuous outcomes (September 2022). The U.S. FDA Center for Drug Evaluation and Research (CDER) has concurred that PROCOVA does not deviate from current FDA guidance on covariate adjustment. This regulatory precedent establishes PROCOVA-style analysis as a viable, accepted methodology.</w:t>
            </w:r>
          </w:p>
        </w:tc>
      </w:tr>
    </w:tbl>
    <w:p>
      <w:pPr>
        <w:spacing w:after="80"/>
      </w:pPr>
    </w:p>
    <w:p>
      <w:pPr>
        <w:pStyle w:val="Heading1"/>
        <w:spacing w:after="200" w:before="360"/>
      </w:pPr>
      <w:r>
        <w:rPr>
          <w:rFonts w:ascii="Arial" w:cs="Arial" w:eastAsia="Arial" w:hAnsi="Arial"/>
          <w:b/>
          <w:bCs/>
          <w:color w:val="1A1A2E"/>
          <w:sz w:val="32"/>
          <w:szCs w:val="32"/>
        </w:rPr>
        <w:t xml:space="preserve">2. Background</w:t>
      </w:r>
    </w:p>
    <w:p>
      <w:pPr>
        <w:pStyle w:val="Heading2"/>
        <w:spacing w:after="160" w:before="280"/>
      </w:pPr>
      <w:r>
        <w:rPr>
          <w:rFonts w:ascii="Arial" w:cs="Arial" w:eastAsia="Arial" w:hAnsi="Arial"/>
          <w:b/>
          <w:bCs/>
          <w:color w:val="1B7A4D"/>
          <w:sz w:val="26"/>
          <w:szCs w:val="26"/>
        </w:rPr>
        <w:t xml:space="preserve">2.1 What PROCOVA Is</w:t>
      </w:r>
    </w:p>
    <w:p>
      <w:pPr>
        <w:spacing w:after="160" w:line="276"/>
      </w:pPr>
      <w:r>
        <w:rPr>
          <w:rFonts w:ascii="Arial" w:cs="Arial" w:eastAsia="Arial" w:hAnsi="Arial"/>
          <w:color w:val="1A1A2E"/>
          <w:sz w:val="21"/>
          <w:szCs w:val="21"/>
        </w:rPr>
        <w:t xml:space="preserve">PROCOVA (Prognostic Covariate Adjustment) is a statistical methodology that enhances the standard ANCOVA framework used in clinical trial analysis. In a conventional trial, treatment effects are estimated while adjusting for known baseline covariates such as age, disease severity, or biomarker levels. PROCOVA replaces these individual covariates with a single, AI-generated prognostic score that captures substantially more predictive information.</w:t>
      </w:r>
    </w:p>
    <w:p>
      <w:pPr>
        <w:spacing w:after="160" w:line="276"/>
      </w:pPr>
      <w:r>
        <w:rPr>
          <w:rFonts w:ascii="Arial" w:cs="Arial" w:eastAsia="Arial" w:hAnsi="Arial"/>
          <w:color w:val="1A1A2E"/>
          <w:sz w:val="21"/>
          <w:szCs w:val="21"/>
        </w:rPr>
        <w:t xml:space="preserve">The prognostic score is derived from a machine learning model (a Digital Twin Generator) trained on historical patient-level data. For each enrolled participant, the model forecasts what their clinical outcomes would be if assigned to the control arm. The expected value of this forecast becomes the prognostic score. When used as a covariate in the trial’s statistical model, this score reduces residual variance in the treatment effect estimate by 10–20%.</w:t>
      </w:r>
    </w:p>
    <w:p>
      <w:pPr>
        <w:pStyle w:val="Heading2"/>
        <w:spacing w:after="160" w:before="280"/>
      </w:pPr>
      <w:r>
        <w:rPr>
          <w:rFonts w:ascii="Arial" w:cs="Arial" w:eastAsia="Arial" w:hAnsi="Arial"/>
          <w:b/>
          <w:bCs/>
          <w:color w:val="1B7A4D"/>
          <w:sz w:val="26"/>
          <w:szCs w:val="26"/>
        </w:rPr>
        <w:t xml:space="preserve">2.2 The Statistical Mechanism</w:t>
      </w:r>
    </w:p>
    <w:p>
      <w:pPr>
        <w:spacing w:after="160" w:line="276"/>
      </w:pPr>
      <w:r>
        <w:rPr>
          <w:rFonts w:ascii="Arial" w:cs="Arial" w:eastAsia="Arial" w:hAnsi="Arial"/>
          <w:color w:val="1A1A2E"/>
          <w:sz w:val="21"/>
          <w:szCs w:val="21"/>
        </w:rPr>
        <w:t xml:space="preserve">The treatment effect model under PROCOVA is:</w:t>
      </w:r>
    </w:p>
    <w:p>
      <w:pPr>
        <w:spacing w:after="160" w:before="160"/>
        <w:jc w:val="center"/>
      </w:pPr>
      <w:r>
        <w:rPr>
          <w:rFonts w:ascii="Arial" w:cs="Arial" w:eastAsia="Arial" w:hAnsi="Arial"/>
          <w:b/>
          <w:bCs/>
          <w:i/>
          <w:iCs/>
          <w:color w:val="1A1A2E"/>
          <w:sz w:val="22"/>
          <w:szCs w:val="22"/>
        </w:rPr>
        <w:t xml:space="preserve">Y = β₀ + β₁(Treatment) + β₂(Prognostic Score) + ε</w:t>
      </w:r>
    </w:p>
    <w:p>
      <w:pPr>
        <w:spacing w:after="160" w:line="276"/>
      </w:pPr>
      <w:r>
        <w:rPr>
          <w:rFonts w:ascii="Arial" w:cs="Arial" w:eastAsia="Arial" w:hAnsi="Arial"/>
          <w:color w:val="1A1A2E"/>
          <w:sz w:val="21"/>
          <w:szCs w:val="21"/>
        </w:rPr>
        <w:t xml:space="preserve">Where β₁ is the treatment effect of interest. Because the prognostic score explains a significant portion of the residual variance (ε decreases), the standard error of β₁ shrinks. A smaller standard error means fewer patients are needed to achieve the same statistical significance threshold. This is mathematically equivalent to running a more efficient trial.</w:t>
      </w:r>
    </w:p>
    <w:p>
      <w:pPr>
        <w:pStyle w:val="Heading2"/>
        <w:spacing w:after="160" w:before="280"/>
      </w:pPr>
      <w:r>
        <w:rPr>
          <w:rFonts w:ascii="Arial" w:cs="Arial" w:eastAsia="Arial" w:hAnsi="Arial"/>
          <w:b/>
          <w:bCs/>
          <w:color w:val="1B7A4D"/>
          <w:sz w:val="26"/>
          <w:szCs w:val="26"/>
        </w:rPr>
        <w:t xml:space="preserve">2.3 Current Layer 4 Capabilities</w:t>
      </w:r>
    </w:p>
    <w:p>
      <w:pPr>
        <w:spacing w:after="160" w:line="276"/>
      </w:pPr>
      <w:r>
        <w:rPr>
          <w:rFonts w:ascii="Arial" w:cs="Arial" w:eastAsia="Arial" w:hAnsi="Arial"/>
          <w:color w:val="1A1A2E"/>
          <w:sz w:val="21"/>
          <w:szCs w:val="21"/>
        </w:rPr>
        <w:t xml:space="preserve">Layer 4 currently runs Monte Carlo simulation of clinical trials using inputs cascaded from Layer 3 (responder rate, AE profile, PK parameters). It calculates trial success probability, optimal sample size via power curves, enrollment timelines, site rankings, and cost projections — all assuming standard 1:1 randomized controlled trial (RCT) design.</w:t>
      </w:r>
    </w:p>
    <w:p>
      <w:pPr>
        <w:spacing w:after="160" w:line="276"/>
      </w:pPr>
      <w:r>
        <w:rPr>
          <w:rFonts w:ascii="Arial" w:cs="Arial" w:eastAsia="Arial" w:hAnsi="Arial"/>
          <w:color w:val="1A1A2E"/>
          <w:sz w:val="21"/>
          <w:szCs w:val="21"/>
        </w:rPr>
        <w:t xml:space="preserve">The proposed feature extends Layer 4 to model an alternative design path: asymmetric randomization enabled by prognostic covariate adjustment.</w:t>
      </w:r>
    </w:p>
    <w:p>
      <w:r>
        <w:br w:type="page"/>
      </w:r>
    </w:p>
    <w:p>
      <w:pPr>
        <w:pStyle w:val="Heading1"/>
        <w:spacing w:after="200" w:before="360"/>
      </w:pPr>
      <w:r>
        <w:rPr>
          <w:rFonts w:ascii="Arial" w:cs="Arial" w:eastAsia="Arial" w:hAnsi="Arial"/>
          <w:b/>
          <w:bCs/>
          <w:color w:val="1A1A2E"/>
          <w:sz w:val="32"/>
          <w:szCs w:val="32"/>
        </w:rPr>
        <w:t xml:space="preserve">3. Feature Specification</w:t>
      </w:r>
    </w:p>
    <w:p>
      <w:pPr>
        <w:pStyle w:val="Heading2"/>
        <w:spacing w:after="160" w:before="280"/>
      </w:pPr>
      <w:r>
        <w:rPr>
          <w:rFonts w:ascii="Arial" w:cs="Arial" w:eastAsia="Arial" w:hAnsi="Arial"/>
          <w:b/>
          <w:bCs/>
          <w:color w:val="1B7A4D"/>
          <w:sz w:val="26"/>
          <w:szCs w:val="26"/>
        </w:rPr>
        <w:t xml:space="preserve">3.1 Feature Name</w:t>
      </w:r>
    </w:p>
    <w:p>
      <w:pPr>
        <w:spacing w:after="160" w:line="276"/>
      </w:pPr>
      <w:r>
        <w:rPr>
          <w:rFonts w:ascii="Arial" w:cs="Arial" w:eastAsia="Arial" w:hAnsi="Arial"/>
          <w:color w:val="1A1A2E"/>
          <w:sz w:val="21"/>
          <w:szCs w:val="21"/>
        </w:rPr>
        <w:t xml:space="preserve">AI-Enhanced Trial Design (Prognostic Covariate Adjustment Module)</w:t>
      </w:r>
    </w:p>
    <w:p>
      <w:pPr>
        <w:spacing w:after="80"/>
      </w:pPr>
    </w:p>
    <w:p>
      <w:pPr>
        <w:pStyle w:val="Heading2"/>
        <w:spacing w:after="160" w:before="280"/>
      </w:pPr>
      <w:r>
        <w:rPr>
          <w:rFonts w:ascii="Arial" w:cs="Arial" w:eastAsia="Arial" w:hAnsi="Arial"/>
          <w:b/>
          <w:bCs/>
          <w:color w:val="1B7A4D"/>
          <w:sz w:val="26"/>
          <w:szCs w:val="26"/>
        </w:rPr>
        <w:t xml:space="preserve">3.2 Location in Platform</w:t>
      </w:r>
    </w:p>
    <w:p>
      <w:pPr>
        <w:spacing w:after="160" w:line="276"/>
      </w:pPr>
      <w:r>
        <w:rPr>
          <w:rFonts w:ascii="Arial" w:cs="Arial" w:eastAsia="Arial" w:hAnsi="Arial"/>
          <w:color w:val="1A1A2E"/>
          <w:sz w:val="21"/>
          <w:szCs w:val="21"/>
        </w:rPr>
        <w:t xml:space="preserve">Layer 4 — Trial Digital Twin (EMERALD), presented as a new toggle and results section within the existing trial simulation interface, positioned after the standard Monte Carlo simulation outputs.</w:t>
      </w:r>
    </w:p>
    <w:p>
      <w:pPr>
        <w:spacing w:after="80"/>
      </w:pPr>
    </w:p>
    <w:p>
      <w:pPr>
        <w:pStyle w:val="Heading2"/>
        <w:spacing w:after="160" w:before="280"/>
      </w:pPr>
      <w:r>
        <w:rPr>
          <w:rFonts w:ascii="Arial" w:cs="Arial" w:eastAsia="Arial" w:hAnsi="Arial"/>
          <w:b/>
          <w:bCs/>
          <w:color w:val="1B7A4D"/>
          <w:sz w:val="26"/>
          <w:szCs w:val="26"/>
        </w:rPr>
        <w:t xml:space="preserve">3.3 User Interface: New Input Controls</w:t>
      </w:r>
    </w:p>
    <w:p>
      <w:pPr>
        <w:pStyle w:val="Heading3"/>
        <w:spacing w:after="120" w:before="200"/>
      </w:pPr>
      <w:r>
        <w:rPr>
          <w:rFonts w:ascii="Arial" w:cs="Arial" w:eastAsia="Arial" w:hAnsi="Arial"/>
          <w:b/>
          <w:bCs/>
          <w:color w:val="2E75B6"/>
          <w:sz w:val="22"/>
          <w:szCs w:val="22"/>
        </w:rPr>
        <w:t xml:space="preserve">3.3.1 Primary Toggle</w:t>
      </w:r>
    </w:p>
    <w:p>
      <w:pPr>
        <w:spacing w:after="160" w:line="276"/>
      </w:pPr>
      <w:r>
        <w:rPr>
          <w:rFonts w:ascii="Arial" w:cs="Arial" w:eastAsia="Arial" w:hAnsi="Arial"/>
          <w:color w:val="1A1A2E"/>
          <w:sz w:val="21"/>
          <w:szCs w:val="21"/>
        </w:rPr>
        <w:t xml:space="preserve">A toggle switch labeled “Prognostic Covariate Adjustment” in the Layer 4 input panel. When activated, it enables three new configuration controls and adds the AI-Enhanced Design section to the results panel.</w:t>
      </w:r>
    </w:p>
    <w:p>
      <w:pPr>
        <w:spacing w:after="80"/>
      </w:pPr>
    </w:p>
    <w:p>
      <w:pPr>
        <w:pStyle w:val="Heading3"/>
        <w:spacing w:after="120" w:before="200"/>
      </w:pPr>
      <w:r>
        <w:rPr>
          <w:rFonts w:ascii="Arial" w:cs="Arial" w:eastAsia="Arial" w:hAnsi="Arial"/>
          <w:b/>
          <w:bCs/>
          <w:color w:val="2E75B6"/>
          <w:sz w:val="22"/>
          <w:szCs w:val="22"/>
        </w:rPr>
        <w:t xml:space="preserve">3.3.2 Variance Reduction Estimator</w:t>
      </w:r>
    </w:p>
    <w:p>
      <w:pPr>
        <w:spacing w:after="160" w:line="276"/>
      </w:pPr>
      <w:r>
        <w:rPr>
          <w:rFonts w:ascii="Arial" w:cs="Arial" w:eastAsia="Arial" w:hAnsi="Arial"/>
          <w:color w:val="1A1A2E"/>
          <w:sz w:val="21"/>
          <w:szCs w:val="21"/>
        </w:rPr>
        <w:t xml:space="preserve">A read-only field that auto-populates based on the therapeutic area and endpoint type selected. The platform maintains a lookup table of expected variance reduction percentages derived from published PROCOVA studies, EMA qualification documents, and peer-reviewed meta-analyses. Users can override the auto-populated value with a manual entry (slider: 5–25%).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E0E0E0" w:sz="1"/>
              <w:left w:val="single" w:color="E0E0E0" w:sz="1"/>
              <w:bottom w:val="single" w:color="E0E0E0" w:sz="1"/>
              <w:right w:val="single" w:color="E0E0E0" w:sz="1"/>
            </w:tcBorders>
            <w:shd w:fill="1B7A4D" w:val="clear"/>
            <w:tcMar>
              <w:top w:type="dxa" w:w="80"/>
              <w:left w:type="dxa" w:w="120"/>
              <w:bottom w:type="dxa" w:w="80"/>
              <w:right w:type="dxa" w:w="120"/>
            </w:tcMar>
            <w:vAlign w:val="center"/>
          </w:tcPr>
          <w:p>
            <w:r>
              <w:rPr>
                <w:rFonts w:ascii="Arial" w:cs="Arial" w:eastAsia="Arial" w:hAnsi="Arial"/>
                <w:b/>
                <w:bCs/>
                <w:color w:val="FFFFFF"/>
                <w:sz w:val="20"/>
                <w:szCs w:val="20"/>
              </w:rPr>
              <w:t xml:space="preserve">Therapeutic Area</w:t>
            </w:r>
          </w:p>
        </w:tc>
        <w:tc>
          <w:tcPr>
            <w:tcW w:type="dxa" w:w="2200"/>
            <w:tcBorders>
              <w:top w:val="single" w:color="E0E0E0" w:sz="1"/>
              <w:left w:val="single" w:color="E0E0E0" w:sz="1"/>
              <w:bottom w:val="single" w:color="E0E0E0" w:sz="1"/>
              <w:right w:val="single" w:color="E0E0E0" w:sz="1"/>
            </w:tcBorders>
            <w:shd w:fill="1B7A4D"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 Type</w:t>
            </w:r>
          </w:p>
        </w:tc>
        <w:tc>
          <w:tcPr>
            <w:tcW w:type="dxa" w:w="2400"/>
            <w:tcBorders>
              <w:top w:val="single" w:color="E0E0E0" w:sz="1"/>
              <w:left w:val="single" w:color="E0E0E0" w:sz="1"/>
              <w:bottom w:val="single" w:color="E0E0E0" w:sz="1"/>
              <w:right w:val="single" w:color="E0E0E0" w:sz="1"/>
            </w:tcBorders>
            <w:shd w:fill="1B7A4D"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Variance Reduction</w:t>
            </w:r>
          </w:p>
        </w:tc>
        <w:tc>
          <w:tcPr>
            <w:tcW w:type="dxa" w:w="2560"/>
            <w:tcBorders>
              <w:top w:val="single" w:color="E0E0E0" w:sz="1"/>
              <w:left w:val="single" w:color="E0E0E0" w:sz="1"/>
              <w:bottom w:val="single" w:color="E0E0E0" w:sz="1"/>
              <w:right w:val="single" w:color="E0E0E0" w:sz="1"/>
            </w:tcBorders>
            <w:shd w:fill="1B7A4D"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 Source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Alzheimer’s Disease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ADAS-Cog (continuous)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15–20%</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EMA Qualification Opinion; Unlearn published studies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Multiple Sclerosis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EDSS (continuous)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12–18%</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Published PROCOVA validation studies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ALS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ALSFRS-R (continuous)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14–19%</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VectorY PIONEER-ALS collaboration data</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Oncology</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PFS/OS (time-to-event)</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5–10%</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Estimated; PROCOVA-MMRM adaptation needed</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Rare Disease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Varies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8–15%</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Extrapolated from neurology data</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General (binary endpoint)</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Response rate</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5–12%</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Estimated; logistic PROCOVA extension</w:t>
            </w:r>
          </w:p>
        </w:tc>
      </w:tr>
    </w:tbl>
    <w:p>
      <w:pPr>
        <w:spacing w:after="80"/>
      </w:pPr>
    </w:p>
    <w:p>
      <w:pPr>
        <w:pStyle w:val="Heading3"/>
        <w:spacing w:after="120" w:before="200"/>
      </w:pPr>
      <w:r>
        <w:rPr>
          <w:rFonts w:ascii="Arial" w:cs="Arial" w:eastAsia="Arial" w:hAnsi="Arial"/>
          <w:b/>
          <w:bCs/>
          <w:color w:val="2E75B6"/>
          <w:sz w:val="22"/>
          <w:szCs w:val="22"/>
        </w:rPr>
        <w:t xml:space="preserve">3.3.3 Randomization Ratio Selector</w:t>
      </w:r>
    </w:p>
    <w:p>
      <w:pPr>
        <w:spacing w:after="160" w:line="276"/>
      </w:pPr>
      <w:r>
        <w:rPr>
          <w:rFonts w:ascii="Arial" w:cs="Arial" w:eastAsia="Arial" w:hAnsi="Arial"/>
          <w:color w:val="1A1A2E"/>
          <w:sz w:val="21"/>
          <w:szCs w:val="21"/>
        </w:rPr>
        <w:t xml:space="preserve">A dropdown offering alternative randomization schemes enabled by variance reduction:</w:t>
      </w:r>
    </w:p>
    <w:p>
      <w:pPr>
        <w:pStyle w:val="ListParagraph"/>
        <w:numPr>
          <w:ilvl w:val="0"/>
          <w:numId w:val="2"/>
        </w:numPr>
        <w:spacing w:after="80" w:line="276"/>
      </w:pPr>
      <w:r>
        <w:rPr>
          <w:rFonts w:ascii="Arial" w:cs="Arial" w:eastAsia="Arial" w:hAnsi="Arial"/>
          <w:b/>
          <w:bCs/>
          <w:color w:val="1A1A2E"/>
          <w:sz w:val="21"/>
          <w:szCs w:val="21"/>
        </w:rPr>
        <w:t xml:space="preserve">1:1 (Standard) — </w:t>
      </w:r>
      <w:r>
        <w:rPr>
          <w:rFonts w:ascii="Arial" w:cs="Arial" w:eastAsia="Arial" w:hAnsi="Arial"/>
          <w:color w:val="1A1A2E"/>
          <w:sz w:val="21"/>
          <w:szCs w:val="21"/>
        </w:rPr>
        <w:t xml:space="preserve">Equal treatment and control arms. Baseline for comparison.</w:t>
      </w:r>
    </w:p>
    <w:p>
      <w:pPr>
        <w:pStyle w:val="ListParagraph"/>
        <w:numPr>
          <w:ilvl w:val="0"/>
          <w:numId w:val="2"/>
        </w:numPr>
        <w:spacing w:after="80" w:line="276"/>
      </w:pPr>
      <w:r>
        <w:rPr>
          <w:rFonts w:ascii="Arial" w:cs="Arial" w:eastAsia="Arial" w:hAnsi="Arial"/>
          <w:b/>
          <w:bCs/>
          <w:color w:val="1A1A2E"/>
          <w:sz w:val="21"/>
          <w:szCs w:val="21"/>
        </w:rPr>
        <w:t xml:space="preserve">2:1 (Treatment:Control) — </w:t>
      </w:r>
      <w:r>
        <w:rPr>
          <w:rFonts w:ascii="Arial" w:cs="Arial" w:eastAsia="Arial" w:hAnsi="Arial"/>
          <w:color w:val="1A1A2E"/>
          <w:sz w:val="21"/>
          <w:szCs w:val="21"/>
        </w:rPr>
        <w:t xml:space="preserve">Two-thirds of patients receive active treatment. Moderate control arm reduction.</w:t>
      </w:r>
    </w:p>
    <w:p>
      <w:pPr>
        <w:pStyle w:val="ListParagraph"/>
        <w:numPr>
          <w:ilvl w:val="0"/>
          <w:numId w:val="2"/>
        </w:numPr>
        <w:spacing w:after="80" w:line="276"/>
      </w:pPr>
      <w:r>
        <w:rPr>
          <w:rFonts w:ascii="Arial" w:cs="Arial" w:eastAsia="Arial" w:hAnsi="Arial"/>
          <w:b/>
          <w:bCs/>
          <w:color w:val="1A1A2E"/>
          <w:sz w:val="21"/>
          <w:szCs w:val="21"/>
        </w:rPr>
        <w:t xml:space="preserve">3:1 (Treatment:Control) — </w:t>
      </w:r>
      <w:r>
        <w:rPr>
          <w:rFonts w:ascii="Arial" w:cs="Arial" w:eastAsia="Arial" w:hAnsi="Arial"/>
          <w:color w:val="1A1A2E"/>
          <w:sz w:val="21"/>
          <w:szCs w:val="21"/>
        </w:rPr>
        <w:t xml:space="preserve">Three-quarters receive active treatment. Aggressive reduction; requires higher variance reduction to maintain power.</w:t>
      </w:r>
    </w:p>
    <w:p>
      <w:pPr>
        <w:pStyle w:val="ListParagraph"/>
        <w:numPr>
          <w:ilvl w:val="0"/>
          <w:numId w:val="2"/>
        </w:numPr>
        <w:spacing w:after="80" w:line="276"/>
      </w:pPr>
      <w:r>
        <w:rPr>
          <w:rFonts w:ascii="Arial" w:cs="Arial" w:eastAsia="Arial" w:hAnsi="Arial"/>
          <w:b/>
          <w:bCs/>
          <w:color w:val="1A1A2E"/>
          <w:sz w:val="21"/>
          <w:szCs w:val="21"/>
        </w:rPr>
        <w:t xml:space="preserve">Custom — </w:t>
      </w:r>
      <w:r>
        <w:rPr>
          <w:rFonts w:ascii="Arial" w:cs="Arial" w:eastAsia="Arial" w:hAnsi="Arial"/>
          <w:color w:val="1A1A2E"/>
          <w:sz w:val="21"/>
          <w:szCs w:val="21"/>
        </w:rPr>
        <w:t xml:space="preserve">User-defined ratio for specialized designs.</w:t>
      </w:r>
    </w:p>
    <w:p>
      <w:pPr>
        <w:spacing w:after="80"/>
      </w:pPr>
    </w:p>
    <w:p>
      <w:pPr>
        <w:pStyle w:val="Heading3"/>
        <w:spacing w:after="120" w:before="200"/>
      </w:pPr>
      <w:r>
        <w:rPr>
          <w:rFonts w:ascii="Arial" w:cs="Arial" w:eastAsia="Arial" w:hAnsi="Arial"/>
          <w:b/>
          <w:bCs/>
          <w:color w:val="2E75B6"/>
          <w:sz w:val="22"/>
          <w:szCs w:val="22"/>
        </w:rPr>
        <w:t xml:space="preserve">3.3.4 Confidence Level Override</w:t>
      </w:r>
    </w:p>
    <w:p>
      <w:pPr>
        <w:spacing w:after="160" w:line="276"/>
      </w:pPr>
      <w:r>
        <w:rPr>
          <w:rFonts w:ascii="Arial" w:cs="Arial" w:eastAsia="Arial" w:hAnsi="Arial"/>
          <w:color w:val="1A1A2E"/>
          <w:sz w:val="21"/>
          <w:szCs w:val="21"/>
        </w:rPr>
        <w:t xml:space="preserve">By default, the adjusted power calculation uses the same significance level (α) and power (1−β) as the standard analysis. Users can optionally adjust these for the enhanced design to model conservative or aggressive scenarios.</w:t>
      </w:r>
    </w:p>
    <w:p>
      <w:r>
        <w:br w:type="page"/>
      </w:r>
    </w:p>
    <w:p>
      <w:pPr>
        <w:pStyle w:val="Heading2"/>
        <w:spacing w:after="160" w:before="280"/>
      </w:pPr>
      <w:r>
        <w:rPr>
          <w:rFonts w:ascii="Arial" w:cs="Arial" w:eastAsia="Arial" w:hAnsi="Arial"/>
          <w:b/>
          <w:bCs/>
          <w:color w:val="1B7A4D"/>
          <w:sz w:val="26"/>
          <w:szCs w:val="26"/>
        </w:rPr>
        <w:t xml:space="preserve">3.4 New Results Panel: AI-Enhanced Trial Design</w:t>
      </w:r>
    </w:p>
    <w:p>
      <w:pPr>
        <w:spacing w:after="160" w:line="276"/>
      </w:pPr>
      <w:r>
        <w:rPr>
          <w:rFonts w:ascii="Arial" w:cs="Arial" w:eastAsia="Arial" w:hAnsi="Arial"/>
          <w:color w:val="1A1A2E"/>
          <w:sz w:val="21"/>
          <w:szCs w:val="21"/>
        </w:rPr>
        <w:t xml:space="preserve">When the Prognostic Covariate Adjustment toggle is active, a new tabbed section appears in the Layer 4 results panel. This section presents all outputs in a side-by-side comparison format: Standard Design (left column) vs. PROCOVA-Enhanced Design (right column).</w:t>
      </w:r>
    </w:p>
    <w:p>
      <w:pPr>
        <w:spacing w:after="80"/>
      </w:pPr>
    </w:p>
    <w:p>
      <w:pPr>
        <w:pStyle w:val="Heading3"/>
        <w:spacing w:after="120" w:before="200"/>
      </w:pPr>
      <w:r>
        <w:rPr>
          <w:rFonts w:ascii="Arial" w:cs="Arial" w:eastAsia="Arial" w:hAnsi="Arial"/>
          <w:b/>
          <w:bCs/>
          <w:color w:val="2E75B6"/>
          <w:sz w:val="22"/>
          <w:szCs w:val="22"/>
        </w:rPr>
        <w:t xml:space="preserve">3.4.1 Design Comparison Summary (Tab 1)</w:t>
      </w:r>
    </w:p>
    <w:p>
      <w:pPr>
        <w:spacing w:after="160" w:line="276"/>
      </w:pPr>
      <w:r>
        <w:rPr>
          <w:rFonts w:ascii="Arial" w:cs="Arial" w:eastAsia="Arial" w:hAnsi="Arial"/>
          <w:color w:val="1A1A2E"/>
          <w:sz w:val="21"/>
          <w:szCs w:val="21"/>
        </w:rPr>
        <w:t xml:space="preserve">A head-to-head comparison table showing the impact of prognostic adjustment on key trial parameters: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E0E0E0" w:sz="1"/>
              <w:left w:val="single" w:color="E0E0E0" w:sz="1"/>
              <w:bottom w:val="single" w:color="E0E0E0" w:sz="1"/>
              <w:right w:val="single" w:color="E0E0E0" w:sz="1"/>
            </w:tcBorders>
            <w:shd w:fill="1B7A4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2200"/>
            <w:tcBorders>
              <w:top w:val="single" w:color="E0E0E0" w:sz="1"/>
              <w:left w:val="single" w:color="E0E0E0" w:sz="1"/>
              <w:bottom w:val="single" w:color="E0E0E0" w:sz="1"/>
              <w:right w:val="single" w:color="E0E0E0" w:sz="1"/>
            </w:tcBorders>
            <w:shd w:fill="1B7A4D"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 Design</w:t>
            </w:r>
          </w:p>
        </w:tc>
        <w:tc>
          <w:tcPr>
            <w:tcW w:type="dxa" w:w="2200"/>
            <w:tcBorders>
              <w:top w:val="single" w:color="E0E0E0" w:sz="1"/>
              <w:left w:val="single" w:color="E0E0E0" w:sz="1"/>
              <w:bottom w:val="single" w:color="E0E0E0" w:sz="1"/>
              <w:right w:val="single" w:color="E0E0E0" w:sz="1"/>
            </w:tcBorders>
            <w:shd w:fill="1B7A4D" w:val="clear"/>
            <w:tcMar>
              <w:top w:type="dxa" w:w="80"/>
              <w:left w:type="dxa" w:w="120"/>
              <w:bottom w:type="dxa" w:w="80"/>
              <w:right w:type="dxa" w:w="120"/>
            </w:tcMar>
            <w:vAlign w:val="center"/>
          </w:tcPr>
          <w:p>
            <w:r>
              <w:rPr>
                <w:rFonts w:ascii="Arial" w:cs="Arial" w:eastAsia="Arial" w:hAnsi="Arial"/>
                <w:b/>
                <w:bCs/>
                <w:color w:val="FFFFFF"/>
                <w:sz w:val="20"/>
                <w:szCs w:val="20"/>
              </w:rPr>
              <w:t xml:space="preserve">Enhanced Design</w:t>
            </w:r>
          </w:p>
        </w:tc>
        <w:tc>
          <w:tcPr>
            <w:tcW w:type="dxa" w:w="2760"/>
            <w:tcBorders>
              <w:top w:val="single" w:color="E0E0E0" w:sz="1"/>
              <w:left w:val="single" w:color="E0E0E0" w:sz="1"/>
              <w:bottom w:val="single" w:color="E0E0E0" w:sz="1"/>
              <w:right w:val="single" w:color="E0E0E0" w:sz="1"/>
            </w:tcBorders>
            <w:shd w:fill="1B7A4D" w:val="clear"/>
            <w:tcMar>
              <w:top w:type="dxa" w:w="80"/>
              <w:left w:type="dxa" w:w="120"/>
              <w:bottom w:type="dxa" w:w="80"/>
              <w:right w:type="dxa" w:w="120"/>
            </w:tcMar>
            <w:vAlign w:val="center"/>
          </w:tcPr>
          <w:p>
            <w:r>
              <w:rPr>
                <w:rFonts w:ascii="Arial" w:cs="Arial" w:eastAsia="Arial" w:hAnsi="Arial"/>
                <w:b/>
                <w:bCs/>
                <w:color w:val="FFFFFF"/>
                <w:sz w:val="20"/>
                <w:szCs w:val="20"/>
              </w:rPr>
              <w:t xml:space="preserve">Delta</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Total Sample Size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300</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240</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−60 (−20%)</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Treatment Arm</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150</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150</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0 (unchanged)</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Control Arm</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150</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90</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−60 (−40%)</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Randomization Ratio</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1:1</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5:3</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Statistical Power</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80%</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80%</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0 (equivalent)</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Variance Reduction Applied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15%</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Enrollment Timeline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18 months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14 months</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−4 months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Estimated Cost</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$12.0M</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$9.6M</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−$2.4M (−20%)</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Patients on Placebo</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150</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90</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−60 (ethical benefit)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7A4D" w:sz="12"/>
              <w:bottom w:val="none" w:sz="0"/>
              <w:right w:val="none" w:sz="0"/>
            </w:tcBorders>
            <w:shd w:fill="F0F7F4" w:val="clear"/>
            <w:tcMar>
              <w:top w:type="dxa" w:w="120"/>
              <w:left w:type="dxa" w:w="200"/>
              <w:bottom w:type="dxa" w:w="120"/>
              <w:right w:type="dxa" w:w="200"/>
            </w:tcMar>
          </w:tcPr>
          <w:p>
            <w:pPr>
              <w:spacing w:after="60"/>
            </w:pPr>
            <w:r>
              <w:rPr>
                <w:rFonts w:ascii="Arial" w:cs="Arial" w:eastAsia="Arial" w:hAnsi="Arial"/>
                <w:b/>
                <w:bCs/>
                <w:color w:val="1B7A4D"/>
                <w:sz w:val="21"/>
                <w:szCs w:val="21"/>
              </w:rPr>
              <w:t xml:space="preserve">Note on Treatment Arm Size</w:t>
            </w:r>
          </w:p>
          <w:p>
            <w:pPr>
              <w:spacing w:after="0"/>
            </w:pPr>
            <w:r>
              <w:rPr>
                <w:rFonts w:ascii="Arial" w:cs="Arial" w:eastAsia="Arial" w:hAnsi="Arial"/>
                <w:color w:val="1A1A2E"/>
                <w:sz w:val="20"/>
                <w:szCs w:val="20"/>
              </w:rPr>
              <w:t xml:space="preserve">The treatment arm remains unchanged because regulatory agencies require the same exposure data for safety assessment regardless of control arm design. The enrollment savings come entirely from the reduced control arm.</w:t>
            </w:r>
          </w:p>
        </w:tc>
      </w:tr>
    </w:tbl>
    <w:p>
      <w:pPr>
        <w:spacing w:after="80"/>
      </w:pPr>
    </w:p>
    <w:p>
      <w:pPr>
        <w:pStyle w:val="Heading3"/>
        <w:spacing w:after="120" w:before="200"/>
      </w:pPr>
      <w:r>
        <w:rPr>
          <w:rFonts w:ascii="Arial" w:cs="Arial" w:eastAsia="Arial" w:hAnsi="Arial"/>
          <w:b/>
          <w:bCs/>
          <w:color w:val="2E75B6"/>
          <w:sz w:val="22"/>
          <w:szCs w:val="22"/>
        </w:rPr>
        <w:t xml:space="preserve">3.4.2 Dual Power Curve (Tab 2)</w:t>
      </w:r>
    </w:p>
    <w:p>
      <w:pPr>
        <w:spacing w:after="160" w:line="276"/>
      </w:pPr>
      <w:r>
        <w:rPr>
          <w:rFonts w:ascii="Arial" w:cs="Arial" w:eastAsia="Arial" w:hAnsi="Arial"/>
          <w:color w:val="1A1A2E"/>
          <w:sz w:val="21"/>
          <w:szCs w:val="21"/>
        </w:rPr>
        <w:t xml:space="preserve">An SVG chart overlaying two power curves: the standard design power curve (current Layer 4 output, plotted as a solid emerald line) and the PROCOVA-enhanced power curve (dashed blue line, shifted left). Both curves plot statistical power (1−β) on the y-axis against total sample size (n) on the x-axis. The 80% power threshold is marked as a horizontal dashed line. Vertical markers indicate the optimal n for each design, with the delta (patients saved) annotated between them.</w:t>
      </w:r>
    </w:p>
    <w:p>
      <w:pPr>
        <w:spacing w:after="80"/>
      </w:pPr>
    </w:p>
    <w:p>
      <w:pPr>
        <w:pStyle w:val="Heading3"/>
        <w:spacing w:after="120" w:before="200"/>
      </w:pPr>
      <w:r>
        <w:rPr>
          <w:rFonts w:ascii="Arial" w:cs="Arial" w:eastAsia="Arial" w:hAnsi="Arial"/>
          <w:b/>
          <w:bCs/>
          <w:color w:val="2E75B6"/>
          <w:sz w:val="22"/>
          <w:szCs w:val="22"/>
        </w:rPr>
        <w:t xml:space="preserve">3.4.3 Enrollment Impact Chart (Tab 3)</w:t>
      </w:r>
    </w:p>
    <w:p>
      <w:pPr>
        <w:spacing w:after="160" w:line="276"/>
      </w:pPr>
      <w:r>
        <w:rPr>
          <w:rFonts w:ascii="Arial" w:cs="Arial" w:eastAsia="Arial" w:hAnsi="Arial"/>
          <w:color w:val="1A1A2E"/>
          <w:sz w:val="21"/>
          <w:szCs w:val="21"/>
        </w:rPr>
        <w:t xml:space="preserve">The existing Layer 4 enrollment trajectory chart is extended with a second projection line showing the PROCOVA-enhanced enrollment curve. Because fewer control patients are needed, the target enrollment is reached earlier. The chart displays expected enrollment (solid lines for both designs), 95% confidence intervals, and the time-to-target delta annotated in months.</w:t>
      </w:r>
    </w:p>
    <w:p>
      <w:pPr>
        <w:spacing w:after="80"/>
      </w:pPr>
    </w:p>
    <w:p>
      <w:pPr>
        <w:pStyle w:val="Heading3"/>
        <w:spacing w:after="120" w:before="200"/>
      </w:pPr>
      <w:r>
        <w:rPr>
          <w:rFonts w:ascii="Arial" w:cs="Arial" w:eastAsia="Arial" w:hAnsi="Arial"/>
          <w:b/>
          <w:bCs/>
          <w:color w:val="2E75B6"/>
          <w:sz w:val="22"/>
          <w:szCs w:val="22"/>
        </w:rPr>
        <w:t xml:space="preserve">3.4.4 Cost Savings Breakdown (Tab 4)</w:t>
      </w:r>
    </w:p>
    <w:p>
      <w:pPr>
        <w:spacing w:after="160" w:line="276"/>
      </w:pPr>
      <w:r>
        <w:rPr>
          <w:rFonts w:ascii="Arial" w:cs="Arial" w:eastAsia="Arial" w:hAnsi="Arial"/>
          <w:color w:val="1A1A2E"/>
          <w:sz w:val="21"/>
          <w:szCs w:val="21"/>
        </w:rPr>
        <w:t xml:space="preserve">A detailed cost comparison extending the existing Layer 4 cost summary. The breakdown shows savings across site operations (fewer sites or shorter duration), drug supply (control arm placebo reduction is marginal), clinical monitoring (fewer patient visits in control arm), and lab/biomarker costs (fewer control samples). Includes cost-per-patient for each design and total savings with a ±12% sensitivity range.</w:t>
      </w:r>
    </w:p>
    <w:p>
      <w:pPr>
        <w:spacing w:after="80"/>
      </w:pPr>
    </w:p>
    <w:p>
      <w:pPr>
        <w:pStyle w:val="Heading3"/>
        <w:spacing w:after="120" w:before="200"/>
      </w:pPr>
      <w:r>
        <w:rPr>
          <w:rFonts w:ascii="Arial" w:cs="Arial" w:eastAsia="Arial" w:hAnsi="Arial"/>
          <w:b/>
          <w:bCs/>
          <w:color w:val="2E75B6"/>
          <w:sz w:val="22"/>
          <w:szCs w:val="22"/>
        </w:rPr>
        <w:t xml:space="preserve">3.4.5 Sensitivity Analysis (Tab 5)</w:t>
      </w:r>
    </w:p>
    <w:p>
      <w:pPr>
        <w:spacing w:after="160" w:line="276"/>
      </w:pPr>
      <w:r>
        <w:rPr>
          <w:rFonts w:ascii="Arial" w:cs="Arial" w:eastAsia="Arial" w:hAnsi="Arial"/>
          <w:color w:val="1A1A2E"/>
          <w:sz w:val="21"/>
          <w:szCs w:val="21"/>
        </w:rPr>
        <w:t xml:space="preserve">A heatmap showing how trial parameters change across a range of variance reduction percentages (5–25%) and randomization ratios (1:1 through 4:1). Each cell displays the resulting sample size and power, color-coded from green (maintaining ≥80% power) to red (power drops below threshold). This helps users understand the boundary conditions: at what point does aggressive control arm reduction compromise the trial’s statistical integrity?</w:t>
      </w:r>
    </w:p>
    <w:p>
      <w:pPr>
        <w:spacing w:after="80"/>
      </w:pPr>
    </w:p>
    <w:p>
      <w:pPr>
        <w:pStyle w:val="Heading3"/>
        <w:spacing w:after="120" w:before="200"/>
      </w:pPr>
      <w:r>
        <w:rPr>
          <w:rFonts w:ascii="Arial" w:cs="Arial" w:eastAsia="Arial" w:hAnsi="Arial"/>
          <w:b/>
          <w:bCs/>
          <w:color w:val="2E75B6"/>
          <w:sz w:val="22"/>
          <w:szCs w:val="22"/>
        </w:rPr>
        <w:t xml:space="preserve">3.4.6 Regulatory Guidance Panel (Tab 6)</w:t>
      </w:r>
    </w:p>
    <w:p>
      <w:pPr>
        <w:spacing w:after="160" w:line="276"/>
      </w:pPr>
      <w:r>
        <w:rPr>
          <w:rFonts w:ascii="Arial" w:cs="Arial" w:eastAsia="Arial" w:hAnsi="Arial"/>
          <w:color w:val="1A1A2E"/>
          <w:sz w:val="21"/>
          <w:szCs w:val="21"/>
        </w:rPr>
        <w:t xml:space="preserve">A static reference panel summarizing the regulatory status of prognostic covariate adjustment:</w:t>
      </w:r>
    </w:p>
    <w:p>
      <w:pPr>
        <w:pStyle w:val="ListParagraph"/>
        <w:numPr>
          <w:ilvl w:val="0"/>
          <w:numId w:val="2"/>
        </w:numPr>
        <w:spacing w:after="80" w:line="276"/>
      </w:pPr>
      <w:r>
        <w:rPr>
          <w:rFonts w:ascii="Arial" w:cs="Arial" w:eastAsia="Arial" w:hAnsi="Arial"/>
          <w:b/>
          <w:bCs/>
          <w:color w:val="1A1A2E"/>
          <w:sz w:val="21"/>
          <w:szCs w:val="21"/>
        </w:rPr>
        <w:t xml:space="preserve">EMA: </w:t>
      </w:r>
      <w:r>
        <w:rPr>
          <w:rFonts w:ascii="Arial" w:cs="Arial" w:eastAsia="Arial" w:hAnsi="Arial"/>
          <w:color w:val="1A1A2E"/>
          <w:sz w:val="21"/>
          <w:szCs w:val="21"/>
        </w:rPr>
        <w:t xml:space="preserve">Qualified via formal Qualification Opinion (September 2022) for continuous endpoints in Phase 2/3 trials. Applicable to ADAS-Cog, EDSS, ALSFRS-R, and similar continuous outcome measures.</w:t>
      </w:r>
    </w:p>
    <w:p>
      <w:pPr>
        <w:pStyle w:val="ListParagraph"/>
        <w:numPr>
          <w:ilvl w:val="0"/>
          <w:numId w:val="2"/>
        </w:numPr>
        <w:spacing w:after="80" w:line="276"/>
      </w:pPr>
      <w:r>
        <w:rPr>
          <w:rFonts w:ascii="Arial" w:cs="Arial" w:eastAsia="Arial" w:hAnsi="Arial"/>
          <w:b/>
          <w:bCs/>
          <w:color w:val="1A1A2E"/>
          <w:sz w:val="21"/>
          <w:szCs w:val="21"/>
        </w:rPr>
        <w:t xml:space="preserve">FDA: </w:t>
      </w:r>
      <w:r>
        <w:rPr>
          <w:rFonts w:ascii="Arial" w:cs="Arial" w:eastAsia="Arial" w:hAnsi="Arial"/>
          <w:color w:val="1A1A2E"/>
          <w:sz w:val="21"/>
          <w:szCs w:val="21"/>
        </w:rPr>
        <w:t xml:space="preserve">CDER concurrence that PROCOVA aligns with existing ANCOVA guidance (ICH E9). No separate qualification pathway required; standard pre-specified SAP inclusion is sufficient.</w:t>
      </w:r>
    </w:p>
    <w:p>
      <w:pPr>
        <w:pStyle w:val="ListParagraph"/>
        <w:numPr>
          <w:ilvl w:val="0"/>
          <w:numId w:val="2"/>
        </w:numPr>
        <w:spacing w:after="80" w:line="276"/>
      </w:pPr>
      <w:r>
        <w:rPr>
          <w:rFonts w:ascii="Arial" w:cs="Arial" w:eastAsia="Arial" w:hAnsi="Arial"/>
          <w:b/>
          <w:bCs/>
          <w:color w:val="1A1A2E"/>
          <w:sz w:val="21"/>
          <w:szCs w:val="21"/>
        </w:rPr>
        <w:t xml:space="preserve">ICH E9(R1): </w:t>
      </w:r>
      <w:r>
        <w:rPr>
          <w:rFonts w:ascii="Arial" w:cs="Arial" w:eastAsia="Arial" w:hAnsi="Arial"/>
          <w:color w:val="1A1A2E"/>
          <w:sz w:val="21"/>
          <w:szCs w:val="21"/>
        </w:rPr>
        <w:t xml:space="preserve">Estimand framework compatible. PROCOVA does not alter the estimand; it improves precision of the same treatment effect estimate.</w:t>
      </w:r>
    </w:p>
    <w:p>
      <w:pPr>
        <w:pStyle w:val="ListParagraph"/>
        <w:numPr>
          <w:ilvl w:val="0"/>
          <w:numId w:val="2"/>
        </w:numPr>
        <w:spacing w:after="80" w:line="276"/>
      </w:pPr>
      <w:r>
        <w:rPr>
          <w:rFonts w:ascii="Arial" w:cs="Arial" w:eastAsia="Arial" w:hAnsi="Arial"/>
          <w:b/>
          <w:bCs/>
          <w:color w:val="1A1A2E"/>
          <w:sz w:val="21"/>
          <w:szCs w:val="21"/>
        </w:rPr>
        <w:t xml:space="preserve">Limitations: </w:t>
      </w:r>
      <w:r>
        <w:rPr>
          <w:rFonts w:ascii="Arial" w:cs="Arial" w:eastAsia="Arial" w:hAnsi="Arial"/>
          <w:color w:val="1A1A2E"/>
          <w:sz w:val="21"/>
          <w:szCs w:val="21"/>
        </w:rPr>
        <w:t xml:space="preserve">EMA qualification currently covers continuous endpoints only. Time-to-event (e.g., PFS, OS) and binary endpoints (e.g., response rate) require PROCOVA extensions (PROCOVA-MMRM, logistic PROCOVA) that are under active development but not yet formally qualified.</w:t>
      </w:r>
    </w:p>
    <w:p>
      <w:r>
        <w:br w:type="page"/>
      </w:r>
    </w:p>
    <w:p>
      <w:pPr>
        <w:pStyle w:val="Heading1"/>
        <w:spacing w:after="200" w:before="360"/>
      </w:pPr>
      <w:r>
        <w:rPr>
          <w:rFonts w:ascii="Arial" w:cs="Arial" w:eastAsia="Arial" w:hAnsi="Arial"/>
          <w:b/>
          <w:bCs/>
          <w:color w:val="1A1A2E"/>
          <w:sz w:val="32"/>
          <w:szCs w:val="32"/>
        </w:rPr>
        <w:t xml:space="preserve">4. Technical Implementation</w:t>
      </w:r>
    </w:p>
    <w:p>
      <w:pPr>
        <w:pStyle w:val="Heading2"/>
        <w:spacing w:after="160" w:before="280"/>
      </w:pPr>
      <w:r>
        <w:rPr>
          <w:rFonts w:ascii="Arial" w:cs="Arial" w:eastAsia="Arial" w:hAnsi="Arial"/>
          <w:b/>
          <w:bCs/>
          <w:color w:val="1B7A4D"/>
          <w:sz w:val="26"/>
          <w:szCs w:val="26"/>
        </w:rPr>
        <w:t xml:space="preserve">4.1 Architecture Overview</w:t>
      </w:r>
    </w:p>
    <w:p>
      <w:pPr>
        <w:spacing w:after="160" w:line="276"/>
      </w:pPr>
      <w:r>
        <w:rPr>
          <w:rFonts w:ascii="Arial" w:cs="Arial" w:eastAsia="Arial" w:hAnsi="Arial"/>
          <w:color w:val="1A1A2E"/>
          <w:sz w:val="21"/>
          <w:szCs w:val="21"/>
        </w:rPr>
        <w:t xml:space="preserve">The PROCOVA-style module integrates into the existing Layer 4 simulation engine as an optional analysis pathway. It does not modify the standard Monte Carlo pipeline; instead, it runs in parallel when activated and presents comparative results.</w:t>
      </w:r>
    </w:p>
    <w:p>
      <w:pPr>
        <w:spacing w:after="80"/>
      </w:pPr>
    </w:p>
    <w:p>
      <w:pPr>
        <w:pStyle w:val="Heading3"/>
        <w:spacing w:after="120" w:before="200"/>
      </w:pPr>
      <w:r>
        <w:rPr>
          <w:rFonts w:ascii="Arial" w:cs="Arial" w:eastAsia="Arial" w:hAnsi="Arial"/>
          <w:b/>
          <w:bCs/>
          <w:color w:val="2E75B6"/>
          <w:sz w:val="22"/>
          <w:szCs w:val="22"/>
        </w:rPr>
        <w:t xml:space="preserve">4.1.1 Data Flow</w:t>
      </w:r>
    </w:p>
    <w:p>
      <w:pPr>
        <w:pStyle w:val="ListParagraph"/>
        <w:numPr>
          <w:ilvl w:val="0"/>
          <w:numId w:val="3"/>
        </w:numPr>
        <w:spacing w:after="100" w:line="276"/>
      </w:pPr>
      <w:r>
        <w:rPr>
          <w:rFonts w:ascii="Arial" w:cs="Arial" w:eastAsia="Arial" w:hAnsi="Arial"/>
          <w:color w:val="1A1A2E"/>
          <w:sz w:val="21"/>
          <w:szCs w:val="21"/>
        </w:rPr>
        <w:t xml:space="preserve">User activates the Prognostic Covariate Adjustment toggle in the Layer 4 input panel.</w:t>
      </w:r>
    </w:p>
    <w:p>
      <w:pPr>
        <w:pStyle w:val="ListParagraph"/>
        <w:numPr>
          <w:ilvl w:val="0"/>
          <w:numId w:val="3"/>
        </w:numPr>
        <w:spacing w:after="100" w:line="276"/>
      </w:pPr>
      <w:r>
        <w:rPr>
          <w:rFonts w:ascii="Arial" w:cs="Arial" w:eastAsia="Arial" w:hAnsi="Arial"/>
          <w:color w:val="1A1A2E"/>
          <w:sz w:val="21"/>
          <w:szCs w:val="21"/>
        </w:rPr>
        <w:t xml:space="preserve">The system auto-populates the variance reduction estimate from the indication-specific lookup table, using the therapeutic area and endpoint type configured in Layer 3.</w:t>
      </w:r>
    </w:p>
    <w:p>
      <w:pPr>
        <w:pStyle w:val="ListParagraph"/>
        <w:numPr>
          <w:ilvl w:val="0"/>
          <w:numId w:val="3"/>
        </w:numPr>
        <w:spacing w:after="100" w:line="276"/>
      </w:pPr>
      <w:r>
        <w:rPr>
          <w:rFonts w:ascii="Arial" w:cs="Arial" w:eastAsia="Arial" w:hAnsi="Arial"/>
          <w:color w:val="1A1A2E"/>
          <w:sz w:val="21"/>
          <w:szCs w:val="21"/>
        </w:rPr>
        <w:t xml:space="preserve">The user selects a randomization ratio or accepts the default (2:1).</w:t>
      </w:r>
    </w:p>
    <w:p>
      <w:pPr>
        <w:pStyle w:val="ListParagraph"/>
        <w:numPr>
          <w:ilvl w:val="0"/>
          <w:numId w:val="3"/>
        </w:numPr>
        <w:spacing w:after="100" w:line="276"/>
      </w:pPr>
      <w:r>
        <w:rPr>
          <w:rFonts w:ascii="Arial" w:cs="Arial" w:eastAsia="Arial" w:hAnsi="Arial"/>
          <w:color w:val="1A1A2E"/>
          <w:sz w:val="21"/>
          <w:szCs w:val="21"/>
        </w:rPr>
        <w:t xml:space="preserve">The adjusted power calculation engine computes the new sample size, power curve, and enrollment projections using the variance reduction parameter.</w:t>
      </w:r>
    </w:p>
    <w:p>
      <w:pPr>
        <w:pStyle w:val="ListParagraph"/>
        <w:numPr>
          <w:ilvl w:val="0"/>
          <w:numId w:val="3"/>
        </w:numPr>
        <w:spacing w:after="100" w:line="276"/>
      </w:pPr>
      <w:r>
        <w:rPr>
          <w:rFonts w:ascii="Arial" w:cs="Arial" w:eastAsia="Arial" w:hAnsi="Arial"/>
          <w:color w:val="1A1A2E"/>
          <w:sz w:val="21"/>
          <w:szCs w:val="21"/>
        </w:rPr>
        <w:t xml:space="preserve">The Monte Carlo engine re-executes its 10,000 trial simulations with asymmetric randomization and adjusted variance, producing updated success probability, enrollment, and cost outputs.</w:t>
      </w:r>
    </w:p>
    <w:p>
      <w:pPr>
        <w:pStyle w:val="ListParagraph"/>
        <w:numPr>
          <w:ilvl w:val="0"/>
          <w:numId w:val="3"/>
        </w:numPr>
        <w:spacing w:after="100" w:line="276"/>
      </w:pPr>
      <w:r>
        <w:rPr>
          <w:rFonts w:ascii="Arial" w:cs="Arial" w:eastAsia="Arial" w:hAnsi="Arial"/>
          <w:color w:val="1A1A2E"/>
          <w:sz w:val="21"/>
          <w:szCs w:val="21"/>
        </w:rPr>
        <w:t xml:space="preserve">Both standard and enhanced results are rendered side by side in the results panel.</w:t>
      </w:r>
    </w:p>
    <w:p>
      <w:pPr>
        <w:spacing w:after="80"/>
      </w:pPr>
    </w:p>
    <w:p>
      <w:pPr>
        <w:pStyle w:val="Heading2"/>
        <w:spacing w:after="160" w:before="280"/>
      </w:pPr>
      <w:r>
        <w:rPr>
          <w:rFonts w:ascii="Arial" w:cs="Arial" w:eastAsia="Arial" w:hAnsi="Arial"/>
          <w:b/>
          <w:bCs/>
          <w:color w:val="1B7A4D"/>
          <w:sz w:val="26"/>
          <w:szCs w:val="26"/>
        </w:rPr>
        <w:t xml:space="preserve">4.2 Adjusted Power Calculation</w:t>
      </w:r>
    </w:p>
    <w:p>
      <w:pPr>
        <w:spacing w:after="160" w:line="276"/>
      </w:pPr>
      <w:r>
        <w:rPr>
          <w:rFonts w:ascii="Arial" w:cs="Arial" w:eastAsia="Arial" w:hAnsi="Arial"/>
          <w:color w:val="1A1A2E"/>
          <w:sz w:val="21"/>
          <w:szCs w:val="21"/>
        </w:rPr>
        <w:t xml:space="preserve">The core mathematical adjustment is straightforward. In the standard design, the variance of the treatment effect estimator for a two-sample comparison is:</w:t>
      </w:r>
    </w:p>
    <w:p>
      <w:pPr>
        <w:spacing w:after="160" w:before="160"/>
        <w:jc w:val="center"/>
      </w:pPr>
      <w:r>
        <w:rPr>
          <w:rFonts w:ascii="Arial" w:cs="Arial" w:eastAsia="Arial" w:hAnsi="Arial"/>
          <w:b/>
          <w:bCs/>
          <w:i/>
          <w:iCs/>
          <w:color w:val="1A1A2E"/>
          <w:sz w:val="22"/>
          <w:szCs w:val="22"/>
        </w:rPr>
        <w:t xml:space="preserve">Var(β₁) = σ² × (1/n_T + 1/n_C)</w:t>
      </w:r>
    </w:p>
    <w:p>
      <w:pPr>
        <w:spacing w:after="160" w:line="276"/>
      </w:pPr>
      <w:r>
        <w:rPr>
          <w:rFonts w:ascii="Arial" w:cs="Arial" w:eastAsia="Arial" w:hAnsi="Arial"/>
          <w:color w:val="1A1A2E"/>
          <w:sz w:val="21"/>
          <w:szCs w:val="21"/>
        </w:rPr>
        <w:t xml:space="preserve">With prognostic covariate adjustment reducing residual variance by a factor R (where R is the variance reduction, e.g., 0.15 for 15%), the adjusted variance becomes:</w:t>
      </w:r>
    </w:p>
    <w:p>
      <w:pPr>
        <w:spacing w:after="160" w:before="160"/>
        <w:jc w:val="center"/>
      </w:pPr>
      <w:r>
        <w:rPr>
          <w:rFonts w:ascii="Arial" w:cs="Arial" w:eastAsia="Arial" w:hAnsi="Arial"/>
          <w:b/>
          <w:bCs/>
          <w:i/>
          <w:iCs/>
          <w:color w:val="1A1A2E"/>
          <w:sz w:val="22"/>
          <w:szCs w:val="22"/>
        </w:rPr>
        <w:t xml:space="preserve">Var(β₁)_adj = σ² × (1 − R) × (1/n_T + 1/n_C)</w:t>
      </w:r>
    </w:p>
    <w:p>
      <w:pPr>
        <w:spacing w:after="160" w:line="276"/>
      </w:pPr>
      <w:r>
        <w:rPr>
          <w:rFonts w:ascii="Arial" w:cs="Arial" w:eastAsia="Arial" w:hAnsi="Arial"/>
          <w:color w:val="1A1A2E"/>
          <w:sz w:val="21"/>
          <w:szCs w:val="21"/>
        </w:rPr>
        <w:t xml:space="preserve">This allows reducing n_C while keeping n_T constant and maintaining the same overall variance (and therefore the same power). The minimum control arm size is bounded by the constraint that variance reduction cannot compensate for extreme imbalance — at very low n_C, the 1/n_C term dominates regardless of R.</w:t>
      </w:r>
    </w:p>
    <w:p>
      <w:pPr>
        <w:spacing w:after="80"/>
      </w:pPr>
    </w:p>
    <w:p>
      <w:pPr>
        <w:pStyle w:val="Heading2"/>
        <w:spacing w:after="160" w:before="280"/>
      </w:pPr>
      <w:r>
        <w:rPr>
          <w:rFonts w:ascii="Arial" w:cs="Arial" w:eastAsia="Arial" w:hAnsi="Arial"/>
          <w:b/>
          <w:bCs/>
          <w:color w:val="1B7A4D"/>
          <w:sz w:val="26"/>
          <w:szCs w:val="26"/>
        </w:rPr>
        <w:t xml:space="preserve">4.3 Monte Carlo Integration</w:t>
      </w:r>
    </w:p>
    <w:p>
      <w:pPr>
        <w:spacing w:after="160" w:line="276"/>
      </w:pPr>
      <w:r>
        <w:rPr>
          <w:rFonts w:ascii="Arial" w:cs="Arial" w:eastAsia="Arial" w:hAnsi="Arial"/>
          <w:color w:val="1A1A2E"/>
          <w:sz w:val="21"/>
          <w:szCs w:val="21"/>
        </w:rPr>
        <w:t xml:space="preserve">The existing Monte Carlo engine in Layer 4 simulates 10,000 virtual trials. For the PROCOVA-enhanced path, each simulation iteration applies the variance reduction factor to the simulated treatment effect estimate before evaluating significance. This is equivalent to generating trial outcomes from a distribution with reduced noise, which is the real-world effect of prognostic adjustment.</w:t>
      </w:r>
    </w:p>
    <w:p>
      <w:pPr>
        <w:spacing w:after="160" w:line="276"/>
      </w:pPr>
      <w:r>
        <w:rPr>
          <w:rFonts w:ascii="Arial" w:cs="Arial" w:eastAsia="Arial" w:hAnsi="Arial"/>
          <w:color w:val="1A1A2E"/>
          <w:sz w:val="21"/>
          <w:szCs w:val="21"/>
        </w:rPr>
        <w:t xml:space="preserve">The simulation parameters are modified as follows: (a) the control arm size is set to the adjusted n_C from the power calculation; (b) the treatment arm remains at the standard n_T; (c) the simulated endpoint variance is multiplied by (1 − R); (d) all other parameters (dropout rate, site enrollment rate, treatment effect size) remain unchanged from the standard simulation.</w:t>
      </w:r>
    </w:p>
    <w:p>
      <w:pPr>
        <w:spacing w:after="80"/>
      </w:pPr>
    </w:p>
    <w:p>
      <w:pPr>
        <w:pStyle w:val="Heading2"/>
        <w:spacing w:after="160" w:before="280"/>
      </w:pPr>
      <w:r>
        <w:rPr>
          <w:rFonts w:ascii="Arial" w:cs="Arial" w:eastAsia="Arial" w:hAnsi="Arial"/>
          <w:b/>
          <w:bCs/>
          <w:color w:val="1B7A4D"/>
          <w:sz w:val="26"/>
          <w:szCs w:val="26"/>
        </w:rPr>
        <w:t xml:space="preserve">4.4 Variance Reduction Lookup Table</w:t>
      </w:r>
    </w:p>
    <w:p>
      <w:pPr>
        <w:spacing w:after="160" w:line="276"/>
      </w:pPr>
      <w:r>
        <w:rPr>
          <w:rFonts w:ascii="Arial" w:cs="Arial" w:eastAsia="Arial" w:hAnsi="Arial"/>
          <w:color w:val="1A1A2E"/>
          <w:sz w:val="21"/>
          <w:szCs w:val="21"/>
        </w:rPr>
        <w:t xml:space="preserve">Rather than generating patient-level prognostic scores (which would require a trained Digital Twin Generator and historical patient-level data), the platform maintains a curated lookup table mapping therapeutic area and endpoint type to expected variance reduction ranges. This table is constructed from published sources:</w:t>
      </w:r>
    </w:p>
    <w:p>
      <w:pPr>
        <w:pStyle w:val="ListParagraph"/>
        <w:numPr>
          <w:ilvl w:val="0"/>
          <w:numId w:val="2"/>
        </w:numPr>
        <w:spacing w:after="80" w:line="276"/>
      </w:pPr>
      <w:r>
        <w:rPr>
          <w:rFonts w:ascii="Arial" w:cs="Arial" w:eastAsia="Arial" w:hAnsi="Arial"/>
          <w:b/>
          <w:bCs/>
          <w:color w:val="1A1A2E"/>
          <w:sz w:val="21"/>
          <w:szCs w:val="21"/>
        </w:rPr>
        <w:t xml:space="preserve">EMA Qualification Documents: </w:t>
      </w:r>
      <w:r>
        <w:rPr>
          <w:rFonts w:ascii="Arial" w:cs="Arial" w:eastAsia="Arial" w:hAnsi="Arial"/>
          <w:color w:val="1A1A2E"/>
          <w:sz w:val="21"/>
          <w:szCs w:val="21"/>
        </w:rPr>
        <w:t xml:space="preserve">Formal opinions published for Alzheimer’s (ADAS-Cog), multiple sclerosis (EDSS), and general continuous endpoints.</w:t>
      </w:r>
    </w:p>
    <w:p>
      <w:pPr>
        <w:pStyle w:val="ListParagraph"/>
        <w:numPr>
          <w:ilvl w:val="0"/>
          <w:numId w:val="2"/>
        </w:numPr>
        <w:spacing w:after="80" w:line="276"/>
      </w:pPr>
      <w:r>
        <w:rPr>
          <w:rFonts w:ascii="Arial" w:cs="Arial" w:eastAsia="Arial" w:hAnsi="Arial"/>
          <w:b/>
          <w:bCs/>
          <w:color w:val="1A1A2E"/>
          <w:sz w:val="21"/>
          <w:szCs w:val="21"/>
        </w:rPr>
        <w:t xml:space="preserve">Peer-Reviewed Validation Studies: </w:t>
      </w:r>
      <w:r>
        <w:rPr>
          <w:rFonts w:ascii="Arial" w:cs="Arial" w:eastAsia="Arial" w:hAnsi="Arial"/>
          <w:color w:val="1A1A2E"/>
          <w:sz w:val="21"/>
          <w:szCs w:val="21"/>
        </w:rPr>
        <w:t xml:space="preserve">Published results from PROCOVA analyses across multiple indications, including retrospective validations on historical trial data.</w:t>
      </w:r>
    </w:p>
    <w:p>
      <w:pPr>
        <w:pStyle w:val="ListParagraph"/>
        <w:numPr>
          <w:ilvl w:val="0"/>
          <w:numId w:val="2"/>
        </w:numPr>
        <w:spacing w:after="80" w:line="276"/>
      </w:pPr>
      <w:r>
        <w:rPr>
          <w:rFonts w:ascii="Arial" w:cs="Arial" w:eastAsia="Arial" w:hAnsi="Arial"/>
          <w:b/>
          <w:bCs/>
          <w:color w:val="1A1A2E"/>
          <w:sz w:val="21"/>
          <w:szCs w:val="21"/>
        </w:rPr>
        <w:t xml:space="preserve">PROCOVA-MMRM Extensions: </w:t>
      </w:r>
      <w:r>
        <w:rPr>
          <w:rFonts w:ascii="Arial" w:cs="Arial" w:eastAsia="Arial" w:hAnsi="Arial"/>
          <w:color w:val="1A1A2E"/>
          <w:sz w:val="21"/>
          <w:szCs w:val="21"/>
        </w:rPr>
        <w:t xml:space="preserve">ArXiv and journal publications extending PROCOVA to longitudinal mixed models for repeated measures designs.</w:t>
      </w:r>
    </w:p>
    <w:p>
      <w:pPr>
        <w:pStyle w:val="ListParagraph"/>
        <w:numPr>
          <w:ilvl w:val="0"/>
          <w:numId w:val="2"/>
        </w:numPr>
        <w:spacing w:after="80" w:line="276"/>
      </w:pPr>
      <w:r>
        <w:rPr>
          <w:rFonts w:ascii="Arial" w:cs="Arial" w:eastAsia="Arial" w:hAnsi="Arial"/>
          <w:b/>
          <w:bCs/>
          <w:color w:val="1A1A2E"/>
          <w:sz w:val="21"/>
          <w:szCs w:val="21"/>
        </w:rPr>
        <w:t xml:space="preserve">Collaboration Data: </w:t>
      </w:r>
      <w:r>
        <w:rPr>
          <w:rFonts w:ascii="Arial" w:cs="Arial" w:eastAsia="Arial" w:hAnsi="Arial"/>
          <w:color w:val="1A1A2E"/>
          <w:sz w:val="21"/>
          <w:szCs w:val="21"/>
        </w:rPr>
        <w:t xml:space="preserve">Where available, results from Unlearn’s published collaborations (e.g., VectorY PIONEER-ALS, Alzheimer’s disease studies).</w:t>
      </w:r>
    </w:p>
    <w:p>
      <w:pPr>
        <w:spacing w:after="160" w:line="276"/>
      </w:pPr>
      <w:r>
        <w:rPr>
          <w:rFonts w:ascii="Arial" w:cs="Arial" w:eastAsia="Arial" w:hAnsi="Arial"/>
          <w:color w:val="1A1A2E"/>
          <w:sz w:val="21"/>
          <w:szCs w:val="21"/>
        </w:rPr>
        <w:t xml:space="preserve">The table is updated as new evidence becomes available. All values include confidence ranges (displayed as min–max) to reflect uncertainty in the estimates.</w:t>
      </w:r>
    </w:p>
    <w:p>
      <w:r>
        <w:br w:type="page"/>
      </w:r>
    </w:p>
    <w:p>
      <w:pPr>
        <w:pStyle w:val="Heading1"/>
        <w:spacing w:after="200" w:before="360"/>
      </w:pPr>
      <w:r>
        <w:rPr>
          <w:rFonts w:ascii="Arial" w:cs="Arial" w:eastAsia="Arial" w:hAnsi="Arial"/>
          <w:b/>
          <w:bCs/>
          <w:color w:val="1A1A2E"/>
          <w:sz w:val="32"/>
          <w:szCs w:val="32"/>
        </w:rPr>
        <w:t xml:space="preserve">5. Scope and Boundaries</w:t>
      </w:r>
    </w:p>
    <w:p>
      <w:pPr>
        <w:pStyle w:val="Heading2"/>
        <w:spacing w:after="160" w:before="280"/>
      </w:pPr>
      <w:r>
        <w:rPr>
          <w:rFonts w:ascii="Arial" w:cs="Arial" w:eastAsia="Arial" w:hAnsi="Arial"/>
          <w:b/>
          <w:bCs/>
          <w:color w:val="1B7A4D"/>
          <w:sz w:val="26"/>
          <w:szCs w:val="26"/>
        </w:rPr>
        <w:t xml:space="preserve">5.1 What This Feature Is</w:t>
      </w:r>
    </w:p>
    <w:p>
      <w:pPr>
        <w:pStyle w:val="ListParagraph"/>
        <w:numPr>
          <w:ilvl w:val="0"/>
          <w:numId w:val="2"/>
        </w:numPr>
        <w:spacing w:after="80" w:line="276"/>
      </w:pPr>
      <w:r>
        <w:rPr>
          <w:rFonts w:ascii="Arial" w:cs="Arial" w:eastAsia="Arial" w:hAnsi="Arial"/>
          <w:color w:val="1A1A2E"/>
          <w:sz w:val="21"/>
          <w:szCs w:val="21"/>
        </w:rPr>
        <w:t xml:space="preserve">A decision-support tool that models the statistical and operational impact of using prognostic covariate adjustment in trial design.</w:t>
      </w:r>
    </w:p>
    <w:p>
      <w:pPr>
        <w:pStyle w:val="ListParagraph"/>
        <w:numPr>
          <w:ilvl w:val="0"/>
          <w:numId w:val="2"/>
        </w:numPr>
        <w:spacing w:after="80" w:line="276"/>
      </w:pPr>
      <w:r>
        <w:rPr>
          <w:rFonts w:ascii="Arial" w:cs="Arial" w:eastAsia="Arial" w:hAnsi="Arial"/>
          <w:color w:val="1A1A2E"/>
          <w:sz w:val="21"/>
          <w:szCs w:val="21"/>
        </w:rPr>
        <w:t xml:space="preserve">A comparative analysis engine that quantifies sample size, cost, and timeline savings under PROCOVA-style designs vs. standard RCTs.</w:t>
      </w:r>
    </w:p>
    <w:p>
      <w:pPr>
        <w:pStyle w:val="ListParagraph"/>
        <w:numPr>
          <w:ilvl w:val="0"/>
          <w:numId w:val="2"/>
        </w:numPr>
        <w:spacing w:after="80" w:line="276"/>
      </w:pPr>
      <w:r>
        <w:rPr>
          <w:rFonts w:ascii="Arial" w:cs="Arial" w:eastAsia="Arial" w:hAnsi="Arial"/>
          <w:color w:val="1A1A2E"/>
          <w:sz w:val="21"/>
          <w:szCs w:val="21"/>
        </w:rPr>
        <w:t xml:space="preserve">A sensitivity analysis platform that helps sponsors identify the boundary conditions for asymmetric randomization in their indication.</w:t>
      </w:r>
    </w:p>
    <w:p>
      <w:pPr>
        <w:pStyle w:val="ListParagraph"/>
        <w:numPr>
          <w:ilvl w:val="0"/>
          <w:numId w:val="2"/>
        </w:numPr>
        <w:spacing w:after="80" w:line="276"/>
      </w:pPr>
      <w:r>
        <w:rPr>
          <w:rFonts w:ascii="Arial" w:cs="Arial" w:eastAsia="Arial" w:hAnsi="Arial"/>
          <w:color w:val="1A1A2E"/>
          <w:sz w:val="21"/>
          <w:szCs w:val="21"/>
        </w:rPr>
        <w:t xml:space="preserve">A regulatory awareness tool that surfaces the current qualification and alignment status of prognostic adjustment methodologies.</w:t>
      </w:r>
    </w:p>
    <w:p>
      <w:pPr>
        <w:pStyle w:val="ListParagraph"/>
        <w:numPr>
          <w:ilvl w:val="0"/>
          <w:numId w:val="2"/>
        </w:numPr>
        <w:spacing w:after="80" w:line="276"/>
      </w:pPr>
      <w:r>
        <w:rPr>
          <w:rFonts w:ascii="Arial" w:cs="Arial" w:eastAsia="Arial" w:hAnsi="Arial"/>
          <w:color w:val="1A1A2E"/>
          <w:sz w:val="21"/>
          <w:szCs w:val="21"/>
        </w:rPr>
        <w:t xml:space="preserve">An extension of Layer 4’s existing Monte Carlo simulation, adding an alternative design pathway without modifying the standard analysis.</w:t>
      </w:r>
    </w:p>
    <w:p>
      <w:pPr>
        <w:spacing w:after="80"/>
      </w:pPr>
    </w:p>
    <w:p>
      <w:pPr>
        <w:pStyle w:val="Heading2"/>
        <w:spacing w:after="160" w:before="280"/>
      </w:pPr>
      <w:r>
        <w:rPr>
          <w:rFonts w:ascii="Arial" w:cs="Arial" w:eastAsia="Arial" w:hAnsi="Arial"/>
          <w:b/>
          <w:bCs/>
          <w:color w:val="1B7A4D"/>
          <w:sz w:val="26"/>
          <w:szCs w:val="26"/>
        </w:rPr>
        <w:t xml:space="preserve">5.2 What This Feature Is Not</w:t>
      </w:r>
    </w:p>
    <w:p>
      <w:pPr>
        <w:pStyle w:val="ListParagraph"/>
        <w:numPr>
          <w:ilvl w:val="0"/>
          <w:numId w:val="2"/>
        </w:numPr>
        <w:spacing w:after="80" w:line="276"/>
      </w:pPr>
      <w:r>
        <w:rPr>
          <w:rFonts w:ascii="Arial" w:cs="Arial" w:eastAsia="Arial" w:hAnsi="Arial"/>
          <w:color w:val="1A1A2E"/>
          <w:sz w:val="21"/>
          <w:szCs w:val="21"/>
        </w:rPr>
        <w:t xml:space="preserve">This is not a Digital Twin Generator. The feature does not train machine learning models on patient-level data or generate individual prognostic scores. That capability (analogous to Unlearn’s core DTG product built on Neural Boltzmann Machine architecture) is a separate, more complex undertaking.</w:t>
      </w:r>
    </w:p>
    <w:p>
      <w:pPr>
        <w:pStyle w:val="ListParagraph"/>
        <w:numPr>
          <w:ilvl w:val="0"/>
          <w:numId w:val="2"/>
        </w:numPr>
        <w:spacing w:after="80" w:line="276"/>
      </w:pPr>
      <w:r>
        <w:rPr>
          <w:rFonts w:ascii="Arial" w:cs="Arial" w:eastAsia="Arial" w:hAnsi="Arial"/>
          <w:color w:val="1A1A2E"/>
          <w:sz w:val="21"/>
          <w:szCs w:val="21"/>
        </w:rPr>
        <w:t xml:space="preserve">This is not a regulatory submission tool. The outputs are for planning and decision support only. Actual PROCOVA implementation in a trial requires a trained DTG model, pre-specified statistical analysis plan (SAP), and regulatory alignment specific to the indication and endpoint.</w:t>
      </w:r>
    </w:p>
    <w:p>
      <w:pPr>
        <w:pStyle w:val="ListParagraph"/>
        <w:numPr>
          <w:ilvl w:val="0"/>
          <w:numId w:val="2"/>
        </w:numPr>
        <w:spacing w:after="80" w:line="276"/>
      </w:pPr>
      <w:r>
        <w:rPr>
          <w:rFonts w:ascii="Arial" w:cs="Arial" w:eastAsia="Arial" w:hAnsi="Arial"/>
          <w:color w:val="1A1A2E"/>
          <w:sz w:val="21"/>
          <w:szCs w:val="21"/>
        </w:rPr>
        <w:t xml:space="preserve">This does not replace the standard Layer 4 analysis. It supplements it with an alternative design pathway presented in parallel.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7A4D" w:sz="12"/>
              <w:bottom w:val="none" w:sz="0"/>
              <w:right w:val="none" w:sz="0"/>
            </w:tcBorders>
            <w:shd w:fill="F0F7F4" w:val="clear"/>
            <w:tcMar>
              <w:top w:type="dxa" w:w="120"/>
              <w:left w:type="dxa" w:w="200"/>
              <w:bottom w:type="dxa" w:w="120"/>
              <w:right w:type="dxa" w:w="200"/>
            </w:tcMar>
          </w:tcPr>
          <w:p>
            <w:pPr>
              <w:spacing w:after="60"/>
            </w:pPr>
            <w:r>
              <w:rPr>
                <w:rFonts w:ascii="Arial" w:cs="Arial" w:eastAsia="Arial" w:hAnsi="Arial"/>
                <w:b/>
                <w:bCs/>
                <w:color w:val="1B7A4D"/>
                <w:sz w:val="21"/>
                <w:szCs w:val="21"/>
              </w:rPr>
              <w:t xml:space="preserve">Future Pathway: Full Digital Twin Generation</w:t>
            </w:r>
          </w:p>
          <w:p>
            <w:pPr>
              <w:spacing w:after="0"/>
            </w:pPr>
            <w:r>
              <w:rPr>
                <w:rFonts w:ascii="Arial" w:cs="Arial" w:eastAsia="Arial" w:hAnsi="Arial"/>
                <w:color w:val="1A1A2E"/>
                <w:sz w:val="20"/>
                <w:szCs w:val="20"/>
              </w:rPr>
              <w:t xml:space="preserve">The current feature models the impact of prognostic covariate adjustment. A future enhancement could integrate actual prognostic scoring using the virtual patient cohorts generated in Layer 3. Layer 3 already produces individual-level patient data (baseline covariates and simulated outcomes) that could serve as a proof-of-concept for DTG-style prognostic modeling. This would bridge the gap between impact modeling (current scope) and actual prognostic score generation, positioning HakaseAI to offer end-to-end PROCOVA-capable trial design.</w:t>
            </w:r>
          </w:p>
        </w:tc>
      </w:tr>
    </w:tbl>
    <w:p>
      <w:r>
        <w:br w:type="page"/>
      </w:r>
    </w:p>
    <w:p>
      <w:pPr>
        <w:pStyle w:val="Heading1"/>
        <w:spacing w:after="200" w:before="360"/>
      </w:pPr>
      <w:r>
        <w:rPr>
          <w:rFonts w:ascii="Arial" w:cs="Arial" w:eastAsia="Arial" w:hAnsi="Arial"/>
          <w:b/>
          <w:bCs/>
          <w:color w:val="1A1A2E"/>
          <w:sz w:val="32"/>
          <w:szCs w:val="32"/>
        </w:rPr>
        <w:t xml:space="preserve">6. Implementation Priority and Complexity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800"/>
        <w:gridCol w:w="2160"/>
      </w:tblGrid>
      <w:tr>
        <w:trPr>
          <w:tblHeader/>
        </w:trPr>
        <w:tc>
          <w:tcPr>
            <w:tcW w:type="dxa" w:w="2800"/>
            <w:tcBorders>
              <w:top w:val="single" w:color="E0E0E0" w:sz="1"/>
              <w:left w:val="single" w:color="E0E0E0" w:sz="1"/>
              <w:bottom w:val="single" w:color="E0E0E0" w:sz="1"/>
              <w:right w:val="single" w:color="E0E0E0" w:sz="1"/>
            </w:tcBorders>
            <w:shd w:fill="1B7A4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600"/>
            <w:tcBorders>
              <w:top w:val="single" w:color="E0E0E0" w:sz="1"/>
              <w:left w:val="single" w:color="E0E0E0" w:sz="1"/>
              <w:bottom w:val="single" w:color="E0E0E0" w:sz="1"/>
              <w:right w:val="single" w:color="E0E0E0" w:sz="1"/>
            </w:tcBorders>
            <w:shd w:fill="1B7A4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c>
          <w:tcPr>
            <w:tcW w:type="dxa" w:w="2800"/>
            <w:tcBorders>
              <w:top w:val="single" w:color="E0E0E0" w:sz="1"/>
              <w:left w:val="single" w:color="E0E0E0" w:sz="1"/>
              <w:bottom w:val="single" w:color="E0E0E0" w:sz="1"/>
              <w:right w:val="single" w:color="E0E0E0" w:sz="1"/>
            </w:tcBorders>
            <w:shd w:fill="1B7A4D"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c>
          <w:tcPr>
            <w:tcW w:type="dxa" w:w="2160"/>
            <w:tcBorders>
              <w:top w:val="single" w:color="E0E0E0" w:sz="1"/>
              <w:left w:val="single" w:color="E0E0E0" w:sz="1"/>
              <w:bottom w:val="single" w:color="E0E0E0" w:sz="1"/>
              <w:right w:val="single" w:color="E0E0E0" w:sz="1"/>
            </w:tcBorders>
            <w:shd w:fill="1B7A4D"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Variance Reduction Lookup Table</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Literature review; indication mapping from Layer 3</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P0 (Required)</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Adjusted Power Calculation Engine</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Low–Medium</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Existing power curve engine; variance reduction parameter</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P0 (Required)</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Randomization Ratio Selector (UI)</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Input panel extension</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P0 (Required)</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Design Comparison Summary Table</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Standard + adjusted outputs</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P0 (Required)</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Dual Power Curve Visualization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Existing SVG power curve; overlay logic</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P1 (High)</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Monte Carlo Re-simulation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Existing MC engine; asymmetric arm modification</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P1 (High)</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Enrollment Impact Chart</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Low–Medium</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Existing enrollment chart; dual-line extension</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P1 (High)</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Cost Savings Breakdown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Existing cost model; delta calculation</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P1 (High)</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Sensitivity Heatmap</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Grid computation; SVG heatmap renderer</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P2 (Medium)</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Regulatory Guidance Panel</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Static content; periodic updates</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P2 (Medium)</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Layer 3 Prognostic Score PoC</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Layer 3 virtual cohort; ML model training</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20"/>
                <w:szCs w:val="20"/>
              </w:rPr>
              <w:t xml:space="preserve">P3 (Future)</w:t>
            </w:r>
          </w:p>
        </w:tc>
      </w:tr>
    </w:tbl>
    <w:p>
      <w:pPr>
        <w:spacing w:after="80"/>
      </w:pPr>
    </w:p>
    <w:p>
      <w:pPr>
        <w:spacing w:after="160" w:line="276"/>
      </w:pPr>
      <w:r>
        <w:rPr>
          <w:rFonts w:ascii="Arial" w:cs="Arial" w:eastAsia="Arial" w:hAnsi="Arial"/>
          <w:color w:val="1A1A2E"/>
          <w:sz w:val="21"/>
          <w:szCs w:val="21"/>
        </w:rPr>
        <w:t xml:space="preserve">Estimated development effort for P0 + P1 components: 3–4 weeks of engineering time, primarily focused on extending the existing Layer 4 simulation engine and adding the comparative results panel.</w:t>
      </w:r>
    </w:p>
    <w:p>
      <w:r>
        <w:br w:type="page"/>
      </w:r>
    </w:p>
    <w:p>
      <w:pPr>
        <w:pStyle w:val="Heading1"/>
        <w:spacing w:after="200" w:before="360"/>
      </w:pPr>
      <w:r>
        <w:rPr>
          <w:rFonts w:ascii="Arial" w:cs="Arial" w:eastAsia="Arial" w:hAnsi="Arial"/>
          <w:b/>
          <w:bCs/>
          <w:color w:val="1A1A2E"/>
          <w:sz w:val="32"/>
          <w:szCs w:val="32"/>
        </w:rPr>
        <w:t xml:space="preserve">7. Strategic Value</w:t>
      </w:r>
    </w:p>
    <w:p>
      <w:pPr>
        <w:spacing w:after="80"/>
      </w:pPr>
    </w:p>
    <w:p>
      <w:pPr>
        <w:pStyle w:val="Heading2"/>
        <w:spacing w:after="160" w:before="280"/>
      </w:pPr>
      <w:r>
        <w:rPr>
          <w:rFonts w:ascii="Arial" w:cs="Arial" w:eastAsia="Arial" w:hAnsi="Arial"/>
          <w:b/>
          <w:bCs/>
          <w:color w:val="1B7A4D"/>
          <w:sz w:val="26"/>
          <w:szCs w:val="26"/>
        </w:rPr>
        <w:t xml:space="preserve">7.1 For Small Biotechs (Primary Target)</w:t>
      </w:r>
    </w:p>
    <w:p>
      <w:pPr>
        <w:spacing w:after="160" w:line="276"/>
      </w:pPr>
      <w:r>
        <w:rPr>
          <w:rFonts w:ascii="Arial" w:cs="Arial" w:eastAsia="Arial" w:hAnsi="Arial"/>
          <w:color w:val="1A1A2E"/>
          <w:sz w:val="21"/>
          <w:szCs w:val="21"/>
        </w:rPr>
        <w:t xml:space="preserve">Small biotechs are acutely sensitive to trial cost, timeline, and enrollment risk. The ability to model a PROCOVA-enhanced design — showing that a 300-patient trial could potentially be run with 240 patients, saving $2.4M and 4 months — directly addresses their core concern: budget de-risking. This feature gives them quantitative evidence to discuss PROCOVA-style designs with their CRO and regulatory consultants before committing.</w:t>
      </w:r>
    </w:p>
    <w:p>
      <w:pPr>
        <w:spacing w:after="80"/>
      </w:pPr>
    </w:p>
    <w:p>
      <w:pPr>
        <w:pStyle w:val="Heading2"/>
        <w:spacing w:after="160" w:before="280"/>
      </w:pPr>
      <w:r>
        <w:rPr>
          <w:rFonts w:ascii="Arial" w:cs="Arial" w:eastAsia="Arial" w:hAnsi="Arial"/>
          <w:b/>
          <w:bCs/>
          <w:color w:val="1B7A4D"/>
          <w:sz w:val="26"/>
          <w:szCs w:val="26"/>
        </w:rPr>
        <w:t xml:space="preserve">7.2 For CROs</w:t>
      </w:r>
    </w:p>
    <w:p>
      <w:pPr>
        <w:spacing w:after="160" w:line="276"/>
      </w:pPr>
      <w:r>
        <w:rPr>
          <w:rFonts w:ascii="Arial" w:cs="Arial" w:eastAsia="Arial" w:hAnsi="Arial"/>
          <w:color w:val="1A1A2E"/>
          <w:sz w:val="21"/>
          <w:szCs w:val="21"/>
        </w:rPr>
        <w:t xml:space="preserve">CROs designing trials for sponsors can use this feature to present optimized design options. Offering a side-by-side comparison of standard vs. PROCOVA-enhanced designs adds value to their proposal process and demonstrates awareness of regulatory-aligned innovations.</w:t>
      </w:r>
    </w:p>
    <w:p>
      <w:pPr>
        <w:spacing w:after="80"/>
      </w:pPr>
    </w:p>
    <w:p>
      <w:pPr>
        <w:pStyle w:val="Heading2"/>
        <w:spacing w:after="160" w:before="280"/>
      </w:pPr>
      <w:r>
        <w:rPr>
          <w:rFonts w:ascii="Arial" w:cs="Arial" w:eastAsia="Arial" w:hAnsi="Arial"/>
          <w:b/>
          <w:bCs/>
          <w:color w:val="1B7A4D"/>
          <w:sz w:val="26"/>
          <w:szCs w:val="26"/>
        </w:rPr>
        <w:t xml:space="preserve">7.3 Competitive Differentiation</w:t>
      </w:r>
    </w:p>
    <w:p>
      <w:pPr>
        <w:spacing w:after="160" w:line="276"/>
      </w:pPr>
      <w:r>
        <w:rPr>
          <w:rFonts w:ascii="Arial" w:cs="Arial" w:eastAsia="Arial" w:hAnsi="Arial"/>
          <w:color w:val="1A1A2E"/>
          <w:sz w:val="21"/>
          <w:szCs w:val="21"/>
        </w:rPr>
        <w:t xml:space="preserve">No competing drug development simulation platform currently offers PROCOVA-style impact modeling integrated into a full pipeline simulation (Layers 1–4). Unlearn sells the actual DTG + PROCOVA implementation as a service to sponsors; HakaseAI would be the first platform to let sponsors self-serve the upstream analysis — determining whether PROCOVA-style design is viable for their indication before engaging a DTG provider.</w:t>
      </w:r>
    </w:p>
    <w:p>
      <w:pPr>
        <w:spacing w:after="80"/>
      </w:pPr>
    </w:p>
    <w:p>
      <w:pPr>
        <w:pStyle w:val="Heading2"/>
        <w:spacing w:after="160" w:before="280"/>
      </w:pPr>
      <w:r>
        <w:rPr>
          <w:rFonts w:ascii="Arial" w:cs="Arial" w:eastAsia="Arial" w:hAnsi="Arial"/>
          <w:b/>
          <w:bCs/>
          <w:color w:val="1B7A4D"/>
          <w:sz w:val="26"/>
          <w:szCs w:val="26"/>
        </w:rPr>
        <w:t xml:space="preserve">7.4 Pathway to Deeper Capability</w:t>
      </w:r>
    </w:p>
    <w:p>
      <w:pPr>
        <w:spacing w:after="160" w:line="276"/>
      </w:pPr>
      <w:r>
        <w:rPr>
          <w:rFonts w:ascii="Arial" w:cs="Arial" w:eastAsia="Arial" w:hAnsi="Arial"/>
          <w:color w:val="1A1A2E"/>
          <w:sz w:val="21"/>
          <w:szCs w:val="21"/>
        </w:rPr>
        <w:t xml:space="preserve">This feature establishes the analytical framework for a future, higher-value capability: actual prognostic score generation using Layer 3’s virtual patient cohorts. If Hakase can demonstrate that its simulated patient data produces meaningful prognostic scores, it opens the door to offering PROCOVA-capable trial design as a first-party capability — competing directly with Unlearn’s core offering.</w:t>
      </w:r>
    </w:p>
    <w:p>
      <w:r>
        <w:br w:type="page"/>
      </w:r>
    </w:p>
    <w:p>
      <w:pPr>
        <w:pStyle w:val="Heading1"/>
        <w:spacing w:after="200" w:before="360"/>
      </w:pPr>
      <w:r>
        <w:rPr>
          <w:rFonts w:ascii="Arial" w:cs="Arial" w:eastAsia="Arial" w:hAnsi="Arial"/>
          <w:b/>
          <w:bCs/>
          <w:color w:val="1A1A2E"/>
          <w:sz w:val="32"/>
          <w:szCs w:val="32"/>
        </w:rPr>
        <w:t xml:space="preserve">8. References and Regulatory Citations</w:t>
      </w:r>
    </w:p>
    <w:p>
      <w:pPr>
        <w:spacing w:after="80"/>
      </w:pPr>
    </w:p>
    <w:p>
      <w:pPr>
        <w:pStyle w:val="ListParagraph"/>
        <w:numPr>
          <w:ilvl w:val="0"/>
          <w:numId w:val="4"/>
        </w:numPr>
        <w:spacing w:after="100" w:line="276"/>
      </w:pPr>
      <w:r>
        <w:rPr>
          <w:rFonts w:ascii="Arial" w:cs="Arial" w:eastAsia="Arial" w:hAnsi="Arial"/>
          <w:color w:val="1A1A2E"/>
          <w:sz w:val="21"/>
          <w:szCs w:val="21"/>
        </w:rPr>
        <w:t xml:space="preserve">European Medicines Agency. Qualification Opinion on Prognostic Covariate Adjustment (PROCOVA). EMA/CHMP/QWP, September 2022.</w:t>
      </w:r>
    </w:p>
    <w:p>
      <w:pPr>
        <w:pStyle w:val="ListParagraph"/>
        <w:numPr>
          <w:ilvl w:val="0"/>
          <w:numId w:val="4"/>
        </w:numPr>
        <w:spacing w:after="100" w:line="276"/>
      </w:pPr>
      <w:r>
        <w:rPr>
          <w:rFonts w:ascii="Arial" w:cs="Arial" w:eastAsia="Arial" w:hAnsi="Arial"/>
          <w:color w:val="1A1A2E"/>
          <w:sz w:val="21"/>
          <w:szCs w:val="21"/>
        </w:rPr>
        <w:t xml:space="preserve">U.S. FDA, Center for Drug Evaluation and Research (CDER). Comments on PROCOVA methodology alignment with ICH E9 guidance. 2023.</w:t>
      </w:r>
    </w:p>
    <w:p>
      <w:pPr>
        <w:pStyle w:val="ListParagraph"/>
        <w:numPr>
          <w:ilvl w:val="0"/>
          <w:numId w:val="4"/>
        </w:numPr>
        <w:spacing w:after="100" w:line="276"/>
      </w:pPr>
      <w:r>
        <w:rPr>
          <w:rFonts w:ascii="Arial" w:cs="Arial" w:eastAsia="Arial" w:hAnsi="Arial"/>
          <w:color w:val="1A1A2E"/>
          <w:sz w:val="21"/>
          <w:szCs w:val="21"/>
        </w:rPr>
        <w:t xml:space="preserve">Lang, O., et al. “Neural Boltzmann Machines for generating digital twins in clinical trials.” 2023.</w:t>
      </w:r>
    </w:p>
    <w:p>
      <w:pPr>
        <w:pStyle w:val="ListParagraph"/>
        <w:numPr>
          <w:ilvl w:val="0"/>
          <w:numId w:val="4"/>
        </w:numPr>
        <w:spacing w:after="100" w:line="276"/>
      </w:pPr>
      <w:r>
        <w:rPr>
          <w:rFonts w:ascii="Arial" w:cs="Arial" w:eastAsia="Arial" w:hAnsi="Arial"/>
          <w:color w:val="1A1A2E"/>
          <w:sz w:val="21"/>
          <w:szCs w:val="21"/>
        </w:rPr>
        <w:t xml:space="preserve">Walsh, J.R., et al. “Enhancing Longitudinal Clinical Trial Efficiency with Digital Twins and Prognostic Covariate-Adjusted Mixed Models for Repeated Measures (PROCOVA-MMRM).” arXiv:2404.17576, 2024.</w:t>
      </w:r>
    </w:p>
    <w:p>
      <w:pPr>
        <w:pStyle w:val="ListParagraph"/>
        <w:numPr>
          <w:ilvl w:val="0"/>
          <w:numId w:val="4"/>
        </w:numPr>
        <w:spacing w:after="100" w:line="276"/>
      </w:pPr>
      <w:r>
        <w:rPr>
          <w:rFonts w:ascii="Arial" w:cs="Arial" w:eastAsia="Arial" w:hAnsi="Arial"/>
          <w:color w:val="1A1A2E"/>
          <w:sz w:val="21"/>
          <w:szCs w:val="21"/>
        </w:rPr>
        <w:t xml:space="preserve">ICH E9(R1). Addendum on Estimands and Sensitivity Analysis in Clinical Trials. International Council for Harmonisation, 2019.</w:t>
      </w:r>
    </w:p>
    <w:p>
      <w:pPr>
        <w:pStyle w:val="ListParagraph"/>
        <w:numPr>
          <w:ilvl w:val="0"/>
          <w:numId w:val="4"/>
        </w:numPr>
        <w:spacing w:after="100" w:line="276"/>
      </w:pPr>
      <w:r>
        <w:rPr>
          <w:rFonts w:ascii="Arial" w:cs="Arial" w:eastAsia="Arial" w:hAnsi="Arial"/>
          <w:color w:val="1A1A2E"/>
          <w:sz w:val="21"/>
          <w:szCs w:val="21"/>
        </w:rPr>
        <w:t xml:space="preserve">Son, M., et al. “Bayesian Weighted Prognostic Covariate Adjustment Using Digital Twins.” BayesPharma Conference, 2024.</w:t>
      </w:r>
    </w:p>
    <w:p>
      <w:pPr>
        <w:pStyle w:val="ListParagraph"/>
        <w:numPr>
          <w:ilvl w:val="0"/>
          <w:numId w:val="4"/>
        </w:numPr>
        <w:spacing w:after="100" w:line="276"/>
      </w:pPr>
      <w:r>
        <w:rPr>
          <w:rFonts w:ascii="Arial" w:cs="Arial" w:eastAsia="Arial" w:hAnsi="Arial"/>
          <w:color w:val="1A1A2E"/>
          <w:sz w:val="21"/>
          <w:szCs w:val="21"/>
        </w:rPr>
        <w:t xml:space="preserve">Unlearn.AI and VectorY Therapeutics. Application of AI-Generated Digital Twins to PIONEER-ALS Study. Newswire, 2025.</w:t>
      </w:r>
    </w:p>
    <w:p>
      <w:pPr>
        <w:pStyle w:val="ListParagraph"/>
        <w:numPr>
          <w:ilvl w:val="0"/>
          <w:numId w:val="4"/>
        </w:numPr>
        <w:spacing w:after="100" w:line="276"/>
      </w:pPr>
      <w:r>
        <w:rPr>
          <w:rFonts w:ascii="Arial" w:cs="Arial" w:eastAsia="Arial" w:hAnsi="Arial"/>
          <w:color w:val="1A1A2E"/>
          <w:sz w:val="21"/>
          <w:szCs w:val="21"/>
        </w:rPr>
        <w:t xml:space="preserve">FDA Guidance for Industry: Adjusting for Covariates in Randomized Clinical Trials for Drugs and Biological Products. 2023.</w:t>
      </w:r>
    </w:p>
    <w:p>
      <w:pPr>
        <w:spacing w:after="80"/>
      </w:pPr>
    </w:p>
    <w:p>
      <w:pPr>
        <w:spacing w:after="80"/>
      </w:pPr>
    </w:p>
    <w:p>
      <w:pPr>
        <w:pBdr>
          <w:top w:val="single" w:color="1B7A4D" w:sz="4" w:space="1"/>
        </w:pBdr>
        <w:spacing w:after="200" w:before="400"/>
        <w:jc w:val="center"/>
      </w:pPr>
    </w:p>
    <w:p>
      <w:pPr>
        <w:spacing w:after="80"/>
        <w:jc w:val="center"/>
      </w:pPr>
      <w:r>
        <w:rPr>
          <w:rFonts w:ascii="Arial" w:cs="Arial" w:eastAsia="Arial" w:hAnsi="Arial"/>
          <w:i/>
          <w:iCs/>
          <w:color w:val="666666"/>
          <w:sz w:val="20"/>
          <w:szCs w:val="20"/>
        </w:rPr>
        <w:t xml:space="preserve">End of Specification</w:t>
      </w:r>
    </w:p>
    <w:p>
      <w:pPr>
        <w:jc w:val="center"/>
      </w:pPr>
      <w:r>
        <w:rPr>
          <w:rFonts w:ascii="Arial" w:cs="Arial" w:eastAsia="Arial" w:hAnsi="Arial"/>
          <w:color w:val="666666"/>
          <w:sz w:val="18"/>
          <w:szCs w:val="18"/>
        </w:rPr>
        <w:t xml:space="preserve">HakaseAI  |  AKTHealth Inc.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AKTHealth Inc.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4D" w:sz="4" w:space="1"/>
      </w:pBdr>
      <w:spacing w:after="0"/>
    </w:pPr>
    <w:r>
      <w:rPr>
        <w:rFonts w:ascii="Arial" w:cs="Arial" w:eastAsia="Arial" w:hAnsi="Arial"/>
        <w:color w:val="666666"/>
        <w:sz w:val="16"/>
        <w:szCs w:val="16"/>
      </w:rPr>
      <w:t xml:space="preserve">HakaseAI BioDigital Twin  |  </w:t>
    </w:r>
    <w:r>
      <w:rPr>
        <w:rFonts w:ascii="Arial" w:cs="Arial" w:eastAsia="Arial" w:hAnsi="Arial"/>
        <w:color w:val="1B7A4D"/>
        <w:sz w:val="16"/>
        <w:szCs w:val="16"/>
      </w:rPr>
      <w:t xml:space="preserve">PROCOVA-Style Integration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7A4D"/>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2026-03-30T09:39:47.412Z</dcterms:created>
  <dcterms:modified xsi:type="dcterms:W3CDTF">2026-03-30T09:39:47.413Z</dcterms:modified>
</cp:coreProperties>
</file>

<file path=docProps/custom.xml><?xml version="1.0" encoding="utf-8"?>
<Properties xmlns="http://schemas.openxmlformats.org/officeDocument/2006/custom-properties" xmlns:vt="http://schemas.openxmlformats.org/officeDocument/2006/docPropsVTypes"/>
</file>