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sz w:val="24"/>
          <w:szCs w:val="24"/>
        </w:rPr>
        <w:t xml:space="preserve"/>
      </w:r>
    </w:p>
    <w:p>
      <w:pPr>
        <w:spacing w:after="120"/>
        <w:jc w:val="center"/>
      </w:pPr>
      <w:r>
        <w:rPr>
          <w:b/>
          <w:bCs/>
          <w:color w:val="1F3864"/>
          <w:sz w:val="56"/>
          <w:szCs w:val="56"/>
        </w:rPr>
        <w:t xml:space="preserve">Hakase BioDigital Twin</w:t>
      </w:r>
    </w:p>
    <w:p>
      <w:pPr>
        <w:spacing w:after="240"/>
        <w:jc w:val="center"/>
      </w:pPr>
      <w:r>
        <w:rPr>
          <w:b/>
          <w:bCs/>
          <w:color w:val="2E75B6"/>
          <w:sz w:val="36"/>
          <w:szCs w:val="36"/>
        </w:rPr>
        <w:t xml:space="preserve">4-Layer Pre-Clinical Architecture</w:t>
      </w:r>
    </w:p>
    <w:p>
      <w:pPr>
        <w:spacing w:after="720"/>
        <w:jc w:val="center"/>
      </w:pPr>
      <w:r>
        <w:rPr>
          <w:color w:val="595959"/>
          <w:sz w:val="28"/>
          <w:szCs w:val="28"/>
        </w:rPr>
        <w:t xml:space="preserve">Comprehensive Research &amp; Pre-Build Reference</w:t>
      </w:r>
    </w:p>
    <w:p>
      <w:pPr>
        <w:spacing w:after="1200"/>
        <w:jc w:val="center"/>
      </w:pPr>
      <w:r>
        <w:rPr>
          <w:i/>
          <w:iCs/>
          <w:color w:val="404040"/>
          <w:sz w:val="24"/>
          <w:szCs w:val="24"/>
        </w:rPr>
        <w:t xml:space="preserve">L1 In Vitro  →  L2 In-Silico  →  L3 Ex-Vivo  →  L4 Animal Cohort  →  Hakase Clinical (API)</w:t>
      </w:r>
    </w:p>
    <w:p>
      <w:pPr>
        <w:spacing w:after="60"/>
        <w:jc w:val="center"/>
      </w:pPr>
      <w:r>
        <w:rPr>
          <w:b/>
          <w:bCs/>
          <w:sz w:val="24"/>
          <w:szCs w:val="24"/>
        </w:rPr>
        <w:t xml:space="preserve">AKTHealth · HakaseAI</w:t>
      </w:r>
    </w:p>
    <w:p>
      <w:pPr>
        <w:spacing w:after="60"/>
        <w:jc w:val="center"/>
      </w:pPr>
      <w:r>
        <w:rPr>
          <w:color w:val="595959"/>
          <w:sz w:val="22"/>
          <w:szCs w:val="22"/>
        </w:rPr>
        <w:t xml:space="preserve">Pre-Clinical Module · Small Molecules · TA-Agnostic</w:t>
      </w:r>
    </w:p>
    <w:p>
      <w:pPr>
        <w:spacing w:after="60"/>
        <w:jc w:val="center"/>
      </w:pPr>
      <w:r>
        <w:rPr>
          <w:color w:val="595959"/>
          <w:sz w:val="22"/>
          <w:szCs w:val="22"/>
        </w:rPr>
        <w:t xml:space="preserve">Prepared April 2026</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pPr>
      <w:r>
        <w:t xml:space="preserve">Executive Summary</w:t>
      </w:r>
    </w:p>
    <w:p>
      <w:pPr>
        <w:spacing w:after="120"/>
        <w:jc w:val="left"/>
      </w:pPr>
      <w:r>
        <w:t xml:space="preserve">This document is the pre-build reference for the redesigned Hakase BioDigital Twin. As of 30 April 2026, the BioDigital Twin (the Pre-Clinical module of HakaseAI) is being restructured from its original ordering into a clean four-layer pre-clinical-only model: L1 In-Vitro is retained as the established anchor, a new L2 In-Silico computational triage layer is inserted immediately after it, L3 Ex-Vivo (precision-cut tissue slices, isolated perfused organs, organoids, microphysiological systems) is added between in-silico and animal work, and the previously-built Animal Cohort layer is renumbered as L4. L4 is the terminal pre-clinical layer; its outputs flow to Hakase Clinical via an API contract, not via a shared module.</w:t>
      </w:r>
    </w:p>
    <w:p>
      <w:pPr>
        <w:spacing w:after="120"/>
        <w:jc w:val="left"/>
      </w:pPr>
      <w:r>
        <w:t xml:space="preserve">The strategic motivation is straightforward. The original ordering put in-silico after animal work, which inverted the cost / value curve: expensive wet steps were running on candidates that had not yet been computationally triaged. The new order places the cheapest filter (in-silico) immediately downstream of the cheapest data source (in-vitro), with the most expensive and most predictive step (ex-vivo) sitting closest to the most regulated step (animal). Each transition between layers is a contract — what flows in, what flows out, what gets killed.</w:t>
      </w:r>
    </w:p>
    <w:p>
      <w:pPr>
        <w:spacing w:after="120"/>
        <w:jc w:val="left"/>
      </w:pPr>
      <w:r>
        <w:t xml:space="preserve">Scope of the first build: small molecules only, therapeutic-area-agnostic platform. Biologics, peptides, and cell / gene therapies are explicitly out of scope for the MVP and remain on the roadmap as separate tracks (see the Proteina-Complexa note in HAIOps memory). The deliverable target is an IND-enabling package shaped per ICH M3(R2), exchanged via CDISC SEND v3.x at the L4 boundary, and projected as FHIR R5 resources for Clinical consumption.</w:t>
      </w:r>
    </w:p>
    <w:p>
      <w:pPr>
        <w:spacing w:after="120"/>
        <w:jc w:val="left"/>
      </w:pPr>
      <w:r>
        <w:t xml:space="preserve">This document synthesises six parallel research streams: one per layer, one for the validation and regulatory framework landscape, and one for the L4 to Clinical API contract. Each section is written as a stand-alone reference and as a connected piece of the whole. The intent is that nothing in here surprises an implementer when coding starts, and that any reviewer can trace any twin output back to a database, a model version, a validation principle, and a regulatory anchor.</w:t>
      </w:r>
    </w:p>
    <w:p>
      <w:pPr>
        <w:pStyle w:val="Heading2"/>
      </w:pPr>
      <w:r>
        <w:t xml:space="preserve">Top-line conclusions</w:t>
      </w:r>
    </w:p>
    <w:p>
      <w:pPr>
        <w:pStyle w:val="ListParagraph"/>
        <w:numPr>
          <w:ilvl w:val="0"/>
          <w:numId w:val="2"/>
        </w:numPr>
        <w:spacing w:after="60"/>
      </w:pPr>
      <w:r>
        <w:t xml:space="preserve">The four-layer model is well-supported by public databases at L1 and L4, thinner at L2 (mostly tooling, less reference data), and structurally data-poor at L3 — vendor-locked microphysiological systems data is the single largest open problem in the pre-clinical NAM stack.</w:t>
      </w:r>
    </w:p>
    <w:p>
      <w:pPr>
        <w:pStyle w:val="ListParagraph"/>
        <w:numPr>
          <w:ilvl w:val="0"/>
          <w:numId w:val="2"/>
        </w:numPr>
        <w:spacing w:after="60"/>
      </w:pPr>
      <w:r>
        <w:t xml:space="preserve">A defensible Hakase posture in Year 1 requires a stack of credentials, not any single one: GAMP 5 platform validation, 21 CFR Part 11 records, OECD QSAR principles for L2, GLP for L4 wet studies, SEND for nonclinical exchange, ASME V&amp;V40 credibility scaffolding, and at least one FDA ISTAND letter of intent against a tightly-scoped slice of the twin.</w:t>
      </w:r>
    </w:p>
    <w:p>
      <w:pPr>
        <w:pStyle w:val="ListParagraph"/>
        <w:numPr>
          <w:ilvl w:val="0"/>
          <w:numId w:val="2"/>
        </w:numPr>
        <w:spacing w:after="60"/>
      </w:pPr>
      <w:r>
        <w:t xml:space="preserve">The L4 to Clinical boundary should be a versioned REST API with CDISC SEND as the inbound shape, FHIR R5 as the outbound shape, and a thin owned bridge layer that does the non-trivial translation. Treating the boundary as anything less formal — a shared database, an in-process call — gives up the audit trail this project will need at IND time.</w:t>
      </w:r>
    </w:p>
    <w:p>
      <w:pPr>
        <w:pStyle w:val="ListParagraph"/>
        <w:numPr>
          <w:ilvl w:val="0"/>
          <w:numId w:val="2"/>
        </w:numPr>
        <w:spacing w:after="60"/>
      </w:pPr>
      <w:r>
        <w:t xml:space="preserve">Two commercial dependencies are real and worth budgeting for early: a DrugBank commercial seat (for credible ADMET claims at the marketed-drug reference level) and a microphysiological-systems partnership with one of Emulate, CN Bio, Mimetas, TissUse, or InSphero (for L3 calibration data that no public source covers). The rest of the stack is workable in OSS for the MVP.</w:t>
      </w:r>
    </w:p>
    <w:p>
      <w:pPr>
        <w:pStyle w:val="ListParagraph"/>
        <w:numPr>
          <w:ilvl w:val="0"/>
          <w:numId w:val="2"/>
        </w:numPr>
        <w:spacing w:after="60"/>
      </w:pPr>
      <w:r>
        <w:t xml:space="preserve">The single highest-leverage project for the next two quarters is recalibrating the IVIVE engines (httk, PK-Sim) against modern liver-chip and PCLS data rather than the legacy 1990s–2010s hepatocyte priors they ship with. This compounds across L1, L2, L3, and L4 predictions.</w:t>
      </w:r>
    </w:p>
    <w:p>
      <w:pPr>
        <w:pStyle w:val="Heading1"/>
        <w:pageBreakBefore/>
      </w:pPr>
      <w:r>
        <w:t xml:space="preserve">1. Strategic Context and the 4-Layer Redesign</w:t>
      </w:r>
    </w:p>
    <w:p>
      <w:pPr>
        <w:pStyle w:val="Heading2"/>
      </w:pPr>
      <w:r>
        <w:t xml:space="preserve">1.1 What changed</w:t>
      </w:r>
    </w:p>
    <w:p>
      <w:pPr>
        <w:spacing w:after="120"/>
        <w:jc w:val="left"/>
      </w:pPr>
      <w:r>
        <w:t xml:space="preserve">The previous architecture treated the BioDigital Twin as a multi-layer construct that included L1 In-Vitro and L2 Animal, with in-silico work distributed loosely across those layers. As the twin matured it became clear that this conflated two different things: the source of ground-truth data (assays, animals) and the act of computational triage (predicting, ranking, simulating, projecting). Conflation made the ordering of the pipeline impossible to reason about. The new model separates them.</w:t>
      </w:r>
    </w:p>
    <w:p>
      <w:pPr>
        <w:spacing w:after="120"/>
        <w:jc w:val="left"/>
      </w:pPr>
      <w:r>
        <w:t xml:space="preserve">Concretely:</w:t>
      </w:r>
    </w:p>
    <w:p>
      <w:pPr>
        <w:pStyle w:val="ListParagraph"/>
        <w:numPr>
          <w:ilvl w:val="0"/>
          <w:numId w:val="2"/>
        </w:numPr>
        <w:spacing w:after="60"/>
      </w:pPr>
      <w:r>
        <w:rPr>
          <w:b/>
          <w:bCs/>
        </w:rPr>
        <w:t xml:space="preserve">L1 In-Vitro</w:t>
      </w:r>
      <w:r>
        <w:t xml:space="preserve"> — biochemical and cell-line assays on isolated targets. IC50, Ki, ADMET, hERG, binding, cytotoxicity. Already established. Remains the anchor and the primary feedstock for L2.</w:t>
      </w:r>
    </w:p>
    <w:p>
      <w:pPr>
        <w:pStyle w:val="ListParagraph"/>
        <w:numPr>
          <w:ilvl w:val="0"/>
          <w:numId w:val="2"/>
        </w:numPr>
        <w:spacing w:after="60"/>
      </w:pPr>
      <w:r>
        <w:rPr>
          <w:b/>
          <w:bCs/>
        </w:rPr>
        <w:t xml:space="preserve">L2 In-Silico</w:t>
      </w:r>
      <w:r>
        <w:t xml:space="preserve"> — computational triage that consumes L1 outputs to project PK/PD, refine docking, simulate exposure margins, and decide which compounds plus which doses graduate to wet-tissue work. Cheapest filter, placed immediately after In-Vitro to cull the candidate set before any expensive ex-vivo or animal spend.</w:t>
      </w:r>
    </w:p>
    <w:p>
      <w:pPr>
        <w:pStyle w:val="ListParagraph"/>
        <w:numPr>
          <w:ilvl w:val="0"/>
          <w:numId w:val="2"/>
        </w:numPr>
        <w:spacing w:after="60"/>
      </w:pPr>
      <w:r>
        <w:rPr>
          <w:b/>
          <w:bCs/>
        </w:rPr>
        <w:t xml:space="preserve">L3 Ex-Vivo</w:t>
      </w:r>
      <w:r>
        <w:t xml:space="preserve"> — precision-cut tissue slices, isolated perfused organs, patient-derived organoids, microphysiological systems and organ-on-chip. Real tissue but no live animal. Most expensive and most predictive pre-clinical step; sits closest to L4 because its tissue-selectivity and dose-range readouts directly inform animal study design.</w:t>
      </w:r>
    </w:p>
    <w:p>
      <w:pPr>
        <w:pStyle w:val="ListParagraph"/>
        <w:numPr>
          <w:ilvl w:val="0"/>
          <w:numId w:val="2"/>
        </w:numPr>
        <w:spacing w:after="60"/>
      </w:pPr>
      <w:r>
        <w:rPr>
          <w:b/>
          <w:bCs/>
        </w:rPr>
        <w:t xml:space="preserve">L4 Animal Cohort</w:t>
      </w:r>
      <w:r>
        <w:t xml:space="preserve"> — already built; renumbered from the previous L2. ICH M3(R2) battery, GLP-grade, CDISC SEND on output. Hands off to Hakase Clinical via API.</w:t>
      </w:r>
    </w:p>
    <w:p>
      <w:pPr>
        <w:pStyle w:val="Heading2"/>
      </w:pPr>
      <w:r>
        <w:t xml:space="preserve">1.2 Why this ordering wins</w:t>
      </w:r>
    </w:p>
    <w:p>
      <w:pPr>
        <w:spacing w:after="120"/>
        <w:jc w:val="left"/>
      </w:pPr>
      <w:r>
        <w:t xml:space="preserve">The cost/value curve drives the design. L1 wet assays are roughly $50–$2,000 per compound per endpoint depending on the assay; L2 in-silico runs are approximately $0.10–$10 per compound per model when amortised across a cluster; L3 organoid and chip work is $15,000–$250,000 per compound depending on tier; L4 GLP animal work is hundreds of thousands to millions per study. Putting the cheapest filter immediately downstream of the cheapest data source means hundreds of L1 hits can be culled to dozens for L3 without spending materially. The remaining money is spent on the steps where data quality justifies it.</w:t>
      </w:r>
    </w:p>
    <w:p>
      <w:pPr>
        <w:spacing w:after="120"/>
        <w:jc w:val="left"/>
      </w:pPr>
      <w:r>
        <w:t xml:space="preserve">There is also a regulatory argument. FDA Modernization Act 2.0 (December 2022) removed the explicit statutory animal-only requirement, and the FDA 2024–2026 roadmap on New Approach Methodologies signals openness to pre-clinical packages where in-silico and ex-vivo evidence carries genuine weight. Defensibility under that regime requires the in-silico step to be early enough in the pipeline that its output is genuinely informative, not after-the-fact. Putting L2 between L1 and L3 is what makes the in-silico verdict consequential.</w:t>
      </w:r>
    </w:p>
    <w:p>
      <w:pPr>
        <w:pStyle w:val="Heading2"/>
      </w:pPr>
      <w:r>
        <w:t xml:space="preserve">1.3 Module boundaries (hard rule)</w:t>
      </w:r>
    </w:p>
    <w:p>
      <w:pPr>
        <w:spacing w:after="120"/>
        <w:jc w:val="left"/>
      </w:pPr>
      <w:r>
        <w:t xml:space="preserve">BioDigital Twin = Pre-Clinical, full stop. It does not bleed into Clinical, Commz, or Care. The L4 to Clinical handoff is an API, not a shared module. This is consistent with the long-standing AKTHealth practice of treating Clinical, Commz, Care, and Pre-Clinical as separately addressable modules under HAIOps. Every deliverable produced by the twin must be traceable back to one of L1–L4; nothing the twin emits is allowed to live in the Clinical module by reference.</w:t>
      </w:r>
    </w:p>
    <w:p>
      <w:pPr>
        <w:pStyle w:val="Heading2"/>
      </w:pPr>
      <w:r>
        <w:t xml:space="preserve">1.4 In-scope and out-of-scope</w:t>
      </w:r>
    </w:p>
    <w:p>
      <w:pPr>
        <w:spacing w:after="120"/>
        <w:jc w:val="left"/>
      </w:pPr>
      <w:r>
        <w:t xml:space="preserve">In scope for the first build:</w:t>
      </w:r>
    </w:p>
    <w:p>
      <w:pPr>
        <w:pStyle w:val="ListParagraph"/>
        <w:numPr>
          <w:ilvl w:val="0"/>
          <w:numId w:val="2"/>
        </w:numPr>
        <w:spacing w:after="60"/>
      </w:pPr>
      <w:r>
        <w:t xml:space="preserve">Small molecule drug candidates (drug-like compounds, MW typically &lt;900 Da).</w:t>
      </w:r>
    </w:p>
    <w:p>
      <w:pPr>
        <w:pStyle w:val="ListParagraph"/>
        <w:numPr>
          <w:ilvl w:val="0"/>
          <w:numId w:val="2"/>
        </w:numPr>
        <w:spacing w:after="60"/>
      </w:pPr>
      <w:r>
        <w:t xml:space="preserve">Therapeutic-area-agnostic platform: scaffold supports any TA; depth comes per program.</w:t>
      </w:r>
    </w:p>
    <w:p>
      <w:pPr>
        <w:pStyle w:val="ListParagraph"/>
        <w:numPr>
          <w:ilvl w:val="0"/>
          <w:numId w:val="2"/>
        </w:numPr>
        <w:spacing w:after="60"/>
      </w:pPr>
      <w:r>
        <w:t xml:space="preserve">IND-enabling work targeting FDA + EMA submission shapes; PMDA / NMPA portability noted but not gated.</w:t>
      </w:r>
    </w:p>
    <w:p>
      <w:pPr>
        <w:spacing w:after="120"/>
        <w:jc w:val="left"/>
      </w:pPr>
      <w:r>
        <w:t xml:space="preserve">Explicitly out of scope for the MVP (each is a separate roadmap track):</w:t>
      </w:r>
    </w:p>
    <w:p>
      <w:pPr>
        <w:pStyle w:val="ListParagraph"/>
        <w:numPr>
          <w:ilvl w:val="0"/>
          <w:numId w:val="2"/>
        </w:numPr>
        <w:spacing w:after="60"/>
      </w:pPr>
      <w:r>
        <w:t xml:space="preserve">Biologics and antibodies (different databases — SAbDab, Thera-SAbDab — and different models — AlphaFold-Multimer, IgFold). Proteina-Complexa is the candidate foundation for this track; it sits separate from the small-molecule L1.</w:t>
      </w:r>
    </w:p>
    <w:p>
      <w:pPr>
        <w:pStyle w:val="ListParagraph"/>
        <w:numPr>
          <w:ilvl w:val="0"/>
          <w:numId w:val="2"/>
        </w:numPr>
        <w:spacing w:after="60"/>
      </w:pPr>
      <w:r>
        <w:t xml:space="preserve">Peptides and cyclic peptides. Partial overlap with both small-molecule and biologics tooling, but distinct modelling.</w:t>
      </w:r>
    </w:p>
    <w:p>
      <w:pPr>
        <w:pStyle w:val="ListParagraph"/>
        <w:numPr>
          <w:ilvl w:val="0"/>
          <w:numId w:val="2"/>
        </w:numPr>
        <w:spacing w:after="60"/>
      </w:pPr>
      <w:r>
        <w:t xml:space="preserve">Cell and gene therapies, RNA. Very different L3 ex-vivo workflows (CAR-T, AAV, siRNA, mRNA-specific organoid and iPSC models) and limited public PK/PD.</w:t>
      </w:r>
    </w:p>
    <w:p>
      <w:pPr>
        <w:pStyle w:val="Heading1"/>
        <w:pageBreakBefore/>
      </w:pPr>
      <w:r>
        <w:t xml:space="preserve">2. 4-Layer Architecture at a Glance</w:t>
      </w:r>
    </w:p>
    <w:p>
      <w:pPr>
        <w:pStyle w:val="Heading2"/>
      </w:pPr>
      <w:r>
        <w:t xml:space="preserve">2.1 Layer summary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300"/>
        <w:gridCol w:w="2300"/>
        <w:gridCol w:w="3000"/>
        <w:gridCol w:w="1300"/>
        <w:gridCol w:w="2900"/>
      </w:tblGrid>
      <w:tr>
        <w:trPr>
          <w:tblHeader/>
        </w:trPr>
        <w:tc>
          <w:tcPr>
            <w:tcW w:type="dxa" w:w="13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40"/>
            </w:pPr>
            <w:r>
              <w:rPr>
                <w:b/>
                <w:bCs/>
                <w:sz w:val="18"/>
                <w:szCs w:val="18"/>
              </w:rPr>
              <w:t xml:space="preserve">Layer</w:t>
            </w:r>
          </w:p>
        </w:tc>
        <w:tc>
          <w:tcPr>
            <w:tcW w:type="dxa" w:w="23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40"/>
            </w:pPr>
            <w:r>
              <w:rPr>
                <w:b/>
                <w:bCs/>
                <w:sz w:val="18"/>
                <w:szCs w:val="18"/>
              </w:rPr>
              <w:t xml:space="preserve">Function</w:t>
            </w:r>
          </w:p>
        </w:tc>
        <w:tc>
          <w:tcPr>
            <w:tcW w:type="dxa" w:w="30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40"/>
            </w:pPr>
            <w:r>
              <w:rPr>
                <w:b/>
                <w:bCs/>
                <w:sz w:val="18"/>
                <w:szCs w:val="18"/>
              </w:rPr>
              <w:t xml:space="preserve">Primary data source</w:t>
            </w:r>
          </w:p>
        </w:tc>
        <w:tc>
          <w:tcPr>
            <w:tcW w:type="dxa" w:w="13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40"/>
            </w:pPr>
            <w:r>
              <w:rPr>
                <w:b/>
                <w:bCs/>
                <w:sz w:val="18"/>
                <w:szCs w:val="18"/>
              </w:rPr>
              <w:t xml:space="preserve">Cost/cmpd</w:t>
            </w:r>
          </w:p>
        </w:tc>
        <w:tc>
          <w:tcPr>
            <w:tcW w:type="dxa" w:w="29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40"/>
            </w:pPr>
            <w:r>
              <w:rPr>
                <w:b/>
                <w:bCs/>
                <w:sz w:val="18"/>
                <w:szCs w:val="18"/>
              </w:rPr>
              <w:t xml:space="preserve">Output to next</w:t>
            </w:r>
          </w:p>
        </w:tc>
      </w:tr>
      <w:tr>
        <w:tc>
          <w:tcPr>
            <w:tcW w:type="dxa" w:w="13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L1 In-Vitro</w:t>
            </w:r>
          </w:p>
        </w:tc>
        <w:tc>
          <w:tcPr>
            <w:tcW w:type="dxa" w:w="23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Wet biochemical / cell-line assays on isolated targets</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In-house + public DBs (ChEMBL, PubChem, Tox21, DepMap)</w:t>
            </w:r>
          </w:p>
        </w:tc>
        <w:tc>
          <w:tcPr>
            <w:tcW w:type="dxa" w:w="13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$50 – $2,000 / endpoint</w:t>
            </w:r>
          </w:p>
        </w:tc>
        <w:tc>
          <w:tcPr>
            <w:tcW w:type="dxa" w:w="2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IC50, Ki, ADMET panel, hERG IC50, cytotox, binding</w:t>
            </w:r>
          </w:p>
        </w:tc>
      </w:tr>
      <w:tr>
        <w:tc>
          <w:tcPr>
            <w:tcW w:type="dxa" w:w="1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L2 In-Silico</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Computational triage; project human PK/PD, dock, simulate</w:t>
            </w:r>
          </w:p>
        </w:tc>
        <w:tc>
          <w:tcPr>
            <w:tcW w:type="dxa" w:w="3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L1 outputs + UniProt/PDB/AlphaFold/PK-DB/BioModels</w:t>
            </w:r>
          </w:p>
        </w:tc>
        <w:tc>
          <w:tcPr>
            <w:tcW w:type="dxa" w:w="1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$0.10 – $10 / cmpd / model</w:t>
            </w:r>
          </w:p>
        </w:tc>
        <w:tc>
          <w:tcPr>
            <w:tcW w:type="dxa" w:w="29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Ranked shortlist with predicted dose ranges and margins</w:t>
            </w:r>
          </w:p>
        </w:tc>
      </w:tr>
      <w:tr>
        <w:tc>
          <w:tcPr>
            <w:tcW w:type="dxa" w:w="13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L3 Ex-Vivo</w:t>
            </w:r>
          </w:p>
        </w:tc>
        <w:tc>
          <w:tcPr>
            <w:tcW w:type="dxa" w:w="23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Real tissue without live animal; PCLS, perfused organs, organoids, MPS</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HCMI, HUB Organoids, vendor MPS, hPSCreg, single-cell atlases</w:t>
            </w:r>
          </w:p>
        </w:tc>
        <w:tc>
          <w:tcPr>
            <w:tcW w:type="dxa" w:w="13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$15k – $250k / cmpd</w:t>
            </w:r>
          </w:p>
        </w:tc>
        <w:tc>
          <w:tcPr>
            <w:tcW w:type="dxa" w:w="2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Tissue-selectivity dossier, dose-range, IVIVE-calibrated PK</w:t>
            </w:r>
          </w:p>
        </w:tc>
      </w:tr>
      <w:tr>
        <w:tc>
          <w:tcPr>
            <w:tcW w:type="dxa" w:w="1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L4 Animal Cohort</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Rodent + non-rodent ICH M3(R2) battery, GLP</w:t>
            </w:r>
          </w:p>
        </w:tc>
        <w:tc>
          <w:tcPr>
            <w:tcW w:type="dxa" w:w="3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GLP CRO + simulated arms (VCG, eTRANSAFE)</w:t>
            </w:r>
          </w:p>
        </w:tc>
        <w:tc>
          <w:tcPr>
            <w:tcW w:type="dxa" w:w="1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$300k – multi-M / study</w:t>
            </w:r>
          </w:p>
        </w:tc>
        <w:tc>
          <w:tcPr>
            <w:tcW w:type="dxa" w:w="29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IND-enabling SEND package, MRSD, integrated risk</w:t>
            </w:r>
          </w:p>
        </w:tc>
      </w:tr>
    </w:tbl>
    <w:p>
      <w:pPr>
        <w:spacing w:after="100"/>
      </w:pPr>
      <w:r>
        <w:t xml:space="preserve"/>
      </w:r>
    </w:p>
    <w:p>
      <w:pPr>
        <w:pStyle w:val="Heading2"/>
      </w:pPr>
      <w:r>
        <w:t xml:space="preserve">2.2 Data-flow contracts between layers</w:t>
      </w:r>
    </w:p>
    <w:p>
      <w:pPr>
        <w:spacing w:after="120"/>
        <w:jc w:val="left"/>
      </w:pPr>
      <w:r>
        <w:t xml:space="preserve">Each transition is a contract. What enters and what leaves each layer is fixed; everything else is implementation detail.</w:t>
      </w:r>
    </w:p>
    <w:p>
      <w:pPr>
        <w:pStyle w:val="Heading3"/>
      </w:pPr>
      <w:r>
        <w:t xml:space="preserve">L1 → L2 contract</w:t>
      </w:r>
    </w:p>
    <w:p>
      <w:pPr>
        <w:spacing w:after="120"/>
        <w:jc w:val="left"/>
      </w:pPr>
      <w:r>
        <w:t xml:space="preserve">Per compound, L1 must hand L2: canonical SMILES + InChIKey; primary-target Ki or IC50 with assay provenance; an ADMET panel covering CYP inhibition, microsomal stability, plasma protein binding, solubility, permeability; hERG IC50; selectivity panel hits; cytotox where measured; assay metadata (cell line via Cellosaurus CVCL accession, replicate count, statistical confidence). L2 normalises units, persists to a Parquet store keyed on InChIKey, and pulls target and pathway context from L1-independent reference databases.</w:t>
      </w:r>
    </w:p>
    <w:p>
      <w:pPr>
        <w:pStyle w:val="Heading3"/>
      </w:pPr>
      <w:r>
        <w:t xml:space="preserve">L2 → L3 contract</w:t>
      </w:r>
    </w:p>
    <w:p>
      <w:pPr>
        <w:spacing w:after="120"/>
        <w:jc w:val="left"/>
      </w:pPr>
      <w:r>
        <w:t xml:space="preserve">L2 must hand L3 a ranked shortlist (typically 20–50 compounds from a starting set in the hundreds), each carrying: predicted human dose range; predicted unbound Cmax and AUC at each candidate dose; physically-validated docking poses (PoseBusters-cleared); free-energy estimates where computed; off-target liability flags; predicted IVIVE-derived clearance; explicit confidence and uncertainty estimates. The structured form is a CSV plus per-compound JSON keyed on Cellosaurus-recommended models for L3 to use.</w:t>
      </w:r>
    </w:p>
    <w:p>
      <w:pPr>
        <w:pStyle w:val="Heading3"/>
      </w:pPr>
      <w:r>
        <w:t xml:space="preserve">L3 → L4 contract</w:t>
      </w:r>
    </w:p>
    <w:p>
      <w:pPr>
        <w:spacing w:after="120"/>
        <w:jc w:val="left"/>
      </w:pPr>
      <w:r>
        <w:t xml:space="preserve">L3 hands L4 a graduation dossier per surviving compound: a tissue-selectivity matrix (54 GTEx tissues × predicted margin), an ADME card (predicted F_oral, V_d, t1/2, primary clearance route, transporter liabilities, K_p,uu where CNS-relevant), a tox flag list ranked by mechanism (mitochondrial, BSEP, hERG, OAT/OCT, neurite, nephron-segment-specific), an organoid efficacy panel across at least three patient-derived lines with cell-type-resolved scRNA response, a confidence scorecard with vendor-locked / non-reproduced flags, and a recommended L4 species and study design with justification.</w:t>
      </w:r>
    </w:p>
    <w:p>
      <w:pPr>
        <w:pStyle w:val="Heading3"/>
      </w:pPr>
      <w:r>
        <w:t xml:space="preserve">L4 → Clinical contract</w:t>
      </w:r>
    </w:p>
    <w:p>
      <w:pPr>
        <w:spacing w:after="120"/>
        <w:jc w:val="left"/>
      </w:pPr>
      <w:r>
        <w:t xml:space="preserve">See Section 8 for the full API. In summary: a SEND-conformant nonclinical package, a NOAEL-to-MRSD chain auditable end-to-end, an ICH S7B(R1) integrated proarrhythmia verdict with multi-layer evidence chain, an organ risk register with provenance, and the full Module 4 CTD pointers, signed and immutably archived.</w:t>
      </w:r>
    </w:p>
    <w:p>
      <w:pPr>
        <w:pStyle w:val="Heading1"/>
        <w:pageBreakBefore/>
      </w:pPr>
      <w:r>
        <w:t xml:space="preserve">3. L1 — In-Vitro Layer</w:t>
      </w:r>
    </w:p>
    <w:p>
      <w:pPr>
        <w:spacing w:after="120"/>
        <w:jc w:val="left"/>
      </w:pPr>
      <w:r>
        <w:t xml:space="preserve">L1 is the established anchor of the twin. Its job is to produce wet ground-truth data on isolated targets that everything downstream is calibrated against. The key design decision in this layer is which public databases to integrate at scale and which ML models to host vs. depend on as services.</w:t>
      </w:r>
    </w:p>
    <w:p>
      <w:pPr>
        <w:pStyle w:val="Heading2"/>
      </w:pPr>
      <w:r>
        <w:t xml:space="preserve">3.1 Databases</w:t>
      </w:r>
    </w:p>
    <w:p>
      <w:pPr>
        <w:pStyle w:val="Heading3"/>
      </w:pPr>
      <w:r>
        <w:t xml:space="preserve">3.1.1 Core bioactivity and chemistry corpora</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1800"/>
        <w:gridCol w:w="1900"/>
        <w:gridCol w:w="2300"/>
      </w:tblGrid>
      <w:tr>
        <w:trPr>
          <w:tblHeader/>
        </w:trPr>
        <w:tc>
          <w:tcPr>
            <w:tcW w:type="dxa" w:w="15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40"/>
            </w:pPr>
            <w:r>
              <w:rPr>
                <w:b/>
                <w:bCs/>
                <w:sz w:val="18"/>
                <w:szCs w:val="18"/>
              </w:rPr>
              <w:t xml:space="preserve">Database</w:t>
            </w:r>
          </w:p>
        </w:tc>
        <w:tc>
          <w:tcPr>
            <w:tcW w:type="dxa" w:w="33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40"/>
            </w:pPr>
            <w:r>
              <w:rPr>
                <w:b/>
                <w:bCs/>
                <w:sz w:val="18"/>
                <w:szCs w:val="18"/>
              </w:rPr>
              <w:t xml:space="preserve">Contents</w:t>
            </w:r>
          </w:p>
        </w:tc>
        <w:tc>
          <w:tcPr>
            <w:tcW w:type="dxa" w:w="18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40"/>
            </w:pPr>
            <w:r>
              <w:rPr>
                <w:b/>
                <w:bCs/>
                <w:sz w:val="18"/>
                <w:szCs w:val="18"/>
              </w:rPr>
              <w:t xml:space="preserve">Access</w:t>
            </w:r>
          </w:p>
        </w:tc>
        <w:tc>
          <w:tcPr>
            <w:tcW w:type="dxa" w:w="19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40"/>
            </w:pPr>
            <w:r>
              <w:rPr>
                <w:b/>
                <w:bCs/>
                <w:sz w:val="18"/>
                <w:szCs w:val="18"/>
              </w:rPr>
              <w:t xml:space="preserve">License</w:t>
            </w:r>
          </w:p>
        </w:tc>
        <w:tc>
          <w:tcPr>
            <w:tcW w:type="dxa" w:w="23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40"/>
            </w:pPr>
            <w:r>
              <w:rPr>
                <w:b/>
                <w:bCs/>
                <w:sz w:val="18"/>
                <w:szCs w:val="18"/>
              </w:rPr>
              <w:t xml:space="preserve">L1 role</w:t>
            </w:r>
          </w:p>
        </w:tc>
      </w:tr>
      <w:tr>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ChEMBL</w:t>
            </w:r>
          </w:p>
        </w:tc>
        <w:tc>
          <w:tcPr>
            <w:tcW w:type="dxa" w:w="33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~2.4M cmpds, ~20M activities, ~15K targets; release 34 (2024) → 35 expected</w:t>
            </w:r>
          </w:p>
        </w:tc>
        <w:tc>
          <w:tcPr>
            <w:tcW w:type="dxa" w:w="1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Open, REST + SPARQL + bulk dumps via EBI</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CC BY-SA 3.0</w:t>
            </w:r>
          </w:p>
        </w:tc>
        <w:tc>
          <w:tcPr>
            <w:tcW w:type="dxa" w:w="23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Single most important open bioactivity reference; QSAR training, target-activity baselines</w:t>
            </w:r>
          </w:p>
        </w:tc>
      </w:tr>
      <w:tr>
        <w:tc>
          <w:tcPr>
            <w:tcW w:type="dxa" w:w="1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PubChem (Compound + BioAssay)</w:t>
            </w:r>
          </w:p>
        </w:tc>
        <w:tc>
          <w:tcPr>
            <w:tcW w:type="dxa" w:w="3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~115M cmpds, ~1.6M assays</w:t>
            </w:r>
          </w:p>
        </w:tc>
        <w:tc>
          <w:tcPr>
            <w:tcW w:type="dxa" w:w="1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Open, PUG-REST + FTP</w:t>
            </w:r>
          </w:p>
        </w:tc>
        <w:tc>
          <w:tcPr>
            <w:tcW w:type="dxa" w:w="19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Public domain (US Gov)</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Largest open assay corpus; balanced negatives for QSAR</w:t>
            </w:r>
          </w:p>
        </w:tc>
      </w:tr>
      <w:tr>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BindingDB</w:t>
            </w:r>
          </w:p>
        </w:tc>
        <w:tc>
          <w:tcPr>
            <w:tcW w:type="dxa" w:w="33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~2.9M binding affinities, ~1.2M cmpds, ~9K targets</w:t>
            </w:r>
          </w:p>
        </w:tc>
        <w:tc>
          <w:tcPr>
            <w:tcW w:type="dxa" w:w="1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Open, REST + dumps</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Permissive</w:t>
            </w:r>
          </w:p>
        </w:tc>
        <w:tc>
          <w:tcPr>
            <w:tcW w:type="dxa" w:w="23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Higher-purity binding subset; KIBA/DeepDTA/PLAPT all derived from it</w:t>
            </w:r>
          </w:p>
        </w:tc>
      </w:tr>
      <w:tr>
        <w:tc>
          <w:tcPr>
            <w:tcW w:type="dxa" w:w="1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DrugBank</w:t>
            </w:r>
          </w:p>
        </w:tc>
        <w:tc>
          <w:tcPr>
            <w:tcW w:type="dxa" w:w="3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~17K drug entries with ADMET, MoA, DDI, FDA labels</w:t>
            </w:r>
          </w:p>
        </w:tc>
        <w:tc>
          <w:tcPr>
            <w:tcW w:type="dxa" w:w="1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Tiered: open subset CC0; full data commercial</w:t>
            </w:r>
          </w:p>
        </w:tc>
        <w:tc>
          <w:tcPr>
            <w:tcW w:type="dxa" w:w="19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Commercial license required for full ADMET fields</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Gold-standard reference for known-drug ADMET; positive control</w:t>
            </w:r>
          </w:p>
        </w:tc>
      </w:tr>
      <w:tr>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Reaxys</w:t>
            </w:r>
          </w:p>
        </w:tc>
        <w:tc>
          <w:tcPr>
            <w:tcW w:type="dxa" w:w="33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~280M reactions, ~120M substances; deep patent + non-English coverage</w:t>
            </w:r>
          </w:p>
        </w:tc>
        <w:tc>
          <w:tcPr>
            <w:tcW w:type="dxa" w:w="1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Commercial subscription only</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Elsevier T&amp;Cs; AI training disallowed without rider</w:t>
            </w:r>
          </w:p>
        </w:tc>
        <w:tc>
          <w:tcPr>
            <w:tcW w:type="dxa" w:w="23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Synthetic feasibility, route design, patent-mined bioactivity</w:t>
            </w:r>
          </w:p>
        </w:tc>
      </w:tr>
    </w:tbl>
    <w:p>
      <w:pPr>
        <w:spacing w:after="100"/>
      </w:pPr>
      <w:r>
        <w:t xml:space="preserve"/>
      </w:r>
    </w:p>
    <w:p>
      <w:pPr>
        <w:pStyle w:val="Heading3"/>
      </w:pPr>
      <w:r>
        <w:t xml:space="preserve">3.1.2 Toxicology corpora</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1900"/>
        <w:gridCol w:w="1700"/>
        <w:gridCol w:w="2700"/>
      </w:tblGrid>
      <w:tr>
        <w:trPr>
          <w:tblHeader/>
        </w:trPr>
        <w:tc>
          <w:tcPr>
            <w:tcW w:type="dxa" w:w="15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40"/>
            </w:pPr>
            <w:r>
              <w:rPr>
                <w:b/>
                <w:bCs/>
                <w:sz w:val="18"/>
                <w:szCs w:val="18"/>
              </w:rPr>
              <w:t xml:space="preserve">Database</w:t>
            </w:r>
          </w:p>
        </w:tc>
        <w:tc>
          <w:tcPr>
            <w:tcW w:type="dxa" w:w="30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40"/>
            </w:pPr>
            <w:r>
              <w:rPr>
                <w:b/>
                <w:bCs/>
                <w:sz w:val="18"/>
                <w:szCs w:val="18"/>
              </w:rPr>
              <w:t xml:space="preserve">Contents</w:t>
            </w:r>
          </w:p>
        </w:tc>
        <w:tc>
          <w:tcPr>
            <w:tcW w:type="dxa" w:w="19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40"/>
            </w:pPr>
            <w:r>
              <w:rPr>
                <w:b/>
                <w:bCs/>
                <w:sz w:val="18"/>
                <w:szCs w:val="18"/>
              </w:rPr>
              <w:t xml:space="preserve">Access</w:t>
            </w:r>
          </w:p>
        </w:tc>
        <w:tc>
          <w:tcPr>
            <w:tcW w:type="dxa" w:w="17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40"/>
            </w:pPr>
            <w:r>
              <w:rPr>
                <w:b/>
                <w:bCs/>
                <w:sz w:val="18"/>
                <w:szCs w:val="18"/>
              </w:rPr>
              <w:t xml:space="preserve">License</w:t>
            </w:r>
          </w:p>
        </w:tc>
        <w:tc>
          <w:tcPr>
            <w:tcW w:type="dxa" w:w="27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40"/>
            </w:pPr>
            <w:r>
              <w:rPr>
                <w:b/>
                <w:bCs/>
                <w:sz w:val="18"/>
                <w:szCs w:val="18"/>
              </w:rPr>
              <w:t xml:space="preserve">L1 role</w:t>
            </w:r>
          </w:p>
        </w:tc>
      </w:tr>
      <w:tr>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Tox21</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~10K cmpds × ~70 qHTS nuclear-receptor / stress assays (NIH/EPA/FDA/NCATS)</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Open via PubChem AID set</w:t>
            </w:r>
          </w:p>
        </w:tc>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Public domain</w:t>
            </w:r>
          </w:p>
        </w:tc>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Canonical training set for tox classifiers; off-target liability</w:t>
            </w:r>
          </w:p>
        </w:tc>
      </w:tr>
      <w:tr>
        <w:tc>
          <w:tcPr>
            <w:tcW w:type="dxa" w:w="1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ToxCast / ICE</w:t>
            </w:r>
          </w:p>
        </w:tc>
        <w:tc>
          <w:tcPr>
            <w:tcW w:type="dxa" w:w="3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ToxCast: ~10K chems × ~1,800 assays. ICE wraps ToxCast + Tox21 + curated in vivo</w:t>
            </w:r>
          </w:p>
        </w:tc>
        <w:tc>
          <w:tcPr>
            <w:tcW w:type="dxa" w:w="19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Open, ICE REST API + invitrodb dumps</w:t>
            </w:r>
          </w:p>
        </w:tc>
        <w:tc>
          <w:tcPr>
            <w:tcW w:type="dxa" w:w="1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Public domain (US Gov)</w:t>
            </w:r>
          </w:p>
        </w:tc>
        <w:tc>
          <w:tcPr>
            <w:tcW w:type="dxa" w:w="2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Broadest mechanistic-tox panel publicly available</w:t>
            </w:r>
          </w:p>
        </w:tc>
      </w:tr>
      <w:tr>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TOXRIC</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~113K cmpds, 1,900+ tox endpoints aggregated across 30+ source DBs (2023)</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Web download</w:t>
            </w:r>
          </w:p>
        </w:tc>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Likely CC BY-NC — verify before commercial reuse</w:t>
            </w:r>
          </w:p>
        </w:tc>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Single best aggregated cytotox / acute-tox training corpus</w:t>
            </w:r>
          </w:p>
        </w:tc>
      </w:tr>
      <w:tr>
        <w:tc>
          <w:tcPr>
            <w:tcW w:type="dxa" w:w="1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ProTox-3.0</w:t>
            </w:r>
          </w:p>
        </w:tc>
        <w:tc>
          <w:tcPr>
            <w:tcW w:type="dxa" w:w="3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Acute oral tox + organ tox + tox endpoint predictions</w:t>
            </w:r>
          </w:p>
        </w:tc>
        <w:tc>
          <w:tcPr>
            <w:tcW w:type="dxa" w:w="19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Free academic web; commercial via Charité Berlin</w:t>
            </w:r>
          </w:p>
        </w:tc>
        <w:tc>
          <w:tcPr>
            <w:tcW w:type="dxa" w:w="1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Verify commercial terms</w:t>
            </w:r>
          </w:p>
        </w:tc>
        <w:tc>
          <w:tcPr>
            <w:tcW w:type="dxa" w:w="2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Reference predictor for LD50 + organ tox</w:t>
            </w:r>
          </w:p>
        </w:tc>
      </w:tr>
      <w:tr>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SIDER 4.1</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Marketed-drug → MedDRA side effects</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Open</w:t>
            </w:r>
          </w:p>
        </w:tc>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CC BY</w:t>
            </w:r>
          </w:p>
        </w:tc>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Retrospective tox validation set</w:t>
            </w:r>
          </w:p>
        </w:tc>
      </w:tr>
      <w:tr>
        <w:tc>
          <w:tcPr>
            <w:tcW w:type="dxa" w:w="1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OFFSIDES / TWOSIDES</w:t>
            </w:r>
          </w:p>
        </w:tc>
        <w:tc>
          <w:tcPr>
            <w:tcW w:type="dxa" w:w="3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FAERS-derived adverse-event signals</w:t>
            </w:r>
          </w:p>
        </w:tc>
        <w:tc>
          <w:tcPr>
            <w:tcW w:type="dxa" w:w="19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Open</w:t>
            </w:r>
          </w:p>
        </w:tc>
        <w:tc>
          <w:tcPr>
            <w:tcW w:type="dxa" w:w="1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CC BY</w:t>
            </w:r>
          </w:p>
        </w:tc>
        <w:tc>
          <w:tcPr>
            <w:tcW w:type="dxa" w:w="2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Real-world tox signal cross-check</w:t>
            </w:r>
          </w:p>
        </w:tc>
      </w:tr>
    </w:tbl>
    <w:p>
      <w:pPr>
        <w:spacing w:after="100"/>
      </w:pPr>
      <w:r>
        <w:t xml:space="preserve"/>
      </w:r>
    </w:p>
    <w:p>
      <w:pPr>
        <w:pStyle w:val="Heading3"/>
      </w:pPr>
      <w:r>
        <w:t xml:space="preserve">3.1.3 Cell-line and target context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300"/>
        <w:gridCol w:w="3500"/>
        <w:gridCol w:w="1700"/>
        <w:gridCol w:w="4300"/>
      </w:tblGrid>
      <w:tr>
        <w:trPr>
          <w:tblHeader/>
        </w:trPr>
        <w:tc>
          <w:tcPr>
            <w:tcW w:type="dxa" w:w="13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40"/>
            </w:pPr>
            <w:r>
              <w:rPr>
                <w:b/>
                <w:bCs/>
                <w:sz w:val="18"/>
                <w:szCs w:val="18"/>
              </w:rPr>
              <w:t xml:space="preserve">Database</w:t>
            </w:r>
          </w:p>
        </w:tc>
        <w:tc>
          <w:tcPr>
            <w:tcW w:type="dxa" w:w="35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40"/>
            </w:pPr>
            <w:r>
              <w:rPr>
                <w:b/>
                <w:bCs/>
                <w:sz w:val="18"/>
                <w:szCs w:val="18"/>
              </w:rPr>
              <w:t xml:space="preserve">Contents</w:t>
            </w:r>
          </w:p>
        </w:tc>
        <w:tc>
          <w:tcPr>
            <w:tcW w:type="dxa" w:w="17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40"/>
            </w:pPr>
            <w:r>
              <w:rPr>
                <w:b/>
                <w:bCs/>
                <w:sz w:val="18"/>
                <w:szCs w:val="18"/>
              </w:rPr>
              <w:t xml:space="preserve">Access</w:t>
            </w:r>
          </w:p>
        </w:tc>
        <w:tc>
          <w:tcPr>
            <w:tcW w:type="dxa" w:w="43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40"/>
            </w:pPr>
            <w:r>
              <w:rPr>
                <w:b/>
                <w:bCs/>
                <w:sz w:val="18"/>
                <w:szCs w:val="18"/>
              </w:rPr>
              <w:t xml:space="preserve">L1 role</w:t>
            </w:r>
          </w:p>
        </w:tc>
      </w:tr>
      <w:tr>
        <w:tc>
          <w:tcPr>
            <w:tcW w:type="dxa" w:w="13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Cellosaurus</w:t>
            </w:r>
          </w:p>
        </w:tc>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~155K cell-line entries with provenance, STR profiles, contamination flags</w:t>
            </w:r>
          </w:p>
        </w:tc>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Open, CC BY 4.0</w:t>
            </w:r>
          </w:p>
        </w:tc>
        <w:tc>
          <w:tcPr>
            <w:tcW w:type="dxa" w:w="43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Canonical line identifier; the join key across CCLE/DepMap/GDSC</w:t>
            </w:r>
          </w:p>
        </w:tc>
      </w:tr>
      <w:tr>
        <w:tc>
          <w:tcPr>
            <w:tcW w:type="dxa" w:w="1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DepMap (Broad)</w:t>
            </w:r>
          </w:p>
        </w:tc>
        <w:tc>
          <w:tcPr>
            <w:tcW w:type="dxa" w:w="3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~2,000 cancer cell lines: CRISPR/RNAi essentiality, CNV, expression, mutation, PRISM drug response</w:t>
            </w:r>
          </w:p>
        </w:tc>
        <w:tc>
          <w:tcPr>
            <w:tcW w:type="dxa" w:w="1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Open, CC BY 4.0; quarterly releases</w:t>
            </w:r>
          </w:p>
        </w:tc>
        <w:tc>
          <w:tcPr>
            <w:tcW w:type="dxa" w:w="4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Genotype context for selectivity prediction</w:t>
            </w:r>
          </w:p>
        </w:tc>
      </w:tr>
      <w:tr>
        <w:tc>
          <w:tcPr>
            <w:tcW w:type="dxa" w:w="13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GDSC (Sanger)</w:t>
            </w:r>
          </w:p>
        </w:tc>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~1,000 lines × ~600 cmpds with IC50</w:t>
            </w:r>
          </w:p>
        </w:tc>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Open, attribution required</w:t>
            </w:r>
          </w:p>
        </w:tc>
        <w:tc>
          <w:tcPr>
            <w:tcW w:type="dxa" w:w="43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Cleaner, more reproducible drug-response than CCLE</w:t>
            </w:r>
          </w:p>
        </w:tc>
      </w:tr>
      <w:tr>
        <w:tc>
          <w:tcPr>
            <w:tcW w:type="dxa" w:w="1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CCLE (Broad)</w:t>
            </w:r>
          </w:p>
        </w:tc>
        <w:tc>
          <w:tcPr>
            <w:tcW w:type="dxa" w:w="3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Multi-omics for ~1,400 lines; legacy drug sensitivity</w:t>
            </w:r>
          </w:p>
        </w:tc>
        <w:tc>
          <w:tcPr>
            <w:tcW w:type="dxa" w:w="1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Open via DepMap portal</w:t>
            </w:r>
          </w:p>
        </w:tc>
        <w:tc>
          <w:tcPr>
            <w:tcW w:type="dxa" w:w="4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Multi-omics priors for cell-line context</w:t>
            </w:r>
          </w:p>
        </w:tc>
      </w:tr>
      <w:tr>
        <w:tc>
          <w:tcPr>
            <w:tcW w:type="dxa" w:w="13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Open Targets</w:t>
            </w:r>
          </w:p>
        </w:tc>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~63K targets, ~25K diseases; genetics + expression + literature evidence</w:t>
            </w:r>
          </w:p>
        </w:tc>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Open, CC0; quarterly; GraphQL</w:t>
            </w:r>
          </w:p>
        </w:tc>
        <w:tc>
          <w:tcPr>
            <w:tcW w:type="dxa" w:w="43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Target tractability and disease-association scoring</w:t>
            </w:r>
          </w:p>
        </w:tc>
      </w:tr>
    </w:tbl>
    <w:p>
      <w:pPr>
        <w:spacing w:after="100"/>
      </w:pPr>
      <w:r>
        <w:t xml:space="preserve"/>
      </w:r>
    </w:p>
    <w:p>
      <w:pPr>
        <w:pStyle w:val="Heading3"/>
      </w:pPr>
      <w:r>
        <w:t xml:space="preserve">3.1.4 Perturbation and phenotypic</w:t>
      </w:r>
    </w:p>
    <w:p>
      <w:pPr>
        <w:spacing w:after="120"/>
        <w:jc w:val="left"/>
      </w:pPr>
      <w:r>
        <w:t xml:space="preserve">LINCS L1000 / Connectivity Map (CMap) — ~1.3M gene-expression signatures from ~30K perturbagens across ~80 cell lines, on a 1,000-gene reduced assay. Used for phenotypic / MoA fingerprinting and off-target / polypharmacology inference. Raw data is open via GEO (GSE92742, GSE70138); the Clue.io tooling layer requires registration, with a paid commercial tier (Touchstone / Drug Discovery).</w:t>
      </w:r>
    </w:p>
    <w:p>
      <w:pPr>
        <w:spacing w:after="120"/>
        <w:jc w:val="left"/>
      </w:pPr>
      <w:r>
        <w:t xml:space="preserve">JUMP-CP (Cell Painting, Broad / JUMP-CP consortium, released 2023) — ~120K compounds with multi-channel cell-painting morphology profiles. Largely open; the largest phenotypic dataset of meaningful scale. Should be added to the L1 integration set; cost is engineering, not licensing.</w:t>
      </w:r>
    </w:p>
    <w:p>
      <w:pPr>
        <w:pStyle w:val="Heading2"/>
      </w:pPr>
      <w:r>
        <w:t xml:space="preserve">3.2 Models and tools</w:t>
      </w:r>
    </w:p>
    <w:p>
      <w:pPr>
        <w:pStyle w:val="Heading3"/>
      </w:pPr>
      <w:r>
        <w:t xml:space="preserve">3.2.1 ADMET predictors</w:t>
      </w:r>
    </w:p>
    <w:p>
      <w:pPr>
        <w:pStyle w:val="ListParagraph"/>
        <w:numPr>
          <w:ilvl w:val="0"/>
          <w:numId w:val="2"/>
        </w:numPr>
        <w:spacing w:after="60"/>
      </w:pPr>
      <w:r>
        <w:rPr>
          <w:b/>
          <w:bCs/>
        </w:rPr>
        <w:t xml:space="preserve">ADMET-AI</w:t>
      </w:r>
      <w:r>
        <w:t xml:space="preserve"> (Stanford / Swanson et al.) — 41 ADMET endpoints from TDC. SMILES → CSV, Chemprop-RDKit ensemble. MIT-licensed. Drop-in for an L1 ADMET pass.</w:t>
      </w:r>
    </w:p>
    <w:p>
      <w:pPr>
        <w:pStyle w:val="ListParagraph"/>
        <w:numPr>
          <w:ilvl w:val="0"/>
          <w:numId w:val="2"/>
        </w:numPr>
        <w:spacing w:after="60"/>
      </w:pPr>
      <w:r>
        <w:rPr>
          <w:b/>
          <w:bCs/>
        </w:rPr>
        <w:t xml:space="preserve">ADMETlab 3.0</w:t>
      </w:r>
      <w:r>
        <w:t xml:space="preserve"> — ~80+ endpoints. Free academic web; commercial use restricted. Treat as reference benchmark, not embeddable component.</w:t>
      </w:r>
    </w:p>
    <w:p>
      <w:pPr>
        <w:pStyle w:val="ListParagraph"/>
        <w:numPr>
          <w:ilvl w:val="0"/>
          <w:numId w:val="2"/>
        </w:numPr>
        <w:spacing w:after="60"/>
      </w:pPr>
      <w:r>
        <w:rPr>
          <w:b/>
          <w:bCs/>
        </w:rPr>
        <w:t xml:space="preserve">SwissADME</w:t>
      </w:r>
      <w:r>
        <w:t xml:space="preserve"> — physchem, lipophilicity, drug-likeness, med-chem alerts. Free web tool, no public API. Useful for spot-checks; not pipeline-grade.</w:t>
      </w:r>
    </w:p>
    <w:p>
      <w:pPr>
        <w:pStyle w:val="ListParagraph"/>
        <w:numPr>
          <w:ilvl w:val="0"/>
          <w:numId w:val="2"/>
        </w:numPr>
        <w:spacing w:after="60"/>
      </w:pPr>
      <w:r>
        <w:rPr>
          <w:b/>
          <w:bCs/>
        </w:rPr>
        <w:t xml:space="preserve">pkCSM</w:t>
      </w:r>
      <w:r>
        <w:t xml:space="preserve"> — graph-signature-based PK and tox endpoints. Free academic web service; commercial licensing via University of Melbourne.</w:t>
      </w:r>
    </w:p>
    <w:p>
      <w:pPr>
        <w:pStyle w:val="ListParagraph"/>
        <w:numPr>
          <w:ilvl w:val="0"/>
          <w:numId w:val="2"/>
        </w:numPr>
        <w:spacing w:after="60"/>
      </w:pPr>
      <w:r>
        <w:rPr>
          <w:b/>
          <w:bCs/>
        </w:rPr>
        <w:t xml:space="preserve">FP-ADMET</w:t>
      </w:r>
      <w:r>
        <w:t xml:space="preserve"> — 50+ ADMET classifications from fingerprints + RF/XGBoost. GPL / open. Lightweight, easy to retrain on proprietary data — good baseline ensemble member.</w:t>
      </w:r>
    </w:p>
    <w:p>
      <w:pPr>
        <w:pStyle w:val="Heading3"/>
      </w:pPr>
      <w:r>
        <w:t xml:space="preserve">3.2.2 QSAR / molecular ML frameworks</w:t>
      </w:r>
    </w:p>
    <w:p>
      <w:pPr>
        <w:pStyle w:val="ListParagraph"/>
        <w:numPr>
          <w:ilvl w:val="0"/>
          <w:numId w:val="2"/>
        </w:numPr>
        <w:spacing w:after="60"/>
      </w:pPr>
      <w:r>
        <w:rPr>
          <w:b/>
          <w:bCs/>
        </w:rPr>
        <w:t xml:space="preserve">DeepChem</w:t>
      </w:r>
      <w:r>
        <w:t xml:space="preserve"> — MIT. Production framework: SMILES, graphs, 3D, sequences. MoleculeNet datasets included. Strong fit for L1 training harness.</w:t>
      </w:r>
    </w:p>
    <w:p>
      <w:pPr>
        <w:pStyle w:val="ListParagraph"/>
        <w:numPr>
          <w:ilvl w:val="0"/>
          <w:numId w:val="2"/>
        </w:numPr>
        <w:spacing w:after="60"/>
      </w:pPr>
      <w:r>
        <w:rPr>
          <w:b/>
          <w:bCs/>
        </w:rPr>
        <w:t xml:space="preserve">Chemprop</w:t>
      </w:r>
      <w:r>
        <w:t xml:space="preserve"> (v2 2024) — MIT. Property prediction via D-MPNN; SOTA on many ADMET tasks. Backbone of ADMET-AI. Recommended core.</w:t>
      </w:r>
    </w:p>
    <w:p>
      <w:pPr>
        <w:pStyle w:val="ListParagraph"/>
        <w:numPr>
          <w:ilvl w:val="0"/>
          <w:numId w:val="2"/>
        </w:numPr>
        <w:spacing w:after="60"/>
      </w:pPr>
      <w:r>
        <w:rPr>
          <w:b/>
          <w:bCs/>
        </w:rPr>
        <w:t xml:space="preserve">OpenChem</w:t>
      </w:r>
      <w:r>
        <w:t xml:space="preserve"> — MIT. Less actively maintained than Chemprop / DeepChem; reference only.</w:t>
      </w:r>
    </w:p>
    <w:p>
      <w:pPr>
        <w:pStyle w:val="ListParagraph"/>
        <w:numPr>
          <w:ilvl w:val="0"/>
          <w:numId w:val="2"/>
        </w:numPr>
        <w:spacing w:after="60"/>
      </w:pPr>
      <w:r>
        <w:rPr>
          <w:b/>
          <w:bCs/>
        </w:rPr>
        <w:t xml:space="preserve">MolSkill</w:t>
      </w:r>
      <w:r>
        <w:t xml:space="preserve"> (Microsoft) — MIT. Med-chemist-preference scoring from pairwise judgments. Useful aesthetics filter complementing rule-based QED.</w:t>
      </w:r>
    </w:p>
    <w:p>
      <w:pPr>
        <w:pStyle w:val="Heading3"/>
      </w:pPr>
      <w:r>
        <w:t xml:space="preserve">3.2.3 Binding and affinity</w:t>
      </w:r>
    </w:p>
    <w:p>
      <w:pPr>
        <w:pStyle w:val="ListParagraph"/>
        <w:numPr>
          <w:ilvl w:val="0"/>
          <w:numId w:val="2"/>
        </w:numPr>
        <w:spacing w:after="60"/>
      </w:pPr>
      <w:r>
        <w:rPr>
          <w:b/>
          <w:bCs/>
        </w:rPr>
        <w:t xml:space="preserve">PLAPT</w:t>
      </w:r>
      <w:r>
        <w:t xml:space="preserve"> — sequence-only protein-ligand affinity transformer. Fast first pass before docking. MIT (verify).</w:t>
      </w:r>
    </w:p>
    <w:p>
      <w:pPr>
        <w:pStyle w:val="ListParagraph"/>
        <w:numPr>
          <w:ilvl w:val="0"/>
          <w:numId w:val="2"/>
        </w:numPr>
        <w:spacing w:after="60"/>
      </w:pPr>
      <w:r>
        <w:rPr>
          <w:b/>
          <w:bCs/>
        </w:rPr>
        <w:t xml:space="preserve">DiffDock / DiffDock-L</w:t>
      </w:r>
      <w:r>
        <w:t xml:space="preserve"> — diffusion-based docking. MIT. Heavy GPU. PoseBusters analyses showed up to 50% of poses fail physical-validity checks; always post-filter.</w:t>
      </w:r>
    </w:p>
    <w:p>
      <w:pPr>
        <w:pStyle w:val="ListParagraph"/>
        <w:numPr>
          <w:ilvl w:val="0"/>
          <w:numId w:val="2"/>
        </w:numPr>
        <w:spacing w:after="60"/>
      </w:pPr>
      <w:r>
        <w:rPr>
          <w:b/>
          <w:bCs/>
        </w:rPr>
        <w:t xml:space="preserve">EquiBind</w:t>
      </w:r>
      <w:r>
        <w:t xml:space="preserve"> — equivariant single-shot blind docking. MIT. Faster than DiffDock, lower accuracy. Use for screening, not scoring.</w:t>
      </w:r>
    </w:p>
    <w:p>
      <w:pPr>
        <w:pStyle w:val="ListParagraph"/>
        <w:numPr>
          <w:ilvl w:val="0"/>
          <w:numId w:val="2"/>
        </w:numPr>
        <w:spacing w:after="60"/>
      </w:pPr>
      <w:r>
        <w:rPr>
          <w:b/>
          <w:bCs/>
        </w:rPr>
        <w:t xml:space="preserve">KIBA</w:t>
      </w:r>
      <w:r>
        <w:t xml:space="preserve"> — a metric / dataset, not a model. Integrates Ki, Kd, IC50 across ~52K kinase-compound pairs. Open. Training set, not deployable.</w:t>
      </w:r>
    </w:p>
    <w:p>
      <w:pPr>
        <w:pStyle w:val="Heading3"/>
      </w:pPr>
      <w:r>
        <w:t xml:space="preserve">3.2.4 Cardiotoxicity and hERG</w:t>
      </w:r>
    </w:p>
    <w:p>
      <w:pPr>
        <w:pStyle w:val="ListParagraph"/>
        <w:numPr>
          <w:ilvl w:val="0"/>
          <w:numId w:val="2"/>
        </w:numPr>
        <w:spacing w:after="60"/>
      </w:pPr>
      <w:r>
        <w:rPr>
          <w:b/>
          <w:bCs/>
        </w:rPr>
        <w:t xml:space="preserve">CToxPred</w:t>
      </w:r>
      <w:r>
        <w:t xml:space="preserve"> — multi-channel cardiotox panel (hERG, Nav1.5, Cav1.2). Most useful given the ICH S7B(R1) integrated risk wiring. Should be a default member of the L1 cardiotox ensemble.</w:t>
      </w:r>
    </w:p>
    <w:p>
      <w:pPr>
        <w:pStyle w:val="ListParagraph"/>
        <w:numPr>
          <w:ilvl w:val="0"/>
          <w:numId w:val="2"/>
        </w:numPr>
        <w:spacing w:after="60"/>
      </w:pPr>
      <w:r>
        <w:rPr>
          <w:b/>
          <w:bCs/>
        </w:rPr>
        <w:t xml:space="preserve">CardioTox</w:t>
      </w:r>
      <w:r>
        <w:t xml:space="preserve"> — hERG blockade classifier, benchmark-grade. Open. Retrain on internal data recommended.</w:t>
      </w:r>
    </w:p>
    <w:p>
      <w:pPr>
        <w:pStyle w:val="ListParagraph"/>
        <w:numPr>
          <w:ilvl w:val="0"/>
          <w:numId w:val="2"/>
        </w:numPr>
        <w:spacing w:after="60"/>
      </w:pPr>
      <w:r>
        <w:rPr>
          <w:b/>
          <w:bCs/>
        </w:rPr>
        <w:t xml:space="preserve">hERG-Att</w:t>
      </w:r>
      <w:r>
        <w:t xml:space="preserve"> — attention-based hERG model, useful for SAR feature attribution.</w:t>
      </w:r>
    </w:p>
    <w:p>
      <w:pPr>
        <w:spacing w:after="120"/>
        <w:jc w:val="left"/>
      </w:pPr>
      <w:r>
        <w:t xml:space="preserve">Note: hERG Central is widely used but its redistribution chain is murky. Treat as licensing risk and re-derive from primary patch-clamp papers + Tox21 hERG counter-screen where possible.</w:t>
      </w:r>
    </w:p>
    <w:p>
      <w:pPr>
        <w:pStyle w:val="Heading3"/>
      </w:pPr>
      <w:r>
        <w:t xml:space="preserve">3.2.5 Foundation models for embedding and downstream coupling</w:t>
      </w:r>
    </w:p>
    <w:p>
      <w:pPr>
        <w:pStyle w:val="ListParagraph"/>
        <w:numPr>
          <w:ilvl w:val="0"/>
          <w:numId w:val="2"/>
        </w:numPr>
        <w:spacing w:after="60"/>
      </w:pPr>
      <w:r>
        <w:rPr>
          <w:b/>
          <w:bCs/>
        </w:rPr>
        <w:t xml:space="preserve">MoLFormer-XL</w:t>
      </w:r>
      <w:r>
        <w:t xml:space="preserve"> (IBM) — Apache 2.0. Foundation embedding for downstream property prediction. Good coupling to L2 generative work.</w:t>
      </w:r>
    </w:p>
    <w:p>
      <w:pPr>
        <w:pStyle w:val="ListParagraph"/>
        <w:numPr>
          <w:ilvl w:val="0"/>
          <w:numId w:val="2"/>
        </w:numPr>
        <w:spacing w:after="60"/>
      </w:pPr>
      <w:r>
        <w:rPr>
          <w:b/>
          <w:bCs/>
        </w:rPr>
        <w:t xml:space="preserve">Uni-Mol / Uni-Mol2</w:t>
      </w:r>
      <w:r>
        <w:t xml:space="preserve"> (DP Tech) — MIT. 3D-aware. Strong on binding-pose-conditioned property prediction.</w:t>
      </w:r>
    </w:p>
    <w:p>
      <w:pPr>
        <w:pStyle w:val="ListParagraph"/>
        <w:numPr>
          <w:ilvl w:val="0"/>
          <w:numId w:val="2"/>
        </w:numPr>
        <w:spacing w:after="60"/>
      </w:pPr>
      <w:r>
        <w:rPr>
          <w:b/>
          <w:bCs/>
        </w:rPr>
        <w:t xml:space="preserve">ChemBERTa / ChemBERTa-2</w:t>
      </w:r>
      <w:r>
        <w:t xml:space="preserve"> — MIT. Lightweight SMILES transformer.</w:t>
      </w:r>
    </w:p>
    <w:p>
      <w:pPr>
        <w:pStyle w:val="ListParagraph"/>
        <w:numPr>
          <w:ilvl w:val="0"/>
          <w:numId w:val="2"/>
        </w:numPr>
        <w:spacing w:after="60"/>
      </w:pPr>
      <w:r>
        <w:rPr>
          <w:b/>
          <w:bCs/>
        </w:rPr>
        <w:t xml:space="preserve">ChemGPT</w:t>
      </w:r>
      <w:r>
        <w:t xml:space="preserve"> (Frey et al.) — open. Generative SMILES.</w:t>
      </w:r>
    </w:p>
    <w:p>
      <w:pPr>
        <w:pStyle w:val="ListParagraph"/>
        <w:numPr>
          <w:ilvl w:val="0"/>
          <w:numId w:val="2"/>
        </w:numPr>
        <w:spacing w:after="60"/>
      </w:pPr>
      <w:r>
        <w:rPr>
          <w:b/>
          <w:bCs/>
        </w:rPr>
        <w:t xml:space="preserve">MolMIM</w:t>
      </w:r>
      <w:r>
        <w:t xml:space="preserve"> (NVIDIA BioNeMo) — generative; commercial-friendly under BioNeMo terms but tied to NVIDIA stack.</w:t>
      </w:r>
    </w:p>
    <w:p>
      <w:pPr>
        <w:pStyle w:val="ListParagraph"/>
        <w:numPr>
          <w:ilvl w:val="0"/>
          <w:numId w:val="2"/>
        </w:numPr>
        <w:spacing w:after="60"/>
      </w:pPr>
      <w:r>
        <w:rPr>
          <w:b/>
          <w:bCs/>
        </w:rPr>
        <w:t xml:space="preserve">SAFE-GPT</w:t>
      </w:r>
      <w:r>
        <w:t xml:space="preserve"> (Valence) — fragment-aware generative. Apache 2.0.</w:t>
      </w:r>
    </w:p>
    <w:p>
      <w:pPr>
        <w:pStyle w:val="Heading2"/>
      </w:pPr>
      <w:r>
        <w:t xml:space="preserve">3.3 L1 gaps and risks</w:t>
      </w:r>
    </w:p>
    <w:p>
      <w:pPr>
        <w:spacing w:after="120"/>
        <w:jc w:val="left"/>
      </w:pPr>
      <w:r>
        <w:t xml:space="preserve">True 3D ligand-target affinity ground truth remains thin. PDBbind has only ~20K complexes and is licensing-encumbered for commercial AI training. Cardiotox beyond hERG (Nav1.5, Cav1.2) is an order of magnitude smaller than hERG itself. Human in-vitro ADME endpoints (especially clearance, bioavailability, V_d) are dominated by proprietary pharma datasets; public coverage skews to rodents.</w:t>
      </w:r>
    </w:p>
    <w:p>
      <w:pPr>
        <w:spacing w:after="120"/>
        <w:jc w:val="left"/>
      </w:pPr>
      <w:r>
        <w:t xml:space="preserve">Hard licensing blockers for commercial use: DrugBank full data (paid license), Reaxys (no AI training without rider), PDBbind commercial (CC BY-NC default), Clue.io Touchstone (paid tier), TOXRIC and ADMETlab 3.0 (commercial reuse ambiguous). Several open datasets (notably ChEMBL) carry CC BY-SA share-alike, which is workable but means redistributed derivatives are also share-alike.</w:t>
      </w:r>
    </w:p>
    <w:p>
      <w:pPr>
        <w:spacing w:after="120"/>
        <w:jc w:val="left"/>
      </w:pPr>
      <w:r>
        <w:t xml:space="preserve">Top-three datasets to license or prioritise:</w:t>
      </w:r>
    </w:p>
    <w:p>
      <w:pPr>
        <w:pStyle w:val="ListParagraph"/>
        <w:numPr>
          <w:ilvl w:val="0"/>
          <w:numId w:val="2"/>
        </w:numPr>
        <w:spacing w:after="60"/>
      </w:pPr>
      <w:r>
        <w:t xml:space="preserve">DrugBank full commercial — unavoidable for credible ADMET claims at the marketed-drug reference level.</w:t>
      </w:r>
    </w:p>
    <w:p>
      <w:pPr>
        <w:pStyle w:val="ListParagraph"/>
        <w:numPr>
          <w:ilvl w:val="0"/>
          <w:numId w:val="2"/>
        </w:numPr>
        <w:spacing w:after="60"/>
      </w:pPr>
      <w:r>
        <w:t xml:space="preserve">JUMP-CP Cell Painting — verify license; engineering-cost only, highest-leverage phenotypic addition possible in 2026.</w:t>
      </w:r>
    </w:p>
    <w:p>
      <w:pPr>
        <w:pStyle w:val="ListParagraph"/>
        <w:numPr>
          <w:ilvl w:val="0"/>
          <w:numId w:val="2"/>
        </w:numPr>
        <w:spacing w:after="60"/>
      </w:pPr>
      <w:r>
        <w:t xml:space="preserve">A pharma-grade human-ADME panel — either via Eurofins / Cyprotex contracted screens on a curated training set, or via Pistoia Alliance ADME Open Dataset if membership terms allow. Closing the human-ADME gap is the single biggest defensible-moat play for L1.</w:t>
      </w:r>
    </w:p>
    <w:p>
      <w:pPr>
        <w:pStyle w:val="Heading1"/>
        <w:pageBreakBefore/>
      </w:pPr>
      <w:r>
        <w:t xml:space="preserve">4. L2 — In-Silico Layer</w:t>
      </w:r>
    </w:p>
    <w:p>
      <w:pPr>
        <w:spacing w:after="120"/>
        <w:jc w:val="left"/>
      </w:pPr>
      <w:r>
        <w:t xml:space="preserve">L2 sits between L1 wet outputs and L3 ex-vivo work. Its mandate is cheap, high-throughput computational triage: project human PK/PD from in-vitro data, refine docking against curated structures, run QSP / PBPK, and rank by predicted therapeutic index. Output is a ranked shortlist with dose ranges, exposure margins, and confidence intervals. Must run in batch on commodity GPU/CPU clusters.</w:t>
      </w:r>
    </w:p>
    <w:p>
      <w:pPr>
        <w:pStyle w:val="Heading2"/>
      </w:pPr>
      <w:r>
        <w:t xml:space="preserve">4.1 Reference databases L2 reads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40"/>
            </w:pPr>
            <w:r>
              <w:rPr>
                <w:b/>
                <w:bCs/>
                <w:sz w:val="18"/>
                <w:szCs w:val="18"/>
              </w:rPr>
              <w:t xml:space="preserve">Database</w:t>
            </w:r>
          </w:p>
        </w:tc>
        <w:tc>
          <w:tcPr>
            <w:tcW w:type="dxa" w:w="44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40"/>
            </w:pPr>
            <w:r>
              <w:rPr>
                <w:b/>
                <w:bCs/>
                <w:sz w:val="18"/>
                <w:szCs w:val="18"/>
              </w:rPr>
              <w:t xml:space="preserve">Contributes</w:t>
            </w:r>
          </w:p>
        </w:tc>
        <w:tc>
          <w:tcPr>
            <w:tcW w:type="dxa" w:w="256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40"/>
            </w:pPr>
            <w:r>
              <w:rPr>
                <w:b/>
                <w:bCs/>
                <w:sz w:val="18"/>
                <w:szCs w:val="18"/>
              </w:rPr>
              <w:t xml:space="preserve">Access / License</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UniProt</w:t>
            </w:r>
          </w:p>
        </w:tc>
        <w:tc>
          <w:tcPr>
            <w:tcW w:type="dxa" w:w="4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Canonical sequences, PTMs, isoforms</w:t>
            </w:r>
          </w:p>
        </w:tc>
        <w:tc>
          <w:tcPr>
            <w:tcW w:type="dxa" w:w="25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Open, CC BY 4.0</w:t>
            </w:r>
          </w:p>
        </w:tc>
      </w:tr>
      <w:tr>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PDB (RCSB / PDBe)</w:t>
            </w:r>
          </w:p>
        </w:tc>
        <w:tc>
          <w:tcPr>
            <w:tcW w:type="dxa" w:w="4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Experimental structures + ligand co-crystals</w:t>
            </w:r>
          </w:p>
        </w:tc>
        <w:tc>
          <w:tcPr>
            <w:tcW w:type="dxa" w:w="2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CC0</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AlphaFold DB</w:t>
            </w:r>
          </w:p>
        </w:tc>
        <w:tc>
          <w:tcPr>
            <w:tcW w:type="dxa" w:w="4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Predicted structures for ~214M sequences (filter pLDDT &gt; 70 for binding-site use)</w:t>
            </w:r>
          </w:p>
        </w:tc>
        <w:tc>
          <w:tcPr>
            <w:tcW w:type="dxa" w:w="25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Open, CC BY 4.0</w:t>
            </w:r>
          </w:p>
        </w:tc>
      </w:tr>
      <w:tr>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BRENDA</w:t>
            </w:r>
          </w:p>
        </w:tc>
        <w:tc>
          <w:tcPr>
            <w:tcW w:type="dxa" w:w="4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Enzyme kinetics (Km, kcat, Ki) — QSP parameterisation</w:t>
            </w:r>
          </w:p>
        </w:tc>
        <w:tc>
          <w:tcPr>
            <w:tcW w:type="dxa" w:w="2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Free academic; commercial license</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IUPHAR / Guide to Pharmacology</w:t>
            </w:r>
          </w:p>
        </w:tc>
        <w:tc>
          <w:tcPr>
            <w:tcW w:type="dxa" w:w="4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Curated quantitative pharmacology for receptors, channels, transporters</w:t>
            </w:r>
          </w:p>
        </w:tc>
        <w:tc>
          <w:tcPr>
            <w:tcW w:type="dxa" w:w="25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CC BY-SA 4.0</w:t>
            </w:r>
          </w:p>
        </w:tc>
      </w:tr>
      <w:tr>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PK-DB</w:t>
            </w:r>
          </w:p>
        </w:tc>
        <w:tc>
          <w:tcPr>
            <w:tcW w:type="dxa" w:w="4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Published clinical PK studies as structured C-t data</w:t>
            </w:r>
          </w:p>
        </w:tc>
        <w:tc>
          <w:tcPr>
            <w:tcW w:type="dxa" w:w="2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CC BY 4.0; PBPK validation against historical comparators</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Reactome</w:t>
            </w:r>
          </w:p>
        </w:tc>
        <w:tc>
          <w:tcPr>
            <w:tcW w:type="dxa" w:w="4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Curated human pathways (preferred OSS substitute for KEGG in commercial settings)</w:t>
            </w:r>
          </w:p>
        </w:tc>
        <w:tc>
          <w:tcPr>
            <w:tcW w:type="dxa" w:w="25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CC BY 4.0</w:t>
            </w:r>
          </w:p>
        </w:tc>
      </w:tr>
      <w:tr>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STRING</w:t>
            </w:r>
          </w:p>
        </w:tc>
        <w:tc>
          <w:tcPr>
            <w:tcW w:type="dxa" w:w="4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Protein-protein interactions with confidence scores</w:t>
            </w:r>
          </w:p>
        </w:tc>
        <w:tc>
          <w:tcPr>
            <w:tcW w:type="dxa" w:w="2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CC BY 4.0</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PharmGKB</w:t>
            </w:r>
          </w:p>
        </w:tc>
        <w:tc>
          <w:tcPr>
            <w:tcW w:type="dxa" w:w="4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Pharmacogenomics, allele-PK</w:t>
            </w:r>
          </w:p>
        </w:tc>
        <w:tc>
          <w:tcPr>
            <w:tcW w:type="dxa" w:w="25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CC BY-SA 4.0</w:t>
            </w:r>
          </w:p>
        </w:tc>
      </w:tr>
      <w:tr>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BioModels</w:t>
            </w:r>
          </w:p>
        </w:tc>
        <w:tc>
          <w:tcPr>
            <w:tcW w:type="dxa" w:w="4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Curated SBML models — pre-built QSP starters</w:t>
            </w:r>
          </w:p>
        </w:tc>
        <w:tc>
          <w:tcPr>
            <w:tcW w:type="dxa" w:w="2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CC0 for curated models</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Virtual Metabolic Human / Recon3D</w:t>
            </w:r>
          </w:p>
        </w:tc>
        <w:tc>
          <w:tcPr>
            <w:tcW w:type="dxa" w:w="4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Genome-scale human metabolic reconstruction</w:t>
            </w:r>
          </w:p>
        </w:tc>
        <w:tc>
          <w:tcPr>
            <w:tcW w:type="dxa" w:w="25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CC BY 4.0 academic; commercial inquiry</w:t>
            </w:r>
          </w:p>
        </w:tc>
      </w:tr>
      <w:tr>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OpenPBPK reference parameter sets (PK-Sim/MoBi)</w:t>
            </w:r>
          </w:p>
        </w:tc>
        <w:tc>
          <w:tcPr>
            <w:tcW w:type="dxa" w:w="4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Physiology, organ volumes, blood flows for human + preclinical species</w:t>
            </w:r>
          </w:p>
        </w:tc>
        <w:tc>
          <w:tcPr>
            <w:tcW w:type="dxa" w:w="2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GPL-2.0 (PK-Sim)</w:t>
            </w:r>
          </w:p>
        </w:tc>
      </w:tr>
    </w:tbl>
    <w:p>
      <w:pPr>
        <w:spacing w:after="100"/>
      </w:pPr>
      <w:r>
        <w:t xml:space="preserve"/>
      </w:r>
    </w:p>
    <w:p>
      <w:pPr>
        <w:spacing w:after="120"/>
        <w:jc w:val="left"/>
      </w:pPr>
      <w:r>
        <w:t xml:space="preserve">KEGG is widely used but bulk download has required a paid subscription since 2021; use Reactome for any commercial deployment.</w:t>
      </w:r>
    </w:p>
    <w:p>
      <w:pPr>
        <w:pStyle w:val="Heading2"/>
      </w:pPr>
      <w:r>
        <w:t xml:space="preserve">4.2 Models and engines</w:t>
      </w:r>
    </w:p>
    <w:p>
      <w:pPr>
        <w:pStyle w:val="Heading3"/>
      </w:pPr>
      <w:r>
        <w:t xml:space="preserve">4.2.1 PBPK and PK / PD</w:t>
      </w:r>
    </w:p>
    <w:p>
      <w:pPr>
        <w:pStyle w:val="ListParagraph"/>
        <w:numPr>
          <w:ilvl w:val="0"/>
          <w:numId w:val="2"/>
        </w:numPr>
        <w:spacing w:after="60"/>
      </w:pPr>
      <w:r>
        <w:rPr>
          <w:b/>
          <w:bCs/>
        </w:rPr>
        <w:t xml:space="preserve">PK-Sim and MoBi</w:t>
      </w:r>
      <w:r>
        <w:t xml:space="preserve"> (Open Systems Pharmacology) — GPL-2.0. Whole-body PBPK with R/Python (`ospsuite`) bindings and CLI batch execution. The de-facto open reference. Containerisable.</w:t>
      </w:r>
    </w:p>
    <w:p>
      <w:pPr>
        <w:pStyle w:val="ListParagraph"/>
        <w:numPr>
          <w:ilvl w:val="0"/>
          <w:numId w:val="2"/>
        </w:numPr>
        <w:spacing w:after="60"/>
      </w:pPr>
      <w:r>
        <w:rPr>
          <w:b/>
          <w:bCs/>
        </w:rPr>
        <w:t xml:space="preserve">GastroPlus</w:t>
      </w:r>
      <w:r>
        <w:t xml:space="preserve"> (Simulations Plus) and </w:t>
      </w:r>
      <w:r>
        <w:rPr>
          <w:b/>
          <w:bCs/>
        </w:rPr>
        <w:t xml:space="preserve">Simcyp</w:t>
      </w:r>
      <w:r>
        <w:t xml:space="preserve"> (Certara) — commercial, regulatory-grade. Use as benchmark; not core to OSS pipeline.</w:t>
      </w:r>
    </w:p>
    <w:p>
      <w:pPr>
        <w:pStyle w:val="ListParagraph"/>
        <w:numPr>
          <w:ilvl w:val="0"/>
          <w:numId w:val="2"/>
        </w:numPr>
        <w:spacing w:after="60"/>
      </w:pPr>
      <w:r>
        <w:rPr>
          <w:b/>
          <w:bCs/>
        </w:rPr>
        <w:t xml:space="preserve">Pumas.jl</w:t>
      </w:r>
      <w:r>
        <w:t xml:space="preserve"> — Julia NLME modelling. Strong estimation. Free academic, paid commercial.</w:t>
      </w:r>
    </w:p>
    <w:p>
      <w:pPr>
        <w:pStyle w:val="ListParagraph"/>
        <w:numPr>
          <w:ilvl w:val="0"/>
          <w:numId w:val="2"/>
        </w:numPr>
        <w:spacing w:after="60"/>
      </w:pPr>
      <w:r>
        <w:rPr>
          <w:b/>
          <w:bCs/>
        </w:rPr>
        <w:t xml:space="preserve">mrgsolve</w:t>
      </w:r>
      <w:r>
        <w:t xml:space="preserve"> (R, GPL-2) — ODE PK simulation at scale.</w:t>
      </w:r>
    </w:p>
    <w:p>
      <w:pPr>
        <w:pStyle w:val="ListParagraph"/>
        <w:numPr>
          <w:ilvl w:val="0"/>
          <w:numId w:val="2"/>
        </w:numPr>
        <w:spacing w:after="60"/>
      </w:pPr>
      <w:r>
        <w:rPr>
          <w:b/>
          <w:bCs/>
        </w:rPr>
        <w:t xml:space="preserve">OpenCOR</w:t>
      </w:r>
      <w:r>
        <w:t xml:space="preserve"> — CellML physiology simulator (GPL). Useful for organ-level PD models.</w:t>
      </w:r>
    </w:p>
    <w:p>
      <w:pPr>
        <w:pStyle w:val="ListParagraph"/>
        <w:numPr>
          <w:ilvl w:val="0"/>
          <w:numId w:val="2"/>
        </w:numPr>
        <w:spacing w:after="60"/>
      </w:pPr>
      <w:r>
        <w:rPr>
          <w:b/>
          <w:bCs/>
        </w:rPr>
        <w:t xml:space="preserve">BioGears</w:t>
      </w:r>
      <w:r>
        <w:t xml:space="preserve"> — Apache-2.0 whole-body human physiology engine. Heavyweight; useful for safety-pharm overlays.</w:t>
      </w:r>
    </w:p>
    <w:p>
      <w:pPr>
        <w:pStyle w:val="Heading3"/>
      </w:pPr>
      <w:r>
        <w:t xml:space="preserve">4.2.2 Docking and structure refinement</w:t>
      </w:r>
    </w:p>
    <w:p>
      <w:pPr>
        <w:pStyle w:val="ListParagraph"/>
        <w:numPr>
          <w:ilvl w:val="0"/>
          <w:numId w:val="2"/>
        </w:numPr>
        <w:spacing w:after="60"/>
      </w:pPr>
      <w:r>
        <w:rPr>
          <w:b/>
          <w:bCs/>
        </w:rPr>
        <w:t xml:space="preserve">AutoDock Vina</w:t>
      </w:r>
      <w:r>
        <w:t xml:space="preserve"> / </w:t>
      </w:r>
      <w:r>
        <w:rPr>
          <w:b/>
          <w:bCs/>
        </w:rPr>
        <w:t xml:space="preserve">Smina</w:t>
      </w:r>
      <w:r>
        <w:t xml:space="preserve"> / </w:t>
      </w:r>
      <w:r>
        <w:rPr>
          <w:b/>
          <w:bCs/>
        </w:rPr>
        <w:t xml:space="preserve">GNINA</w:t>
      </w:r>
      <w:r>
        <w:t xml:space="preserve"> — fast, well-validated classical docking with CNN rescoring (GNINA). GPL/Apache. CLI; GPU-accelerated.</w:t>
      </w:r>
    </w:p>
    <w:p>
      <w:pPr>
        <w:pStyle w:val="ListParagraph"/>
        <w:numPr>
          <w:ilvl w:val="0"/>
          <w:numId w:val="2"/>
        </w:numPr>
        <w:spacing w:after="60"/>
      </w:pPr>
      <w:r>
        <w:rPr>
          <w:b/>
          <w:bCs/>
        </w:rPr>
        <w:t xml:space="preserve">DiffDock / DiffDock-L</w:t>
      </w:r>
      <w:r>
        <w:t xml:space="preserve"> — diffusion-based blind docking; MIT. Mandatory PoseBusters post-filter.</w:t>
      </w:r>
    </w:p>
    <w:p>
      <w:pPr>
        <w:pStyle w:val="ListParagraph"/>
        <w:numPr>
          <w:ilvl w:val="0"/>
          <w:numId w:val="2"/>
        </w:numPr>
        <w:spacing w:after="60"/>
      </w:pPr>
      <w:r>
        <w:rPr>
          <w:b/>
          <w:bCs/>
        </w:rPr>
        <w:t xml:space="preserve">Boltz-1 / Boltz-2</w:t>
      </w:r>
      <w:r>
        <w:t xml:space="preserve"> (MIT Jameel Clinic, 2024–2025) — MIT-licensed co-folding equivalent to AlphaFold 3 for many tasks; Boltz-2 adds affinity prediction. The recommended OSS replacement for AlphaFold 3 in a commercial L2 pipeline.</w:t>
      </w:r>
    </w:p>
    <w:p>
      <w:pPr>
        <w:pStyle w:val="ListParagraph"/>
        <w:numPr>
          <w:ilvl w:val="0"/>
          <w:numId w:val="2"/>
        </w:numPr>
        <w:spacing w:after="60"/>
      </w:pPr>
      <w:r>
        <w:rPr>
          <w:b/>
          <w:bCs/>
        </w:rPr>
        <w:t xml:space="preserve">Chai-1</w:t>
      </w:r>
      <w:r>
        <w:t xml:space="preserve"> (Chai Discovery) — research-license; commercial inquiry. Comparable to AF3 on PoseBusters.</w:t>
      </w:r>
    </w:p>
    <w:p>
      <w:pPr>
        <w:pStyle w:val="ListParagraph"/>
        <w:numPr>
          <w:ilvl w:val="0"/>
          <w:numId w:val="2"/>
        </w:numPr>
        <w:spacing w:after="60"/>
      </w:pPr>
      <w:r>
        <w:rPr>
          <w:b/>
          <w:bCs/>
        </w:rPr>
        <w:t xml:space="preserve">AlphaFold 3</w:t>
      </w:r>
      <w:r>
        <w:t xml:space="preserve"> — non-commercial license on weights; cannot be used in a commercial pipeline. Reference only.</w:t>
      </w:r>
    </w:p>
    <w:p>
      <w:pPr>
        <w:pStyle w:val="ListParagraph"/>
        <w:numPr>
          <w:ilvl w:val="0"/>
          <w:numId w:val="2"/>
        </w:numPr>
        <w:spacing w:after="60"/>
      </w:pPr>
      <w:r>
        <w:rPr>
          <w:b/>
          <w:bCs/>
        </w:rPr>
        <w:t xml:space="preserve">RoseTTAFold All-Atom</w:t>
      </w:r>
      <w:r>
        <w:t xml:space="preserve"> — non-commercial; check terms.</w:t>
      </w:r>
    </w:p>
    <w:p>
      <w:pPr>
        <w:pStyle w:val="ListParagraph"/>
        <w:numPr>
          <w:ilvl w:val="0"/>
          <w:numId w:val="2"/>
        </w:numPr>
        <w:spacing w:after="60"/>
      </w:pPr>
      <w:r>
        <w:rPr>
          <w:b/>
          <w:bCs/>
        </w:rPr>
        <w:t xml:space="preserve">Glide / FEP+</w:t>
      </w:r>
      <w:r>
        <w:t xml:space="preserve"> (Schrödinger) — commercial benchmark only.</w:t>
      </w:r>
    </w:p>
    <w:p>
      <w:pPr>
        <w:pStyle w:val="Heading3"/>
      </w:pPr>
      <w:r>
        <w:t xml:space="preserve">4.2.3 Free-energy and MD</w:t>
      </w:r>
    </w:p>
    <w:p>
      <w:pPr>
        <w:pStyle w:val="ListParagraph"/>
        <w:numPr>
          <w:ilvl w:val="0"/>
          <w:numId w:val="2"/>
        </w:numPr>
        <w:spacing w:after="60"/>
      </w:pPr>
      <w:r>
        <w:rPr>
          <w:b/>
          <w:bCs/>
        </w:rPr>
        <w:t xml:space="preserve">OpenMM</w:t>
      </w:r>
      <w:r>
        <w:t xml:space="preserve"> — MIT. Python-first; strong GPU performance via CUDA/HIP/Metal. Best programmatic MD inside an L2 pipeline.</w:t>
      </w:r>
    </w:p>
    <w:p>
      <w:pPr>
        <w:pStyle w:val="ListParagraph"/>
        <w:numPr>
          <w:ilvl w:val="0"/>
          <w:numId w:val="2"/>
        </w:numPr>
        <w:spacing w:after="60"/>
      </w:pPr>
      <w:r>
        <w:rPr>
          <w:b/>
          <w:bCs/>
        </w:rPr>
        <w:t xml:space="preserve">GROMACS</w:t>
      </w:r>
      <w:r>
        <w:t xml:space="preserve"> — LGPL-2.1. Widely deployed; strong GPU performance.</w:t>
      </w:r>
    </w:p>
    <w:p>
      <w:pPr>
        <w:pStyle w:val="ListParagraph"/>
        <w:numPr>
          <w:ilvl w:val="0"/>
          <w:numId w:val="2"/>
        </w:numPr>
        <w:spacing w:after="60"/>
      </w:pPr>
      <w:r>
        <w:rPr>
          <w:b/>
          <w:bCs/>
        </w:rPr>
        <w:t xml:space="preserve">AMBER</w:t>
      </w:r>
      <w:r>
        <w:t xml:space="preserve"> (AmberTools open; pmemd.cuda commercial) — academic-friendly.</w:t>
      </w:r>
    </w:p>
    <w:p>
      <w:pPr>
        <w:pStyle w:val="ListParagraph"/>
        <w:numPr>
          <w:ilvl w:val="0"/>
          <w:numId w:val="2"/>
        </w:numPr>
        <w:spacing w:after="60"/>
      </w:pPr>
      <w:r>
        <w:rPr>
          <w:b/>
          <w:bCs/>
        </w:rPr>
        <w:t xml:space="preserve">NAMD</w:t>
      </w:r>
      <w:r>
        <w:t xml:space="preserve"> — non-commercial; avoid for commercial L2.</w:t>
      </w:r>
    </w:p>
    <w:p>
      <w:pPr>
        <w:pStyle w:val="ListParagraph"/>
        <w:numPr>
          <w:ilvl w:val="0"/>
          <w:numId w:val="2"/>
        </w:numPr>
        <w:spacing w:after="60"/>
      </w:pPr>
      <w:r>
        <w:rPr>
          <w:b/>
          <w:bCs/>
        </w:rPr>
        <w:t xml:space="preserve">TIES</w:t>
      </w:r>
      <w:r>
        <w:t xml:space="preserve"> — open relative-binding-FEP framework on NAMD/OpenMM backends.</w:t>
      </w:r>
    </w:p>
    <w:p>
      <w:pPr>
        <w:pStyle w:val="ListParagraph"/>
        <w:numPr>
          <w:ilvl w:val="0"/>
          <w:numId w:val="2"/>
        </w:numPr>
        <w:spacing w:after="60"/>
      </w:pPr>
      <w:r>
        <w:rPr>
          <w:b/>
          <w:bCs/>
        </w:rPr>
        <w:t xml:space="preserve">OpenFF Toolkit</w:t>
      </w:r>
      <w:r>
        <w:t xml:space="preserve"> — MIT. Modern force fields (Sage, Parsley) with automated parameterisation.</w:t>
      </w:r>
    </w:p>
    <w:p>
      <w:pPr>
        <w:pStyle w:val="Heading3"/>
      </w:pPr>
      <w:r>
        <w:t xml:space="preserve">4.2.4 QSP and systems modelling</w:t>
      </w:r>
    </w:p>
    <w:p>
      <w:pPr>
        <w:pStyle w:val="ListParagraph"/>
        <w:numPr>
          <w:ilvl w:val="0"/>
          <w:numId w:val="2"/>
        </w:numPr>
        <w:spacing w:after="60"/>
      </w:pPr>
      <w:r>
        <w:rPr>
          <w:b/>
          <w:bCs/>
        </w:rPr>
        <w:t xml:space="preserve">COPASI</w:t>
      </w:r>
      <w:r>
        <w:t xml:space="preserve"> — Artistic 2.0. SBML simulator with parameter scans + sensitivity analysis.</w:t>
      </w:r>
    </w:p>
    <w:p>
      <w:pPr>
        <w:pStyle w:val="ListParagraph"/>
        <w:numPr>
          <w:ilvl w:val="0"/>
          <w:numId w:val="2"/>
        </w:numPr>
        <w:spacing w:after="60"/>
      </w:pPr>
      <w:r>
        <w:rPr>
          <w:b/>
          <w:bCs/>
        </w:rPr>
        <w:t xml:space="preserve">Tellurium / libRoadRunner</w:t>
      </w:r>
      <w:r>
        <w:t xml:space="preserve"> — Apache-2.0. Python-native SBML; ideal for batch QSP sensitivity sweeps.</w:t>
      </w:r>
    </w:p>
    <w:p>
      <w:pPr>
        <w:pStyle w:val="ListParagraph"/>
        <w:numPr>
          <w:ilvl w:val="0"/>
          <w:numId w:val="2"/>
        </w:numPr>
        <w:spacing w:after="60"/>
      </w:pPr>
      <w:r>
        <w:rPr>
          <w:b/>
          <w:bCs/>
        </w:rPr>
        <w:t xml:space="preserve">BioModels repository</w:t>
      </w:r>
      <w:r>
        <w:t xml:space="preserve"> — source of starter QSP models.</w:t>
      </w:r>
    </w:p>
    <w:p>
      <w:pPr>
        <w:spacing w:after="120"/>
        <w:jc w:val="left"/>
      </w:pPr>
      <w:r>
        <w:t xml:space="preserve">Sanofi and Novartis have open-published QSP models in oncology and immunology in BioModels. No single packaged framework — these are model libraries, not engines.</w:t>
      </w:r>
    </w:p>
    <w:p>
      <w:pPr>
        <w:pStyle w:val="Heading3"/>
      </w:pPr>
      <w:r>
        <w:t xml:space="preserve">4.2.5 AI / ML triage</w:t>
      </w:r>
    </w:p>
    <w:p>
      <w:pPr>
        <w:pStyle w:val="ListParagraph"/>
        <w:numPr>
          <w:ilvl w:val="0"/>
          <w:numId w:val="2"/>
        </w:numPr>
        <w:spacing w:after="60"/>
      </w:pPr>
      <w:r>
        <w:rPr>
          <w:b/>
          <w:bCs/>
        </w:rPr>
        <w:t xml:space="preserve">ChemBERTa-2 / MoLFormer-XL / Uni-Mol2</w:t>
      </w:r>
      <w:r>
        <w:t xml:space="preserve"> — embedding backbones for downstream affinity / property prediction.</w:t>
      </w:r>
    </w:p>
    <w:p>
      <w:pPr>
        <w:pStyle w:val="ListParagraph"/>
        <w:numPr>
          <w:ilvl w:val="0"/>
          <w:numId w:val="2"/>
        </w:numPr>
        <w:spacing w:after="60"/>
      </w:pPr>
      <w:r>
        <w:rPr>
          <w:b/>
          <w:bCs/>
        </w:rPr>
        <w:t xml:space="preserve">GraphDTA / DeepPurpose</w:t>
      </w:r>
      <w:r>
        <w:t xml:space="preserve"> — unified DTI architectures. BSD-3.</w:t>
      </w:r>
    </w:p>
    <w:p>
      <w:pPr>
        <w:pStyle w:val="ListParagraph"/>
        <w:numPr>
          <w:ilvl w:val="0"/>
          <w:numId w:val="2"/>
        </w:numPr>
        <w:spacing w:after="60"/>
      </w:pPr>
      <w:r>
        <w:rPr>
          <w:b/>
          <w:bCs/>
        </w:rPr>
        <w:t xml:space="preserve">PoseBusters</w:t>
      </w:r>
      <w:r>
        <w:t xml:space="preserve"> — BSD-3. Mandatory physical-validity QC for any DiffDock/Boltz/Chai output. Bond lengths, planarity, steric clashes, intermolecular distances.</w:t>
      </w:r>
    </w:p>
    <w:p>
      <w:pPr>
        <w:pStyle w:val="Heading3"/>
      </w:pPr>
      <w:r>
        <w:t xml:space="preserve">4.2.6 Dose-selection and exposure-margin logic</w:t>
      </w:r>
    </w:p>
    <w:p>
      <w:pPr>
        <w:spacing w:after="120"/>
        <w:jc w:val="left"/>
      </w:pPr>
      <w:r>
        <w:t xml:space="preserve">FDA MRSD workflow (2005 guidance, still current): NOAEL → HED via BSA scaling → divide by safety factor (typically 10) → adjust for PK. Trivially scripted. Allometric scaling helpers in `PKNCA` (R, GPL) and `ospsuite-r`. Build a thin internal utility for the NOAEL-to-HED chain; no widely-adopted standalone OSS package exists.</w:t>
      </w:r>
    </w:p>
    <w:p>
      <w:pPr>
        <w:pStyle w:val="Heading2"/>
      </w:pPr>
      <w:r>
        <w:t xml:space="preserve">4.3 Suggested L2 pipeline</w:t>
      </w:r>
    </w:p>
    <w:p>
      <w:pPr>
        <w:spacing w:after="120"/>
        <w:jc w:val="left"/>
      </w:pPr>
      <w:r>
        <w:t xml:space="preserve">An opinionated, OSS-first end-to-end triage:</w:t>
      </w:r>
    </w:p>
    <w:p>
      <w:pPr>
        <w:pStyle w:val="ListParagraph"/>
        <w:numPr>
          <w:ilvl w:val="0"/>
          <w:numId w:val="2"/>
        </w:numPr>
        <w:spacing w:after="60"/>
      </w:pPr>
      <w:r>
        <w:t xml:space="preserve">Stage 0 — Ingest L1 outputs; normalise units; persist to a Parquet store keyed on InChIKey. Pull target sequence (UniProt), structure (PDB &gt; AlphaFold with pLDDT ≥ 70), and known off-target panel (ChEMBL + IUPHAR).</w:t>
      </w:r>
    </w:p>
    <w:p>
      <w:pPr>
        <w:pStyle w:val="ListParagraph"/>
        <w:numPr>
          <w:ilvl w:val="0"/>
          <w:numId w:val="2"/>
        </w:numPr>
        <w:spacing w:after="60"/>
      </w:pPr>
      <w:r>
        <w:t xml:space="preserve">Stage 1 — Structure prep: holo-PDB if available, else AlphaFold. Run PDBFixer for missing residues + protonation. Pocket detection via fpocket or P2Rank.</w:t>
      </w:r>
    </w:p>
    <w:p>
      <w:pPr>
        <w:pStyle w:val="ListParagraph"/>
        <w:numPr>
          <w:ilvl w:val="0"/>
          <w:numId w:val="2"/>
        </w:numPr>
        <w:spacing w:after="60"/>
      </w:pPr>
      <w:r>
        <w:t xml:space="preserve">Stage 2 — Docking: parallel tracks of Vina / Smina / GNINA classical docking and Boltz-1 (or Boltz-2) co-folding. Merge poses, run PoseBusters as hard filter, rescore survivors with GNINA CNN. Top-3 physically-valid poses per compound.</w:t>
      </w:r>
    </w:p>
    <w:p>
      <w:pPr>
        <w:pStyle w:val="ListParagraph"/>
        <w:numPr>
          <w:ilvl w:val="0"/>
          <w:numId w:val="2"/>
        </w:numPr>
        <w:spacing w:after="60"/>
      </w:pPr>
      <w:r>
        <w:t xml:space="preserve">Stage 3 — ML affinity + ADMET refinement: DeepPurpose or fine-tuned Uni-Mol for orthogonal affinity. Compare to L1 measured Ki; flag &gt;1-log disagreements. MoLFormer-XL or ChemBERTa-2 fine-tuned for ADMET to triangulate L1.</w:t>
      </w:r>
    </w:p>
    <w:p>
      <w:pPr>
        <w:pStyle w:val="ListParagraph"/>
        <w:numPr>
          <w:ilvl w:val="0"/>
          <w:numId w:val="2"/>
        </w:numPr>
        <w:spacing w:after="60"/>
      </w:pPr>
      <w:r>
        <w:t xml:space="preserve">Stage 4 — Selectivity: dock or run ML affinity across ChEMBL/IUPHAR off-target panel for the target family. Compute selectivity indices. Flag hERG (already from L1), CYP3A4, known liabilities.</w:t>
      </w:r>
    </w:p>
    <w:p>
      <w:pPr>
        <w:pStyle w:val="ListParagraph"/>
        <w:numPr>
          <w:ilvl w:val="0"/>
          <w:numId w:val="2"/>
        </w:numPr>
        <w:spacing w:after="60"/>
      </w:pPr>
      <w:r>
        <w:t xml:space="preserve">Stage 5 — Selective free-energy refinement: only top ~30–50 compounds. OpenMM with OpenFF Sage; perturbation network anchored to a reference compound. ~24 GPU-h per compound on A100; ~3–5 GPU-days for the cohort.</w:t>
      </w:r>
    </w:p>
    <w:p>
      <w:pPr>
        <w:pStyle w:val="ListParagraph"/>
        <w:numPr>
          <w:ilvl w:val="0"/>
          <w:numId w:val="2"/>
        </w:numPr>
        <w:spacing w:after="60"/>
      </w:pPr>
      <w:r>
        <w:t xml:space="preserve">Stage 6 — PBPK projection: build PK-Sim model parameterised from L1 ADMET (microsomal CL → hepatic CL via well-stirred; logP, pKa, fu_p, MW). Simulate human PK across a dose range. Output Cmax, AUC, t1/2, fraction-bound at target.</w:t>
      </w:r>
    </w:p>
    <w:p>
      <w:pPr>
        <w:pStyle w:val="ListParagraph"/>
        <w:numPr>
          <w:ilvl w:val="0"/>
          <w:numId w:val="2"/>
        </w:numPr>
        <w:spacing w:after="60"/>
      </w:pPr>
      <w:r>
        <w:t xml:space="preserve">Stage 7 — QSP and PD coupling: for targets with curated BioModels QSP, couple PK profile via Tellurium / libRoadRunner. Simulate target engagement vs. time and downstream pathway markers. For novel targets, build a minimal target-occupancy model (Hill equation around L1 Ki).</w:t>
      </w:r>
    </w:p>
    <w:p>
      <w:pPr>
        <w:pStyle w:val="ListParagraph"/>
        <w:numPr>
          <w:ilvl w:val="0"/>
          <w:numId w:val="2"/>
        </w:numPr>
        <w:spacing w:after="60"/>
      </w:pPr>
      <w:r>
        <w:t xml:space="preserve">Stage 8 — Therapeutic-index ranking: efficacy margin = predicted Cmax,unbound / Ki; safety margin = hERG IC50 / Cmax,unbound (and CYP, off-target). MRSD computed from L1 NOAEL via FDA workflow. Composite score with confidence intervals from PBPK population simulation (n = 500 virtual subjects).</w:t>
      </w:r>
    </w:p>
    <w:p>
      <w:pPr>
        <w:pStyle w:val="ListParagraph"/>
        <w:numPr>
          <w:ilvl w:val="0"/>
          <w:numId w:val="2"/>
        </w:numPr>
        <w:spacing w:after="60"/>
      </w:pPr>
      <w:r>
        <w:t xml:space="preserve">Stage 9 — Output: ranked shortlist (20–50 compounds), per-compound predicted human dose range, predicted unbound Cmax/AUC at each dose, pose files (PDB), free-energy estimates, liability flags, confidence and uncertainty.</w:t>
      </w:r>
    </w:p>
    <w:p>
      <w:pPr>
        <w:pStyle w:val="Heading2"/>
      </w:pPr>
      <w:r>
        <w:t xml:space="preserve">4.4 L2 gaps and risks</w:t>
      </w:r>
    </w:p>
    <w:p>
      <w:pPr>
        <w:spacing w:after="120"/>
        <w:jc w:val="left"/>
      </w:pPr>
      <w:r>
        <w:t xml:space="preserve">Commercial lock-in is real. DrugBank free academic but commercial pipeline needs paid licence; KEGG bulk download has been paid since 2021 (use Reactome instead); AlphaFold 3 weights non-commercial (Boltz-1/2 is the OSS substitute and is the single most important substitution to validate); Schrödinger Glide / FEP+ industry-standard benchmarks but OSS combinations (GNINA + OpenMM/TIES) close most of the retrospective gap. GastroPlus / Simcyp are regulatory-grade PBPK; PK-Sim is the OSS substitute and increasingly accepted by FDA / EMA.</w:t>
      </w:r>
    </w:p>
    <w:p>
      <w:pPr>
        <w:spacing w:after="120"/>
        <w:jc w:val="left"/>
      </w:pPr>
      <w:r>
        <w:t xml:space="preserve">Modelling reliability: AlphaFold-based docking is 10–25 percentage points lower in success rate than holo-PDB pockets; mitigate with ensemble docking and FEP rescoring. Up to half of DiffDock poses fail basic physical validity — never ship without PoseBusters. PBPK extrapolation to novel chemotypes or transporter substrates can have 2–3× fold-error. ML affinity models degrade sharply on out-of-distribution chemotypes; ensemble multiple models and weight by domain applicability.</w:t>
      </w:r>
    </w:p>
    <w:p>
      <w:pPr>
        <w:spacing w:after="120"/>
        <w:jc w:val="left"/>
      </w:pPr>
      <w:r>
        <w:t xml:space="preserve">QSP coverage is rich in oncology, immunology, metabolism but sparse in CNS and rare diseases. Building bespoke QSP models for novel targets is expensive and is the most likely L2 bottleneck.</w:t>
      </w:r>
    </w:p>
    <w:p>
      <w:pPr>
        <w:spacing w:after="120"/>
        <w:jc w:val="left"/>
      </w:pPr>
      <w:r>
        <w:t xml:space="preserve">Top commercial-vs-OSS evaluation candidates:</w:t>
      </w:r>
    </w:p>
    <w:p>
      <w:pPr>
        <w:pStyle w:val="ListParagraph"/>
        <w:numPr>
          <w:ilvl w:val="0"/>
          <w:numId w:val="2"/>
        </w:numPr>
        <w:spacing w:after="60"/>
      </w:pPr>
      <w:r>
        <w:t xml:space="preserve">Schrödinger FEP+ vs OpenMM/TIES + OpenFF — head-to-head on a retrospective congeneric series before committing to OSS.</w:t>
      </w:r>
    </w:p>
    <w:p>
      <w:pPr>
        <w:pStyle w:val="ListParagraph"/>
        <w:numPr>
          <w:ilvl w:val="0"/>
          <w:numId w:val="2"/>
        </w:numPr>
        <w:spacing w:after="60"/>
      </w:pPr>
      <w:r>
        <w:t xml:space="preserve">GastroPlus or Simcyp vs PK-Sim — if oral absorption / DDI prediction is on the critical path.</w:t>
      </w:r>
    </w:p>
    <w:p>
      <w:pPr>
        <w:pStyle w:val="ListParagraph"/>
        <w:numPr>
          <w:ilvl w:val="0"/>
          <w:numId w:val="2"/>
        </w:numPr>
        <w:spacing w:after="60"/>
      </w:pPr>
      <w:r>
        <w:t xml:space="preserve">DrugBank commercial vs ChEMBL + IUPHAR + PK-DB stitching — DrugBank curated PK summaries save substantial engineering effort; weigh cost vs FTE.</w:t>
      </w:r>
    </w:p>
    <w:p>
      <w:pPr>
        <w:pStyle w:val="Heading1"/>
        <w:pageBreakBefore/>
      </w:pPr>
      <w:r>
        <w:t xml:space="preserve">5. L3 — Ex-Vivo Layer</w:t>
      </w:r>
    </w:p>
    <w:p>
      <w:pPr>
        <w:spacing w:after="120"/>
        <w:jc w:val="left"/>
      </w:pPr>
      <w:r>
        <w:t xml:space="preserve">L3 is the most expensive, most predictive, and most data-poor layer of the pre-clinical twin. Real human / animal tissue, no live animals: precision-cut tissue slices (PCLS — lung, liver, kidney, brain), isolated perfused organs (Langendorff heart, isolated perfused liver / kidney), patient-derived organoids, microphysiological systems (MPS) and organ-on-chip. Its readouts feed L4 species and study design directly.</w:t>
      </w:r>
    </w:p>
    <w:p>
      <w:pPr>
        <w:pStyle w:val="Heading2"/>
      </w:pPr>
      <w:r>
        <w:t xml:space="preserve">5.1 Databases and atlases</w:t>
      </w:r>
    </w:p>
    <w:p>
      <w:pPr>
        <w:pStyle w:val="Heading3"/>
      </w:pPr>
      <w:r>
        <w:t xml:space="preserve">5.1.1 Patient-derived models and organoids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2700"/>
        <w:gridCol w:w="1900"/>
      </w:tblGrid>
      <w:tr>
        <w:trPr>
          <w:tblHeader/>
        </w:trPr>
        <w:tc>
          <w:tcPr>
            <w:tcW w:type="dxa" w:w="19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40"/>
            </w:pPr>
            <w:r>
              <w:rPr>
                <w:b/>
                <w:bCs/>
                <w:sz w:val="18"/>
                <w:szCs w:val="18"/>
              </w:rPr>
              <w:t xml:space="preserve">Resource</w:t>
            </w:r>
          </w:p>
        </w:tc>
        <w:tc>
          <w:tcPr>
            <w:tcW w:type="dxa" w:w="35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40"/>
            </w:pPr>
            <w:r>
              <w:rPr>
                <w:b/>
                <w:bCs/>
                <w:sz w:val="18"/>
                <w:szCs w:val="18"/>
              </w:rPr>
              <w:t xml:space="preserve">Contents</w:t>
            </w:r>
          </w:p>
        </w:tc>
        <w:tc>
          <w:tcPr>
            <w:tcW w:type="dxa" w:w="27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40"/>
            </w:pPr>
            <w:r>
              <w:rPr>
                <w:b/>
                <w:bCs/>
                <w:sz w:val="18"/>
                <w:szCs w:val="18"/>
              </w:rPr>
              <w:t xml:space="preserve">Access / License</w:t>
            </w:r>
          </w:p>
        </w:tc>
        <w:tc>
          <w:tcPr>
            <w:tcW w:type="dxa" w:w="19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40"/>
            </w:pPr>
            <w:r>
              <w:rPr>
                <w:b/>
                <w:bCs/>
                <w:sz w:val="18"/>
                <w:szCs w:val="18"/>
              </w:rPr>
              <w:t xml:space="preserve">L3 role</w:t>
            </w:r>
          </w:p>
        </w:tc>
      </w:tr>
      <w:tr>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HCMI (NCI)</w:t>
            </w:r>
          </w:p>
        </w:tc>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~700 next-gen cancer models distributed via ATCC; paired matched-normal genomics + clinical metadata</w:t>
            </w:r>
          </w:p>
        </w:tc>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NIH open metadata; ATCC MTAs for material; GDC tiers for data</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Primary source for tumour-organoid efficacy assays</w:t>
            </w:r>
          </w:p>
        </w:tc>
      </w:tr>
      <w:tr>
        <w:tc>
          <w:tcPr>
            <w:tcW w:type="dxa" w:w="19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Hubrecht HUB Organoid Biobank</w:t>
            </w:r>
          </w:p>
        </w:tc>
        <w:tc>
          <w:tcPr>
            <w:tcW w:type="dxa" w:w="3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Largest non-cancer + cancer organoid biobank globally — colon, liver, pancreas, breast, kidney, prostate, airway, CF</w:t>
            </w:r>
          </w:p>
        </w:tc>
        <w:tc>
          <w:tcPr>
            <w:tcW w:type="dxa" w:w="2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HUB Foundation MTA, commercial sublicensing required (Clevers patents)</w:t>
            </w:r>
          </w:p>
        </w:tc>
        <w:tc>
          <w:tcPr>
            <w:tcW w:type="dxa" w:w="19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Gold-standard for non-tumour efficacy + patient-stratified ADME-tox</w:t>
            </w:r>
          </w:p>
        </w:tc>
      </w:tr>
      <w:tr>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hPSCreg</w:t>
            </w:r>
          </w:p>
        </w:tc>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~7,500 hiPSC/hESC lines with provenance, ethics, QC, differentiation history</w:t>
            </w:r>
          </w:p>
        </w:tc>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CC-BY metadata; depositor MTAs for lines</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iPSC-derived organoid sourcing with verified pedigree</w:t>
            </w:r>
          </w:p>
        </w:tc>
      </w:tr>
      <w:tr>
        <w:tc>
          <w:tcPr>
            <w:tcW w:type="dxa" w:w="19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Cellosaurus (organoid records)</w:t>
            </w:r>
          </w:p>
        </w:tc>
        <w:tc>
          <w:tcPr>
            <w:tcW w:type="dxa" w:w="3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~5K organoid entries cross-ref ChEMBL/DepMap/CCLE/HCMI</w:t>
            </w:r>
          </w:p>
        </w:tc>
        <w:tc>
          <w:tcPr>
            <w:tcW w:type="dxa" w:w="27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CC-BY 4.0</w:t>
            </w:r>
          </w:p>
        </w:tc>
        <w:tc>
          <w:tcPr>
            <w:tcW w:type="dxa" w:w="19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Canonical CVCL accession — every L3 assay row should carry one</w:t>
            </w:r>
          </w:p>
        </w:tc>
      </w:tr>
      <w:tr>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ATCC organoid lines</w:t>
            </w:r>
          </w:p>
        </w:tc>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HCMI distribution + ATCC-developed intestinal, hepatic, breast, prostate panels</w:t>
            </w:r>
          </w:p>
        </w:tc>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Commercial MTA (~$2–6k / line)</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Physical sourcing layer</w:t>
            </w:r>
          </w:p>
        </w:tc>
      </w:tr>
    </w:tbl>
    <w:p>
      <w:pPr>
        <w:spacing w:after="100"/>
      </w:pPr>
      <w:r>
        <w:t xml:space="preserve"/>
      </w:r>
    </w:p>
    <w:p>
      <w:pPr>
        <w:pStyle w:val="Heading3"/>
      </w:pPr>
      <w:r>
        <w:t xml:space="preserve">5.1.2 Reference atlases (tissue / single-cell)</w:t>
      </w:r>
    </w:p>
    <w:p>
      <w:pPr>
        <w:pStyle w:val="ListParagraph"/>
        <w:numPr>
          <w:ilvl w:val="0"/>
          <w:numId w:val="2"/>
        </w:numPr>
        <w:spacing w:after="60"/>
      </w:pPr>
      <w:r>
        <w:rPr>
          <w:b/>
          <w:bCs/>
        </w:rPr>
        <w:t xml:space="preserve">Tabula Sapiens</w:t>
      </w:r>
      <w:r>
        <w:t xml:space="preserve"> (CZ Biohub) — v2 2024, ~1.1M cells, 28 organs. CC-BY 4.0. Deconvolution reference for organoid / PCLS samples; basis for tissue-selectivity scoring.</w:t>
      </w:r>
    </w:p>
    <w:p>
      <w:pPr>
        <w:pStyle w:val="ListParagraph"/>
        <w:numPr>
          <w:ilvl w:val="0"/>
          <w:numId w:val="2"/>
        </w:numPr>
        <w:spacing w:after="60"/>
      </w:pPr>
      <w:r>
        <w:rPr>
          <w:b/>
          <w:bCs/>
        </w:rPr>
        <w:t xml:space="preserve">Human Cell Atlas / CELLxGENE</w:t>
      </w:r>
      <w:r>
        <w:t xml:space="preserve"> — &gt;100M cells harmonised via Census API. Identifies which cell types are actually present in a given organoid system — critical because most organoids lack immune and vascular compartments.</w:t>
      </w:r>
    </w:p>
    <w:p>
      <w:pPr>
        <w:pStyle w:val="ListParagraph"/>
        <w:numPr>
          <w:ilvl w:val="0"/>
          <w:numId w:val="2"/>
        </w:numPr>
        <w:spacing w:after="60"/>
      </w:pPr>
      <w:r>
        <w:rPr>
          <w:b/>
          <w:bCs/>
        </w:rPr>
        <w:t xml:space="preserve">GTEx v10</w:t>
      </w:r>
      <w:r>
        <w:t xml:space="preserve"> — ~20K samples, 54 tissues. Open expression metadata; controlled-access genotypes via dbGaP. IVIVE scaling and target-tissue expression priors.</w:t>
      </w:r>
    </w:p>
    <w:p>
      <w:pPr>
        <w:pStyle w:val="ListParagraph"/>
        <w:numPr>
          <w:ilvl w:val="0"/>
          <w:numId w:val="2"/>
        </w:numPr>
        <w:spacing w:after="60"/>
      </w:pPr>
      <w:r>
        <w:rPr>
          <w:b/>
          <w:bCs/>
        </w:rPr>
        <w:t xml:space="preserve">Allen Brain Atlas</w:t>
      </w:r>
      <w:r>
        <w:t xml:space="preserve"> — human MTG, M1, hypothalamus single-cell + spatial; mouse whole-brain. Cortical / cerebral organoid benchmarking.</w:t>
      </w:r>
    </w:p>
    <w:p>
      <w:pPr>
        <w:pStyle w:val="Heading3"/>
      </w:pPr>
      <w:r>
        <w:t xml:space="preserve">5.1.3 Federated and toxicology resources</w:t>
      </w:r>
    </w:p>
    <w:p>
      <w:pPr>
        <w:pStyle w:val="ListParagraph"/>
        <w:numPr>
          <w:ilvl w:val="0"/>
          <w:numId w:val="2"/>
        </w:numPr>
        <w:spacing w:after="60"/>
      </w:pPr>
      <w:r>
        <w:rPr>
          <w:b/>
          <w:bCs/>
        </w:rPr>
        <w:t xml:space="preserve">CFDE</w:t>
      </w:r>
      <w:r>
        <w:t xml:space="preserve"> (NIH Common Fund Data Ecosystem) — federated portal across LINCS, GTEx, HuBMAP, Kids First, MoTrPAC, 4DN, HMP, IDG, ExRNA, Metabolomics Workbench. Single search surface for cross-tissue evidence.</w:t>
      </w:r>
    </w:p>
    <w:p>
      <w:pPr>
        <w:pStyle w:val="ListParagraph"/>
        <w:numPr>
          <w:ilvl w:val="0"/>
          <w:numId w:val="2"/>
        </w:numPr>
        <w:spacing w:after="60"/>
      </w:pPr>
      <w:r>
        <w:rPr>
          <w:b/>
          <w:bCs/>
        </w:rPr>
        <w:t xml:space="preserve">Tox21 / NCATS</w:t>
      </w:r>
      <w:r>
        <w:t xml:space="preserve"> — qHTS ~10K cmpds × ~70 assays; expanding into organoid / MPS modalities since 2023. Cheap pre-screen before paying for L3 wet assays.</w:t>
      </w:r>
    </w:p>
    <w:p>
      <w:pPr>
        <w:pStyle w:val="ListParagraph"/>
        <w:numPr>
          <w:ilvl w:val="0"/>
          <w:numId w:val="2"/>
        </w:numPr>
        <w:spacing w:after="60"/>
      </w:pPr>
      <w:r>
        <w:rPr>
          <w:b/>
          <w:bCs/>
        </w:rPr>
        <w:t xml:space="preserve">MPS-Database</w:t>
      </w:r>
      <w:r>
        <w:t xml:space="preserve"> (FDA-funded, U. Pittsburgh DILI consortium) — only public MPS dataset of meaningful size, primarily liver + kidney chips with metadata schema. Use as prior for hepatotox classifier calibration.</w:t>
      </w:r>
    </w:p>
    <w:p>
      <w:pPr>
        <w:pStyle w:val="ListParagraph"/>
        <w:numPr>
          <w:ilvl w:val="0"/>
          <w:numId w:val="2"/>
        </w:numPr>
        <w:spacing w:after="60"/>
      </w:pPr>
      <w:r>
        <w:rPr>
          <w:b/>
          <w:bCs/>
        </w:rPr>
        <w:t xml:space="preserve">NCATS Tissue Chip Database</w:t>
      </w:r>
      <w:r>
        <w:t xml:space="preserve"> — outputs of the Tissue Chip for Drug Screening program (NIH/FDA/DARPA). Open with attribution.</w:t>
      </w:r>
    </w:p>
    <w:p>
      <w:pPr>
        <w:pStyle w:val="ListParagraph"/>
        <w:numPr>
          <w:ilvl w:val="0"/>
          <w:numId w:val="2"/>
        </w:numPr>
        <w:spacing w:after="60"/>
      </w:pPr>
      <w:r>
        <w:rPr>
          <w:b/>
          <w:bCs/>
        </w:rPr>
        <w:t xml:space="preserve">EU-ToxRisk legacy + ONTOX</w:t>
      </w:r>
      <w:r>
        <w:t xml:space="preserve"> (Horizon Europe 2021–2027) — NAM-based tox case studies — repeated-dose, DART, hepatotox, nephrotox, neurotox. Mechanistic AOP anchors. Actively producing organoid + chip datasets through 2027.</w:t>
      </w:r>
    </w:p>
    <w:p>
      <w:pPr>
        <w:pStyle w:val="ListParagraph"/>
        <w:numPr>
          <w:ilvl w:val="0"/>
          <w:numId w:val="2"/>
        </w:numPr>
        <w:spacing w:after="60"/>
      </w:pPr>
      <w:r>
        <w:rPr>
          <w:b/>
          <w:bCs/>
        </w:rPr>
        <w:t xml:space="preserve">IQ-MPS</w:t>
      </w:r>
      <w:r>
        <w:t xml:space="preserve"> (IQ Consortium MPS Affiliate) — pharma-curated qualification datasets; membership-gated for raw, publications open. The right partnership target.</w:t>
      </w:r>
    </w:p>
    <w:p>
      <w:pPr>
        <w:pStyle w:val="ListParagraph"/>
        <w:numPr>
          <w:ilvl w:val="0"/>
          <w:numId w:val="2"/>
        </w:numPr>
        <w:spacing w:after="60"/>
      </w:pPr>
      <w:r>
        <w:rPr>
          <w:b/>
          <w:bCs/>
        </w:rPr>
        <w:t xml:space="preserve">Open MPS Repository</w:t>
      </w:r>
      <w:r>
        <w:t xml:space="preserve"> (community) — small but growing; scaffolding for in-house data schema design.</w:t>
      </w:r>
    </w:p>
    <w:p>
      <w:pPr>
        <w:pStyle w:val="Heading3"/>
      </w:pPr>
      <w:r>
        <w:t xml:space="preserve">5.1.4 Organ-on-chip vendor data accessibility</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300"/>
        <w:gridCol w:w="2300"/>
        <w:gridCol w:w="2500"/>
        <w:gridCol w:w="4000"/>
      </w:tblGrid>
      <w:tr>
        <w:trPr>
          <w:tblHeader/>
        </w:trPr>
        <w:tc>
          <w:tcPr>
            <w:tcW w:type="dxa" w:w="13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40"/>
            </w:pPr>
            <w:r>
              <w:rPr>
                <w:b/>
                <w:bCs/>
                <w:sz w:val="18"/>
                <w:szCs w:val="18"/>
              </w:rPr>
              <w:t xml:space="preserve">Vendor</w:t>
            </w:r>
          </w:p>
        </w:tc>
        <w:tc>
          <w:tcPr>
            <w:tcW w:type="dxa" w:w="23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40"/>
            </w:pPr>
            <w:r>
              <w:rPr>
                <w:b/>
                <w:bCs/>
                <w:sz w:val="18"/>
                <w:szCs w:val="18"/>
              </w:rPr>
              <w:t xml:space="preserve">Platform</w:t>
            </w:r>
          </w:p>
        </w:tc>
        <w:tc>
          <w:tcPr>
            <w:tcW w:type="dxa" w:w="25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40"/>
            </w:pPr>
            <w:r>
              <w:rPr>
                <w:b/>
                <w:bCs/>
                <w:sz w:val="18"/>
                <w:szCs w:val="18"/>
              </w:rPr>
              <w:t xml:space="preserve">Data access</w:t>
            </w:r>
          </w:p>
        </w:tc>
        <w:tc>
          <w:tcPr>
            <w:tcW w:type="dxa" w:w="40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40"/>
            </w:pPr>
            <w:r>
              <w:rPr>
                <w:b/>
                <w:bCs/>
                <w:sz w:val="18"/>
                <w:szCs w:val="18"/>
              </w:rPr>
              <w:t xml:space="preserve">Notes for L3</w:t>
            </w:r>
          </w:p>
        </w:tc>
      </w:tr>
      <w:tr>
        <w:tc>
          <w:tcPr>
            <w:tcW w:type="dxa" w:w="13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Emulate</w:t>
            </w:r>
          </w:p>
        </w:tc>
        <w:tc>
          <w:tcPr>
            <w:tcW w:type="dxa" w:w="23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Liver-/Brain-/Intestine-/Lung-Chip S1</w:t>
            </w:r>
          </w:p>
        </w:tc>
        <w:tc>
          <w:tcPr>
            <w:tcW w:type="dxa" w:w="2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Customer + qualification papers</w:t>
            </w:r>
          </w:p>
        </w:tc>
        <w:tc>
          <w:tcPr>
            <w:tcW w:type="dxa" w:w="4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Liver-Chip qualification (Ewart 2022): 87% sensitivity vs Tox21 — best published hepatotox MPS to date</w:t>
            </w:r>
          </w:p>
        </w:tc>
      </w:tr>
      <w:tr>
        <w:tc>
          <w:tcPr>
            <w:tcW w:type="dxa" w:w="1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CN Bio</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PhysioMimix OOC, Liver-Chip, Multi-Organ</w:t>
            </w:r>
          </w:p>
        </w:tc>
        <w:tc>
          <w:tcPr>
            <w:tcW w:type="dxa" w:w="2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Customer; published case studies</w:t>
            </w:r>
          </w:p>
        </w:tc>
        <w:tc>
          <w:tcPr>
            <w:tcW w:type="dxa" w:w="4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Strong on liver clearance + first-pass metabolism</w:t>
            </w:r>
          </w:p>
        </w:tc>
      </w:tr>
      <w:tr>
        <w:tc>
          <w:tcPr>
            <w:tcW w:type="dxa" w:w="13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Mimetas</w:t>
            </w:r>
          </w:p>
        </w:tc>
        <w:tc>
          <w:tcPr>
            <w:tcW w:type="dxa" w:w="23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OrganoPlate (3-lane, Graft)</w:t>
            </w:r>
          </w:p>
        </w:tc>
        <w:tc>
          <w:tcPr>
            <w:tcW w:type="dxa" w:w="2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Customer; OrganoReady plates</w:t>
            </w:r>
          </w:p>
        </w:tc>
        <w:tc>
          <w:tcPr>
            <w:tcW w:type="dxa" w:w="4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Higher throughput (96-well), tubule + BBB models</w:t>
            </w:r>
          </w:p>
        </w:tc>
      </w:tr>
      <w:tr>
        <w:tc>
          <w:tcPr>
            <w:tcW w:type="dxa" w:w="1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TissUse</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HUMIMIC Chip2/Chip4/ChipX</w:t>
            </w:r>
          </w:p>
        </w:tc>
        <w:tc>
          <w:tcPr>
            <w:tcW w:type="dxa" w:w="2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Customer; consortium studies</w:t>
            </w:r>
          </w:p>
        </w:tc>
        <w:tc>
          <w:tcPr>
            <w:tcW w:type="dxa" w:w="4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Multi-organ co-culture, ADME-T focused</w:t>
            </w:r>
          </w:p>
        </w:tc>
      </w:tr>
      <w:tr>
        <w:tc>
          <w:tcPr>
            <w:tcW w:type="dxa" w:w="13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InSphero</w:t>
            </w:r>
          </w:p>
        </w:tc>
        <w:tc>
          <w:tcPr>
            <w:tcW w:type="dxa" w:w="23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Akura Flow / 96-well 3D</w:t>
            </w:r>
          </w:p>
        </w:tc>
        <w:tc>
          <w:tcPr>
            <w:tcW w:type="dxa" w:w="2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Customer; published liver MTS data</w:t>
            </w:r>
          </w:p>
        </w:tc>
        <w:tc>
          <w:tcPr>
            <w:tcW w:type="dxa" w:w="4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Scaffold-free spheroids, high-throughput hepatotox</w:t>
            </w:r>
          </w:p>
        </w:tc>
      </w:tr>
    </w:tbl>
    <w:p>
      <w:pPr>
        <w:spacing w:after="100"/>
      </w:pPr>
      <w:r>
        <w:t xml:space="preserve"/>
      </w:r>
    </w:p>
    <w:p>
      <w:pPr>
        <w:spacing w:after="120"/>
        <w:jc w:val="left"/>
      </w:pPr>
      <w:r>
        <w:t xml:space="preserve">Bottom line on vendor data: all are walled gardens. Public footprint is the qualification papers. Plan accordingly.</w:t>
      </w:r>
    </w:p>
    <w:p>
      <w:pPr>
        <w:pStyle w:val="Heading2"/>
      </w:pPr>
      <w:r>
        <w:t xml:space="preserve">5.2 Models and computational frameworks</w:t>
      </w:r>
    </w:p>
    <w:p>
      <w:pPr>
        <w:pStyle w:val="Heading3"/>
      </w:pPr>
      <w:r>
        <w:t xml:space="preserve">5.2.1 IVIVE (in-vitro to in-vivo extrapolation)</w:t>
      </w:r>
    </w:p>
    <w:p>
      <w:pPr>
        <w:pStyle w:val="ListParagraph"/>
        <w:numPr>
          <w:ilvl w:val="0"/>
          <w:numId w:val="2"/>
        </w:numPr>
        <w:spacing w:after="60"/>
      </w:pPr>
      <w:r>
        <w:rPr>
          <w:b/>
          <w:bCs/>
        </w:rPr>
        <w:t xml:space="preserve">httk</w:t>
      </w:r>
      <w:r>
        <w:t xml:space="preserve"> (R, EPA CompTox) — GPL-3. The default open IVIVE engine. Reads Caco-2 / PPB / Clint from L3 and emits human plasma C_ss, AUC, equivalent administered doses.</w:t>
      </w:r>
    </w:p>
    <w:p>
      <w:pPr>
        <w:pStyle w:val="ListParagraph"/>
        <w:numPr>
          <w:ilvl w:val="0"/>
          <w:numId w:val="2"/>
        </w:numPr>
        <w:spacing w:after="60"/>
      </w:pPr>
      <w:r>
        <w:rPr>
          <w:b/>
          <w:bCs/>
        </w:rPr>
        <w:t xml:space="preserve">IVIVE-Pred / EPA CompTox Dashboard</w:t>
      </w:r>
      <w:r>
        <w:t xml:space="preserve"> — public; useful for read-across when no L3 data yet.</w:t>
      </w:r>
    </w:p>
    <w:p>
      <w:pPr>
        <w:pStyle w:val="ListParagraph"/>
        <w:numPr>
          <w:ilvl w:val="0"/>
          <w:numId w:val="2"/>
        </w:numPr>
        <w:spacing w:after="60"/>
      </w:pPr>
      <w:r>
        <w:rPr>
          <w:b/>
          <w:bCs/>
        </w:rPr>
        <w:t xml:space="preserve">Simcyp In Vitro Analysis Toolkit</w:t>
      </w:r>
      <w:r>
        <w:t xml:space="preserve"> (Certara) — commercial. Industry standard for regulatory submissions.</w:t>
      </w:r>
    </w:p>
    <w:p>
      <w:pPr>
        <w:pStyle w:val="ListParagraph"/>
        <w:numPr>
          <w:ilvl w:val="0"/>
          <w:numId w:val="2"/>
        </w:numPr>
        <w:spacing w:after="60"/>
      </w:pPr>
      <w:r>
        <w:rPr>
          <w:b/>
          <w:bCs/>
        </w:rPr>
        <w:t xml:space="preserve">PK-Sim / OSP Suite</w:t>
      </w:r>
      <w:r>
        <w:t xml:space="preserve"> — GPL-2. Whole-body PBPK with IVIVE module; the open replacement for Simcyp for non-regulatory work.</w:t>
      </w:r>
    </w:p>
    <w:p>
      <w:pPr>
        <w:pStyle w:val="Heading3"/>
      </w:pPr>
      <w:r>
        <w:t xml:space="preserve">5.2.2 Organoid / MPS image analysis</w:t>
      </w:r>
    </w:p>
    <w:p>
      <w:pPr>
        <w:pStyle w:val="ListParagraph"/>
        <w:numPr>
          <w:ilvl w:val="0"/>
          <w:numId w:val="2"/>
        </w:numPr>
        <w:spacing w:after="60"/>
      </w:pPr>
      <w:r>
        <w:rPr>
          <w:b/>
          <w:bCs/>
        </w:rPr>
        <w:t xml:space="preserve">CellProfiler 4.x</w:t>
      </w:r>
      <w:r>
        <w:t xml:space="preserve"> — BSD. The pipeline-based workhorse.</w:t>
      </w:r>
    </w:p>
    <w:p>
      <w:pPr>
        <w:pStyle w:val="ListParagraph"/>
        <w:numPr>
          <w:ilvl w:val="0"/>
          <w:numId w:val="2"/>
        </w:numPr>
        <w:spacing w:after="60"/>
      </w:pPr>
      <w:r>
        <w:rPr>
          <w:b/>
          <w:bCs/>
        </w:rPr>
        <w:t xml:space="preserve">Cellpose 3</w:t>
      </w:r>
      <w:r>
        <w:t xml:space="preserve"> (2024) — BSD-3. Default segmentation model — generalist, handles brightfield organoids without manual training.</w:t>
      </w:r>
    </w:p>
    <w:p>
      <w:pPr>
        <w:pStyle w:val="ListParagraph"/>
        <w:numPr>
          <w:ilvl w:val="0"/>
          <w:numId w:val="2"/>
        </w:numPr>
        <w:spacing w:after="60"/>
      </w:pPr>
      <w:r>
        <w:rPr>
          <w:b/>
          <w:bCs/>
        </w:rPr>
        <w:t xml:space="preserve">OrganoidTracker</w:t>
      </w:r>
      <w:r>
        <w:t xml:space="preserve"> — MIT. 4D lineage tracking.</w:t>
      </w:r>
    </w:p>
    <w:p>
      <w:pPr>
        <w:pStyle w:val="ListParagraph"/>
        <w:numPr>
          <w:ilvl w:val="0"/>
          <w:numId w:val="2"/>
        </w:numPr>
        <w:spacing w:after="60"/>
      </w:pPr>
      <w:r>
        <w:rPr>
          <w:b/>
          <w:bCs/>
        </w:rPr>
        <w:t xml:space="preserve">MOrgAna / OrganoSeg</w:t>
      </w:r>
      <w:r>
        <w:t xml:space="preserve"> — ML morphometry; brightfield bulk metrics.</w:t>
      </w:r>
    </w:p>
    <w:p>
      <w:pPr>
        <w:pStyle w:val="ListParagraph"/>
        <w:numPr>
          <w:ilvl w:val="0"/>
          <w:numId w:val="2"/>
        </w:numPr>
        <w:spacing w:after="60"/>
      </w:pPr>
      <w:r>
        <w:rPr>
          <w:b/>
          <w:bCs/>
        </w:rPr>
        <w:t xml:space="preserve">DeepImageJ + StarDist</w:t>
      </w:r>
      <w:r>
        <w:t xml:space="preserve"> — ImageJ-native, useful for pathologist-in-the-loop QC.</w:t>
      </w:r>
    </w:p>
    <w:p>
      <w:pPr>
        <w:pStyle w:val="Heading3"/>
      </w:pPr>
      <w:r>
        <w:t xml:space="preserve">5.2.3 Multiscale tissue models</w:t>
      </w:r>
    </w:p>
    <w:p>
      <w:pPr>
        <w:pStyle w:val="ListParagraph"/>
        <w:numPr>
          <w:ilvl w:val="0"/>
          <w:numId w:val="2"/>
        </w:numPr>
        <w:spacing w:after="60"/>
      </w:pPr>
      <w:r>
        <w:rPr>
          <w:b/>
          <w:bCs/>
        </w:rPr>
        <w:t xml:space="preserve">PhysiCell + BioFVM</w:t>
      </w:r>
      <w:r>
        <w:t xml:space="preserve"> — BSD-3. Best-supported for tumour + organoid simulation; integrates BioFVM for diffusion.</w:t>
      </w:r>
    </w:p>
    <w:p>
      <w:pPr>
        <w:pStyle w:val="ListParagraph"/>
        <w:numPr>
          <w:ilvl w:val="0"/>
          <w:numId w:val="2"/>
        </w:numPr>
        <w:spacing w:after="60"/>
      </w:pPr>
      <w:r>
        <w:rPr>
          <w:b/>
          <w:bCs/>
        </w:rPr>
        <w:t xml:space="preserve">Chaste</w:t>
      </w:r>
      <w:r>
        <w:t xml:space="preserve"> (Oxford) — BSD. Strong cardiac + colorectal crypt models.</w:t>
      </w:r>
    </w:p>
    <w:p>
      <w:pPr>
        <w:pStyle w:val="ListParagraph"/>
        <w:numPr>
          <w:ilvl w:val="0"/>
          <w:numId w:val="2"/>
        </w:numPr>
        <w:spacing w:after="60"/>
      </w:pPr>
      <w:r>
        <w:rPr>
          <w:b/>
          <w:bCs/>
        </w:rPr>
        <w:t xml:space="preserve">CompuCell3D / Morpheus</w:t>
      </w:r>
      <w:r>
        <w:t xml:space="preserve"> — Cellular Potts; morphogenesis.</w:t>
      </w:r>
    </w:p>
    <w:p>
      <w:pPr>
        <w:pStyle w:val="ListParagraph"/>
        <w:numPr>
          <w:ilvl w:val="0"/>
          <w:numId w:val="2"/>
        </w:numPr>
        <w:spacing w:after="60"/>
      </w:pPr>
      <w:r>
        <w:rPr>
          <w:b/>
          <w:bCs/>
        </w:rPr>
        <w:t xml:space="preserve">Tissue Forge</w:t>
      </w:r>
      <w:r>
        <w:t xml:space="preserve"> — BSD; particle-based, Python-first.</w:t>
      </w:r>
    </w:p>
    <w:p>
      <w:pPr>
        <w:pStyle w:val="Heading3"/>
      </w:pPr>
      <w:r>
        <w:t xml:space="preserve">5.2.4 Single-cell-aware drug response</w:t>
      </w:r>
    </w:p>
    <w:p>
      <w:pPr>
        <w:pStyle w:val="ListParagraph"/>
        <w:numPr>
          <w:ilvl w:val="0"/>
          <w:numId w:val="2"/>
        </w:numPr>
        <w:spacing w:after="60"/>
      </w:pPr>
      <w:r>
        <w:rPr>
          <w:b/>
          <w:bCs/>
        </w:rPr>
        <w:t xml:space="preserve">Drug2cell</w:t>
      </w:r>
      <w:r>
        <w:t xml:space="preserve"> (Sanger) — MIT. ChEMBL-target × cell-type expression to score drug effect per cell type. Excellent for tissue-selectivity scoring.</w:t>
      </w:r>
    </w:p>
    <w:p>
      <w:pPr>
        <w:pStyle w:val="ListParagraph"/>
        <w:numPr>
          <w:ilvl w:val="0"/>
          <w:numId w:val="2"/>
        </w:numPr>
        <w:spacing w:after="60"/>
      </w:pPr>
      <w:r>
        <w:rPr>
          <w:b/>
          <w:bCs/>
        </w:rPr>
        <w:t xml:space="preserve">scDrug</w:t>
      </w:r>
      <w:r>
        <w:t xml:space="preserve"> — MIT. scRNA → drug-response prediction via GDSC / CCLE reference.</w:t>
      </w:r>
    </w:p>
    <w:p>
      <w:pPr>
        <w:pStyle w:val="ListParagraph"/>
        <w:numPr>
          <w:ilvl w:val="0"/>
          <w:numId w:val="2"/>
        </w:numPr>
        <w:spacing w:after="60"/>
      </w:pPr>
      <w:r>
        <w:rPr>
          <w:b/>
          <w:bCs/>
        </w:rPr>
        <w:t xml:space="preserve">CellOracle</w:t>
      </w:r>
      <w:r>
        <w:t xml:space="preserve"> — Apache-2.0. GRN-based perturbation prediction; useful for predicting organoid response to KO/KD comparators.</w:t>
      </w:r>
    </w:p>
    <w:p>
      <w:pPr>
        <w:pStyle w:val="ListParagraph"/>
        <w:numPr>
          <w:ilvl w:val="0"/>
          <w:numId w:val="2"/>
        </w:numPr>
        <w:spacing w:after="60"/>
      </w:pPr>
      <w:r>
        <w:rPr>
          <w:b/>
          <w:bCs/>
        </w:rPr>
        <w:t xml:space="preserve">decoupleR / scanpy</w:t>
      </w:r>
      <w:r>
        <w:t xml:space="preserve"> — pathway-activity scoring on perturbed organoid scRNA.</w:t>
      </w:r>
    </w:p>
    <w:p>
      <w:pPr>
        <w:pStyle w:val="Heading3"/>
      </w:pPr>
      <w:r>
        <w:t xml:space="preserve">5.2.5 Tissue-selectivity scoring</w:t>
      </w:r>
    </w:p>
    <w:p>
      <w:pPr>
        <w:spacing w:after="120"/>
        <w:jc w:val="left"/>
      </w:pPr>
      <w:r>
        <w:t xml:space="preserve">Combine GTEx tissue expression × Cellosaurus line provenance × ChEMBL target affinity × httk-predicted tissue C_u → predicted margin = tissue C_u / IC50, computed per tissue. This is a recipe pattern, not a single packaged tool. Drug2cell + httk + GTEx is a clean three-component stack. Published instances include Drug2cell (Kanemaru, Nature 2023) and PharmOmics (Chen, Nature Comms 2022).</w:t>
      </w:r>
    </w:p>
    <w:p>
      <w:pPr>
        <w:pStyle w:val="Heading2"/>
      </w:pPr>
      <w:r>
        <w:t xml:space="preserve">5.3 L3 pipeline recipe</w:t>
      </w:r>
    </w:p>
    <w:p>
      <w:pPr>
        <w:spacing w:after="120"/>
        <w:jc w:val="left"/>
      </w:pPr>
      <w:r>
        <w:t xml:space="preserve">Tier-1 cheap triage (week 1–2, ~$15k / cmpd): hepatocyte spheroid 14-day repeat-dose hepatotox (ATP, ALT, albumin, urea, miR-122, analysed with CellProfiler + Cellpose); Caco-2 / MDCK Papp + bidirectional efflux feeding httk for F_oral; hepatocyte microsomal + cryopreserved Clint across 5 species (human, rat, mouse, dog, cyno); hERG patch + cardiomyocyte MEA on iCell or Ncardia. Decision gate: predicted human Cmax / hepatotox EC50 &lt; 30× → kill or rescue.</w:t>
      </w:r>
    </w:p>
    <w:p>
      <w:pPr>
        <w:spacing w:after="120"/>
        <w:jc w:val="left"/>
      </w:pPr>
      <w:r>
        <w:t xml:space="preserve">Tier-2 tissue-specific efficacy + ADME (week 3–8, ~$80–150k / cmpd): PCLS hepatotoxicity (rat + human); 3–5-line patient-derived organoid panel from HCMI / HUB with washout reversibility and scRNA-seq at one efficacious + one toxic dose; Liver-Chip (Emulate or CN Bio) for clearance + DILI biomarker panel (miR-122, GLDH, K18); kidney proximal-tubule chip (Mimetas or Emulate) with KIM-1, clusterin, OAT1/3, OCT2; gut-liver coupled chip (TissUse HUMIMIC or CN Bio multi-organ) for first-pass metabolism.</w:t>
      </w:r>
    </w:p>
    <w:p>
      <w:pPr>
        <w:spacing w:after="120"/>
        <w:jc w:val="left"/>
      </w:pPr>
      <w:r>
        <w:t xml:space="preserve">Tier-3 specialised (week 6–10, ~$100–250k / cmpd; conditional): Langendorff isolated perfused heart (rabbit or pig) when Tier-1 MEA flags or class CV history; isolated perfused liver / kidney when dose-linearity is suspect; cortical / cerebral organoid + BBB-on-chip cascade for any CNS-intended or CNS-penetrant compound.</w:t>
      </w:r>
    </w:p>
    <w:p>
      <w:pPr>
        <w:spacing w:after="120"/>
        <w:jc w:val="left"/>
      </w:pPr>
      <w:r>
        <w:t xml:space="preserve">Modelling layer running on the readouts: httk + PK-Sim ingest Tier-1/2 to emit predicted human PK, allometric L4 doses, predicted target-tissue C_u; Drug2cell + Tabula Sapiens + GTEx combine for per-organ tissue-selectivity score; PhysiCell + BioFVM simulate drug penetration into organoids and calibrate L4 tumour-penetration expectations; CellOracle runs on perturbation scRNA to predict resistance trajectories.</w:t>
      </w:r>
    </w:p>
    <w:p>
      <w:pPr>
        <w:spacing w:after="120"/>
        <w:jc w:val="left"/>
      </w:pPr>
      <w:r>
        <w:t xml:space="preserve">L3 → L4 deliverable contains: dose-range table (NOAEL / LOAEL on hepatocyte spheroid + PCLS + liver-chip with allometric L4 starting dose and 95% CI); 54-tissue selectivity matrix; ADME card; tox flag list ranked by mechanism; organoid efficacy panel across ≥3 patient lines with cell-type-resolved response; confidence scorecard with vendor-locked / non-reproduced flags; recommended L4 species + study design with justification.</w:t>
      </w:r>
    </w:p>
    <w:p>
      <w:pPr>
        <w:pStyle w:val="Heading2"/>
      </w:pPr>
      <w:r>
        <w:t xml:space="preserve">5.4 Recommended default lean L3 stack</w:t>
      </w:r>
    </w:p>
    <w:p>
      <w:pPr>
        <w:spacing w:after="120"/>
        <w:jc w:val="left"/>
      </w:pPr>
      <w:r>
        <w:t xml:space="preserve">For a small / mid biotech running through HakaseAI:</w:t>
      </w:r>
    </w:p>
    <w:p>
      <w:pPr>
        <w:pStyle w:val="ListParagraph"/>
        <w:numPr>
          <w:ilvl w:val="0"/>
          <w:numId w:val="2"/>
        </w:numPr>
        <w:spacing w:after="60"/>
      </w:pPr>
      <w:r>
        <w:t xml:space="preserve">Tier-1 always: InSphero hepatocyte spheroid + Caco-2 + cryopreserved hepatocyte Clint + iCell MEA.</w:t>
      </w:r>
    </w:p>
    <w:p>
      <w:pPr>
        <w:pStyle w:val="ListParagraph"/>
        <w:numPr>
          <w:ilvl w:val="0"/>
          <w:numId w:val="2"/>
        </w:numPr>
        <w:spacing w:after="60"/>
      </w:pPr>
      <w:r>
        <w:t xml:space="preserve">Tier-2 default: Emulate Liver-Chip S1 + 3-line HUB / HCMI organoid panel + Mimetas BBB-or-PT chip per indication.</w:t>
      </w:r>
    </w:p>
    <w:p>
      <w:pPr>
        <w:pStyle w:val="ListParagraph"/>
        <w:numPr>
          <w:ilvl w:val="0"/>
          <w:numId w:val="2"/>
        </w:numPr>
        <w:spacing w:after="60"/>
      </w:pPr>
      <w:r>
        <w:t xml:space="preserve">Tier-3 conditional: Langendorff heart + cortical organoid only when triggered.</w:t>
      </w:r>
    </w:p>
    <w:p>
      <w:pPr>
        <w:pStyle w:val="ListParagraph"/>
        <w:numPr>
          <w:ilvl w:val="0"/>
          <w:numId w:val="2"/>
        </w:numPr>
        <w:spacing w:after="60"/>
      </w:pPr>
      <w:r>
        <w:t xml:space="preserve">Modelling baseline: httk + PK-Sim + CellProfiler / Cellpose + scanpy + Drug2cell. PhysiCell when penetration is a concern.</w:t>
      </w:r>
    </w:p>
    <w:p>
      <w:pPr>
        <w:pStyle w:val="ListParagraph"/>
        <w:numPr>
          <w:ilvl w:val="0"/>
          <w:numId w:val="2"/>
        </w:numPr>
        <w:spacing w:after="60"/>
      </w:pPr>
      <w:r>
        <w:t xml:space="preserve">All assays Cellosaurus-keyed; all data CFDE-schema-compliant from day 1.</w:t>
      </w:r>
    </w:p>
    <w:p>
      <w:pPr>
        <w:pStyle w:val="Heading2"/>
      </w:pPr>
      <w:r>
        <w:t xml:space="preserve">5.5 L3 gaps and risks</w:t>
      </w:r>
    </w:p>
    <w:p>
      <w:pPr>
        <w:spacing w:after="120"/>
        <w:jc w:val="left"/>
      </w:pPr>
      <w:r>
        <w:t xml:space="preserve">Three structural problems shape this layer:</w:t>
      </w:r>
    </w:p>
    <w:p>
      <w:pPr>
        <w:pStyle w:val="ListParagraph"/>
        <w:numPr>
          <w:ilvl w:val="0"/>
          <w:numId w:val="2"/>
        </w:numPr>
        <w:spacing w:after="60"/>
      </w:pPr>
      <w:r>
        <w:t xml:space="preserve">Vendor data lock-in. Emulate, CN Bio, Mimetas, TissUse, InSphero each hold the largest single-vendor MPS datasets, none open. Public MPS data (MPS-Database, NCATS Tissue Chip drops) is meaningful but small. Anyone training models on MPS data without a vendor partnership trains on a fraction of what exists.</w:t>
      </w:r>
    </w:p>
    <w:p>
      <w:pPr>
        <w:pStyle w:val="ListParagraph"/>
        <w:numPr>
          <w:ilvl w:val="0"/>
          <w:numId w:val="2"/>
        </w:numPr>
        <w:spacing w:after="60"/>
      </w:pPr>
      <w:r>
        <w:t xml:space="preserve">Organoid reproducibility. Inter-line, inter-batch, inter-lab variance is the open problem in the field; no organoid equivalent of GDSC / CCLE for line-level standardised drug-response. The 2024–2025 IQ-MPS qualification papers and the HUB consortium are the closest to it, both gated.</w:t>
      </w:r>
    </w:p>
    <w:p>
      <w:pPr>
        <w:pStyle w:val="ListParagraph"/>
        <w:numPr>
          <w:ilvl w:val="0"/>
          <w:numId w:val="2"/>
        </w:numPr>
        <w:spacing w:after="60"/>
      </w:pPr>
      <w:r>
        <w:t xml:space="preserve">IVIVE calibration drift. httk and PK-Sim work but their parameter priors lean on legacy in-vitro hepatocyte data (1990s–2010s). Recalibrating against modern liver-chip + PCLS data is a quiet but high-leverage project.</w:t>
      </w:r>
    </w:p>
    <w:p>
      <w:pPr>
        <w:spacing w:after="120"/>
        <w:jc w:val="left"/>
      </w:pPr>
      <w:r>
        <w:t xml:space="preserve">Top-three priority partnerships / licences:</w:t>
      </w:r>
    </w:p>
    <w:p>
      <w:pPr>
        <w:pStyle w:val="ListParagraph"/>
        <w:numPr>
          <w:ilvl w:val="0"/>
          <w:numId w:val="2"/>
        </w:numPr>
        <w:spacing w:after="60"/>
      </w:pPr>
      <w:r>
        <w:t xml:space="preserve">Hubrecht HUB Organoid Biobank sublicense — gates access to the only at-scale non-cancer organoid IP. Without it, "patient-derived organoid efficacy" in any dossier has a ceiling.</w:t>
      </w:r>
    </w:p>
    <w:p>
      <w:pPr>
        <w:pStyle w:val="ListParagraph"/>
        <w:numPr>
          <w:ilvl w:val="0"/>
          <w:numId w:val="2"/>
        </w:numPr>
        <w:spacing w:after="60"/>
      </w:pPr>
      <w:r>
        <w:t xml:space="preserve">Emulate Liver-Chip + qualification dataset bundle (or CN Bio equivalent) — strategic partnership rather than per-assay buys; gives the twin a calibration set no competitor has.</w:t>
      </w:r>
    </w:p>
    <w:p>
      <w:pPr>
        <w:pStyle w:val="ListParagraph"/>
        <w:numPr>
          <w:ilvl w:val="0"/>
          <w:numId w:val="2"/>
        </w:numPr>
        <w:spacing w:after="60"/>
      </w:pPr>
      <w:r>
        <w:t xml:space="preserve">IQ-MPS Affiliate membership — unlocks the only multi-vendor harmonised MPS qualification dataset; prevents over-fit to one vendor.</w:t>
      </w:r>
    </w:p>
    <w:p>
      <w:pPr>
        <w:spacing w:after="120"/>
        <w:jc w:val="left"/>
      </w:pPr>
      <w:r>
        <w:t xml:space="preserve">Distant fourth: ONTOX consortium engagement (Horizon Europe through 2027) — largest ongoing public-domain NAM/AOP-anchored organoid + chip dataset; best mechanistic priors for the next 18 months.</w:t>
      </w:r>
    </w:p>
    <w:p>
      <w:pPr>
        <w:pStyle w:val="Heading1"/>
        <w:pageBreakBefore/>
      </w:pPr>
      <w:r>
        <w:t xml:space="preserve">6. L4 — Animal Cohort Layer</w:t>
      </w:r>
    </w:p>
    <w:p>
      <w:pPr>
        <w:spacing w:after="120"/>
        <w:jc w:val="left"/>
      </w:pPr>
      <w:r>
        <w:t xml:space="preserve">L4 is the terminal pre-clinical layer. It consumes L3 ex-vivo dose-range and tissue-selectivity dossiers, executes (or simulates) GLP-grade animal studies across rodent and non-rodent species per ICH M3(R2), and emits a SEND-compliant IND-enabling clinical-handoff package to Hakase Clinical. This layer was already built; the redesign re-anchors it as the terminal pre-clinical layer in the new four-layer model and tightens its outbound contract.</w:t>
      </w:r>
    </w:p>
    <w:p>
      <w:pPr>
        <w:pStyle w:val="Heading2"/>
      </w:pPr>
      <w:r>
        <w:t xml:space="preserve">6.1 Databases</w:t>
      </w:r>
    </w:p>
    <w:p>
      <w:pPr>
        <w:pStyle w:val="Heading3"/>
      </w:pPr>
      <w:r>
        <w:t xml:space="preserve">6.1.1 Regulatory toxicology repositories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40"/>
            </w:pPr>
            <w:r>
              <w:rPr>
                <w:b/>
                <w:bCs/>
                <w:sz w:val="18"/>
                <w:szCs w:val="18"/>
              </w:rPr>
              <w:t xml:space="preserve">Database</w:t>
            </w:r>
          </w:p>
        </w:tc>
        <w:tc>
          <w:tcPr>
            <w:tcW w:type="dxa" w:w="44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40"/>
            </w:pPr>
            <w:r>
              <w:rPr>
                <w:b/>
                <w:bCs/>
                <w:sz w:val="18"/>
                <w:szCs w:val="18"/>
              </w:rPr>
              <w:t xml:space="preserve">Contents</w:t>
            </w:r>
          </w:p>
        </w:tc>
        <w:tc>
          <w:tcPr>
            <w:tcW w:type="dxa" w:w="256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40"/>
            </w:pPr>
            <w:r>
              <w:rPr>
                <w:b/>
                <w:bCs/>
                <w:sz w:val="18"/>
                <w:szCs w:val="18"/>
              </w:rPr>
              <w:t xml:space="preserve">Access / License</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eTOX / eTRANSAFE</w:t>
            </w:r>
          </w:p>
        </w:tc>
        <w:tc>
          <w:tcPr>
            <w:tcW w:type="dxa" w:w="4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IMI eTOX (8,047 legacy preclinical study reports from 13 EFPIA pharma sponsors); IMI2 eTRANSAFE expanded the federated KB and produced ToxHub. Post-2024 governance under IHI eTRANSAFE-Continuum, ELIXIR + EFPIA stewardship</w:t>
            </w:r>
          </w:p>
        </w:tc>
        <w:tc>
          <w:tcPr>
            <w:tcW w:type="dxa" w:w="25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Tiered: public summary; sponsor-restricted detail behind federated query. Bespoke consortium DTUA</w:t>
            </w:r>
          </w:p>
        </w:tc>
      </w:tr>
      <w:tr>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FDA NCTR CEBS / ToxRefDB</w:t>
            </w:r>
          </w:p>
        </w:tc>
        <w:tc>
          <w:tcPr>
            <w:tcW w:type="dxa" w:w="4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CEBS at NIEHS for NTP data; ToxRefDB v2.1 hosted under EPA CCTE — ~5,900 in vivo studies</w:t>
            </w:r>
          </w:p>
        </w:tc>
        <w:tc>
          <w:tcPr>
            <w:tcW w:type="dxa" w:w="2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Open, public domain</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EPA ToxCast / ToxValDB</w:t>
            </w:r>
          </w:p>
        </w:tc>
        <w:tc>
          <w:tcPr>
            <w:tcW w:type="dxa" w:w="4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ToxValDB v9.6 (2025): ~2.3M point-of-departure records across ~50,000 chemicals</w:t>
            </w:r>
          </w:p>
        </w:tc>
        <w:tc>
          <w:tcPr>
            <w:tcW w:type="dxa" w:w="25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Open, CC0</w:t>
            </w:r>
          </w:p>
        </w:tc>
      </w:tr>
      <w:tr>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NCATS ICE</w:t>
            </w:r>
          </w:p>
        </w:tc>
        <w:tc>
          <w:tcPr>
            <w:tcW w:type="dxa" w:w="4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v4.0.2 (2025) — curated chemical lists, in vivo + in vitro tox, PBPK, exposure</w:t>
            </w:r>
          </w:p>
        </w:tc>
        <w:tc>
          <w:tcPr>
            <w:tcW w:type="dxa" w:w="2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Open</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EURL ECVAM TSAR</w:t>
            </w:r>
          </w:p>
        </w:tc>
        <w:tc>
          <w:tcPr>
            <w:tcW w:type="dxa" w:w="4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Validated NAM status board</w:t>
            </w:r>
          </w:p>
        </w:tc>
        <w:tc>
          <w:tcPr>
            <w:tcW w:type="dxa" w:w="25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Open</w:t>
            </w:r>
          </w:p>
        </w:tc>
      </w:tr>
      <w:tr>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EURL ECVAM DB-ALM</w:t>
            </w:r>
          </w:p>
        </w:tc>
        <w:tc>
          <w:tcPr>
            <w:tcW w:type="dxa" w:w="4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Folded into JRC Data Catalogue + EURL ECVAM Knowledge Base for Alternative Methods</w:t>
            </w:r>
          </w:p>
        </w:tc>
        <w:tc>
          <w:tcPr>
            <w:tcW w:type="dxa" w:w="2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Open</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OECD eChemPortal</w:t>
            </w:r>
          </w:p>
        </w:tc>
        <w:tc>
          <w:tcPr>
            <w:tcW w:type="dxa" w:w="4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Federated query across 34 chemical inventories</w:t>
            </w:r>
          </w:p>
        </w:tc>
        <w:tc>
          <w:tcPr>
            <w:tcW w:type="dxa" w:w="25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Open</w:t>
            </w:r>
          </w:p>
        </w:tc>
      </w:tr>
      <w:tr>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ECHA REACH</w:t>
            </w:r>
          </w:p>
        </w:tc>
        <w:tc>
          <w:tcPr>
            <w:tcW w:type="dxa" w:w="4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~26,000 registered substances; robust study summaries downloadable as IUCLID dossiers</w:t>
            </w:r>
          </w:p>
        </w:tc>
        <w:tc>
          <w:tcPr>
            <w:tcW w:type="dxa" w:w="25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Open</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JECFA monographs</w:t>
            </w:r>
          </w:p>
        </w:tc>
        <w:tc>
          <w:tcPr>
            <w:tcW w:type="dxa" w:w="4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WHO Food Additives Series; ADI / NOAEL extraction for impurity qualification under ICH Q3A/B</w:t>
            </w:r>
          </w:p>
        </w:tc>
        <w:tc>
          <w:tcPr>
            <w:tcW w:type="dxa" w:w="25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Open</w:t>
            </w:r>
          </w:p>
        </w:tc>
      </w:tr>
    </w:tbl>
    <w:p>
      <w:pPr>
        <w:spacing w:after="100"/>
      </w:pPr>
      <w:r>
        <w:t xml:space="preserve"/>
      </w:r>
    </w:p>
    <w:p>
      <w:pPr>
        <w:pStyle w:val="Heading3"/>
      </w:pPr>
      <w:r>
        <w:t xml:space="preserve">6.1.2 Species reference databases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40"/>
            </w:pPr>
            <w:r>
              <w:rPr>
                <w:b/>
                <w:bCs/>
                <w:sz w:val="18"/>
                <w:szCs w:val="18"/>
              </w:rPr>
              <w:t xml:space="preserve">Database</w:t>
            </w:r>
          </w:p>
        </w:tc>
        <w:tc>
          <w:tcPr>
            <w:tcW w:type="dxa" w:w="586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40"/>
            </w:pPr>
            <w:r>
              <w:rPr>
                <w:b/>
                <w:bCs/>
                <w:sz w:val="18"/>
                <w:szCs w:val="18"/>
              </w:rPr>
              <w:t xml:space="preserve">Use</w:t>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Mouse Phenome Database (JAX)</w:t>
            </w:r>
          </w:p>
        </w:tc>
        <w:tc>
          <w:tcPr>
            <w:tcW w:type="dxa" w:w="5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~12,000 phenotype measurements, 800+ strains</w:t>
            </w:r>
          </w:p>
        </w:tc>
      </w:tr>
      <w:tr>
        <w:tc>
          <w:tcPr>
            <w:tcW w:type="dxa" w:w="3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Rat Genome Database</w:t>
            </w:r>
          </w:p>
        </w:tc>
        <w:tc>
          <w:tcPr>
            <w:tcW w:type="dxa" w:w="58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RGD 2026 release — full chinchilla + naked mole-rat tox-relevant comparators</w:t>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MGI</w:t>
            </w:r>
          </w:p>
        </w:tc>
        <w:tc>
          <w:tcPr>
            <w:tcW w:type="dxa" w:w="5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GO + phenotype + alleles</w:t>
            </w:r>
          </w:p>
        </w:tc>
      </w:tr>
      <w:tr>
        <w:tc>
          <w:tcPr>
            <w:tcW w:type="dxa" w:w="3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ZFIN</w:t>
            </w:r>
          </w:p>
        </w:tc>
        <w:tc>
          <w:tcPr>
            <w:tcW w:type="dxa" w:w="58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Zebrafish tox / DART</w:t>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FlyBase</w:t>
            </w:r>
          </w:p>
        </w:tc>
        <w:tc>
          <w:tcPr>
            <w:tcW w:type="dxa" w:w="5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FB2025_06</w:t>
            </w:r>
          </w:p>
        </w:tc>
      </w:tr>
      <w:tr>
        <w:tc>
          <w:tcPr>
            <w:tcW w:type="dxa" w:w="3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Pig QTL DB</w:t>
            </w:r>
          </w:p>
        </w:tc>
        <w:tc>
          <w:tcPr>
            <w:tcW w:type="dxa" w:w="58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Mini-pig tox comparator</w:t>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Comparative Toxicogenomics Database (CTD)</w:t>
            </w:r>
          </w:p>
        </w:tc>
        <w:tc>
          <w:tcPr>
            <w:tcW w:type="dxa" w:w="5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Chem-gene-disease-phenotype</w:t>
            </w:r>
          </w:p>
        </w:tc>
      </w:tr>
    </w:tbl>
    <w:p>
      <w:pPr>
        <w:spacing w:after="100"/>
      </w:pPr>
      <w:r>
        <w:t xml:space="preserve"/>
      </w:r>
    </w:p>
    <w:p>
      <w:pPr>
        <w:spacing w:after="120"/>
        <w:jc w:val="left"/>
      </w:pPr>
      <w:r>
        <w:t xml:space="preserve">All open, most CC-BY or public domain.</w:t>
      </w:r>
    </w:p>
    <w:p>
      <w:pPr>
        <w:pStyle w:val="Heading3"/>
      </w:pPr>
      <w:r>
        <w:t xml:space="preserve">6.1.3 PK / ADME animal</w:t>
      </w:r>
    </w:p>
    <w:p>
      <w:pPr>
        <w:spacing w:after="120"/>
        <w:jc w:val="left"/>
      </w:pPr>
      <w:r>
        <w:t xml:space="preserve">WHO/IPCS Inchem (PK datasets via INCHEM); EPA CvTdb v2.0 (2024) — animal in vivo cardiovascular telemetry; FDA SEND public datasets plus CDISC PHUSE Nonclinical Working Group test datasets.</w:t>
      </w:r>
    </w:p>
    <w:p>
      <w:pPr>
        <w:pStyle w:val="Heading3"/>
      </w:pPr>
      <w:r>
        <w:t xml:space="preserve">6.1.4 Imaging and histopath atlases</w:t>
      </w:r>
    </w:p>
    <w:p>
      <w:pPr>
        <w:pStyle w:val="ListParagraph"/>
        <w:numPr>
          <w:ilvl w:val="0"/>
          <w:numId w:val="2"/>
        </w:numPr>
        <w:spacing w:after="60"/>
      </w:pPr>
      <w:r>
        <w:t xml:space="preserve">Mouse Tumor Biology Database (JAX).</w:t>
      </w:r>
    </w:p>
    <w:p>
      <w:pPr>
        <w:pStyle w:val="ListParagraph"/>
        <w:numPr>
          <w:ilvl w:val="0"/>
          <w:numId w:val="2"/>
        </w:numPr>
        <w:spacing w:after="60"/>
      </w:pPr>
      <w:r>
        <w:t xml:space="preserve">INHAND — International Harmonization of Nomenclature and Diagnostic Criteria; the controlled vocabulary SEND requires for histopath findings.</w:t>
      </w:r>
    </w:p>
    <w:p>
      <w:pPr>
        <w:pStyle w:val="ListParagraph"/>
        <w:numPr>
          <w:ilvl w:val="0"/>
          <w:numId w:val="2"/>
        </w:numPr>
        <w:spacing w:after="60"/>
      </w:pPr>
      <w:r>
        <w:t xml:space="preserve">STP Open Pathology Atlas / Toxpath OpenSlide.</w:t>
      </w:r>
    </w:p>
    <w:p>
      <w:pPr>
        <w:pStyle w:val="ListParagraph"/>
        <w:numPr>
          <w:ilvl w:val="0"/>
          <w:numId w:val="2"/>
        </w:numPr>
        <w:spacing w:after="60"/>
      </w:pPr>
      <w:r>
        <w:t xml:space="preserve">Allen Mouse Brain Atlas.</w:t>
      </w:r>
    </w:p>
    <w:p>
      <w:pPr>
        <w:pStyle w:val="Heading2"/>
      </w:pPr>
      <w:r>
        <w:t xml:space="preserve">6.2 Models and computational tools</w:t>
      </w:r>
    </w:p>
    <w:p>
      <w:pPr>
        <w:pStyle w:val="Heading3"/>
      </w:pPr>
      <w:r>
        <w:t xml:space="preserve">6.2.1 Animal-to-human translation</w:t>
      </w:r>
    </w:p>
    <w:p>
      <w:pPr>
        <w:pStyle w:val="ListParagraph"/>
        <w:numPr>
          <w:ilvl w:val="0"/>
          <w:numId w:val="2"/>
        </w:numPr>
        <w:spacing w:after="60"/>
      </w:pPr>
      <w:r>
        <w:t xml:space="preserve">FDA MRSD workflow (2005, current). NOAEL → HED via BSA → safety factor → MRSD.</w:t>
      </w:r>
    </w:p>
    <w:p>
      <w:pPr>
        <w:pStyle w:val="ListParagraph"/>
        <w:numPr>
          <w:ilvl w:val="0"/>
          <w:numId w:val="2"/>
        </w:numPr>
        <w:spacing w:after="60"/>
      </w:pPr>
      <w:r>
        <w:rPr>
          <w:b/>
          <w:bCs/>
        </w:rPr>
        <w:t xml:space="preserve">httk-Animal</w:t>
      </w:r>
      <w:r>
        <w:t xml:space="preserve"> v2.3.x (2025) — high-throughput TK with rat, mouse, dog, rabbit, monkey models. GPL-3. Consumes L3 in-vitro Cl_int and Fu; emits AUC, Cmax, plasma trajectories per species.</w:t>
      </w:r>
    </w:p>
    <w:p>
      <w:pPr>
        <w:pStyle w:val="ListParagraph"/>
        <w:numPr>
          <w:ilvl w:val="0"/>
          <w:numId w:val="2"/>
        </w:numPr>
        <w:spacing w:after="60"/>
      </w:pPr>
      <w:r>
        <w:rPr>
          <w:b/>
          <w:bCs/>
        </w:rPr>
        <w:t xml:space="preserve">PK-Sim / MoBi (OSP Suite)</w:t>
      </w:r>
      <w:r>
        <w:t xml:space="preserve"> v11.x — open PBPK across mouse / rat / dog / monkey / minipig / human. GPLv2. R / Python / MATLAB toolboxes.</w:t>
      </w:r>
    </w:p>
    <w:p>
      <w:pPr>
        <w:pStyle w:val="ListParagraph"/>
        <w:numPr>
          <w:ilvl w:val="0"/>
          <w:numId w:val="2"/>
        </w:numPr>
        <w:spacing w:after="60"/>
      </w:pPr>
      <w:r>
        <w:t xml:space="preserve">GastroPlus 9.9 and Simcyp Animal v23 — commercial benchmarks; not core to the open twin.</w:t>
      </w:r>
    </w:p>
    <w:p>
      <w:pPr>
        <w:pStyle w:val="Heading3"/>
      </w:pPr>
      <w:r>
        <w:t xml:space="preserve">6.2.2 NOAEL / BMD / HED</w:t>
      </w:r>
    </w:p>
    <w:p>
      <w:pPr>
        <w:pStyle w:val="ListParagraph"/>
        <w:numPr>
          <w:ilvl w:val="0"/>
          <w:numId w:val="2"/>
        </w:numPr>
        <w:spacing w:after="60"/>
      </w:pPr>
      <w:r>
        <w:t xml:space="preserve">BMDS 3.3.2 (EPA, 2025).</w:t>
      </w:r>
    </w:p>
    <w:p>
      <w:pPr>
        <w:pStyle w:val="ListParagraph"/>
        <w:numPr>
          <w:ilvl w:val="0"/>
          <w:numId w:val="2"/>
        </w:numPr>
        <w:spacing w:after="60"/>
      </w:pPr>
      <w:r>
        <w:t xml:space="preserve">PROAST 72.0 (RIVM, 2025).</w:t>
      </w:r>
    </w:p>
    <w:p>
      <w:pPr>
        <w:pStyle w:val="ListParagraph"/>
        <w:numPr>
          <w:ilvl w:val="0"/>
          <w:numId w:val="2"/>
        </w:numPr>
        <w:spacing w:after="60"/>
      </w:pPr>
      <w:r>
        <w:t xml:space="preserve">HED conversion via BSA allometric scaling (FDA 2005); Km factors from FDA / CDER table.</w:t>
      </w:r>
    </w:p>
    <w:p>
      <w:pPr>
        <w:pStyle w:val="ListParagraph"/>
        <w:numPr>
          <w:ilvl w:val="0"/>
          <w:numId w:val="2"/>
        </w:numPr>
        <w:spacing w:after="60"/>
      </w:pPr>
      <w:r>
        <w:t xml:space="preserve">ICH Q3C / Q3D PDE calculator for impurity / elemental limits.</w:t>
      </w:r>
    </w:p>
    <w:p>
      <w:pPr>
        <w:spacing w:after="120"/>
        <w:jc w:val="left"/>
      </w:pPr>
      <w:r>
        <w:t xml:space="preserve">Consumes L3 dose-response curves and POD candidates; emits BMDL10, BMDL05, NOAEL, LOAEL, HED, PDE.</w:t>
      </w:r>
    </w:p>
    <w:p>
      <w:pPr>
        <w:pStyle w:val="Heading3"/>
      </w:pPr>
      <w:r>
        <w:t xml:space="preserve">6.2.3 Virtual control groups (VCG) and historical controls</w:t>
      </w:r>
    </w:p>
    <w:p>
      <w:pPr>
        <w:spacing w:after="120"/>
        <w:jc w:val="left"/>
      </w:pPr>
      <w:r>
        <w:t xml:space="preserve">eTRANSAFE VCG is the most mature — pooled rodent control distributions for clin-path and organ-weight endpoints. FDA CDER VCG initiative under ISTAND issued a 2024 statement of qualification interest; as of Q1 2026 VCGs are accepted in non-pivotal repeat-dose tox studies but not yet in carcinogenicity. EFPIA 3Rs VCG Working Group publishes pooled distributions on Zenodo.</w:t>
      </w:r>
    </w:p>
    <w:p>
      <w:pPr>
        <w:pStyle w:val="Heading3"/>
      </w:pPr>
      <w:r>
        <w:t xml:space="preserve">6.2.4 Survival / efficacy modelling</w:t>
      </w:r>
    </w:p>
    <w:p>
      <w:pPr>
        <w:pStyle w:val="ListParagraph"/>
        <w:numPr>
          <w:ilvl w:val="0"/>
          <w:numId w:val="2"/>
        </w:numPr>
        <w:spacing w:after="60"/>
      </w:pPr>
      <w:r>
        <w:t xml:space="preserve">lifelines 0.28 (Python, MIT).</w:t>
      </w:r>
    </w:p>
    <w:p>
      <w:pPr>
        <w:pStyle w:val="ListParagraph"/>
        <w:numPr>
          <w:ilvl w:val="0"/>
          <w:numId w:val="2"/>
        </w:numPr>
        <w:spacing w:after="60"/>
      </w:pPr>
      <w:r>
        <w:t xml:space="preserve">R `survival` 3.7 + `flexsurv` for parametric (Weibull, log-normal, Gompertz, generalised gamma).</w:t>
      </w:r>
    </w:p>
    <w:p>
      <w:pPr>
        <w:pStyle w:val="ListParagraph"/>
        <w:numPr>
          <w:ilvl w:val="0"/>
          <w:numId w:val="2"/>
        </w:numPr>
        <w:spacing w:after="60"/>
      </w:pPr>
      <w:r>
        <w:t xml:space="preserve">Stan / brms / PyMC for Bayesian dose-response and hierarchical tox models.</w:t>
      </w:r>
    </w:p>
    <w:p>
      <w:pPr>
        <w:pStyle w:val="Heading3"/>
      </w:pPr>
      <w:r>
        <w:t xml:space="preserve">6.2.5 AI for tox readouts</w:t>
      </w:r>
    </w:p>
    <w:p>
      <w:pPr>
        <w:spacing w:after="120"/>
        <w:jc w:val="left"/>
      </w:pPr>
      <w:r>
        <w:t xml:space="preserve">Pathology foundation models — UNI (MGH/Harvard, CC-BY-NC), Virchow / Virchow2 (Paige), PathChat (Mahmood Lab), Prov-GigaPath (Microsoft / Providence). Most are research-licence. Aiforia 6 and Visiopharm 2025.1 are commercial GLP / GxP-grade and the deployable inference path. DeepLIIF (open, MIT) for IHC quantitation. Internal STP / INHAND-aware NLP maps free-text histopath observations to SEND `MISTRESC` controlled terminology.</w:t>
      </w:r>
    </w:p>
    <w:p>
      <w:pPr>
        <w:pStyle w:val="Heading3"/>
      </w:pPr>
      <w:r>
        <w:t xml:space="preserve">6.2.6 Reproducibility and statistics</w:t>
      </w:r>
    </w:p>
    <w:p>
      <w:pPr>
        <w:pStyle w:val="ListParagraph"/>
        <w:numPr>
          <w:ilvl w:val="0"/>
          <w:numId w:val="2"/>
        </w:numPr>
        <w:spacing w:after="60"/>
      </w:pPr>
      <w:r>
        <w:t xml:space="preserve">ARRIVE 2.0 reporting helpers (NC3Rs).</w:t>
      </w:r>
    </w:p>
    <w:p>
      <w:pPr>
        <w:pStyle w:val="ListParagraph"/>
        <w:numPr>
          <w:ilvl w:val="0"/>
          <w:numId w:val="2"/>
        </w:numPr>
        <w:spacing w:after="60"/>
      </w:pPr>
      <w:r>
        <w:t xml:space="preserve">Experimental Design Assistant (EDA, NC3Rs) — produces a study-design diagram + power analysis + randomisation scheme, exportable as JSON for the twin's protocol manifest.</w:t>
      </w:r>
    </w:p>
    <w:p>
      <w:pPr>
        <w:pStyle w:val="ListParagraph"/>
        <w:numPr>
          <w:ilvl w:val="0"/>
          <w:numId w:val="2"/>
        </w:numPr>
        <w:spacing w:after="60"/>
      </w:pPr>
      <w:r>
        <w:t xml:space="preserve">PREPARE guidelines (Norecopa) — pre-study planning checklist consumed by the EDA-generated protocol manifest.</w:t>
      </w:r>
    </w:p>
    <w:p>
      <w:pPr>
        <w:pStyle w:val="Heading2"/>
      </w:pPr>
      <w:r>
        <w:t xml:space="preserve">6.3 Standards L4 must output in</w:t>
      </w:r>
    </w:p>
    <w:p>
      <w:pPr>
        <w:pStyle w:val="Heading3"/>
      </w:pPr>
      <w:r>
        <w:t xml:space="preserve">6.3.1 CDISC SEND — the load-bearing standard</w:t>
      </w:r>
    </w:p>
    <w:p>
      <w:pPr>
        <w:spacing w:after="120"/>
        <w:jc w:val="left"/>
      </w:pPr>
      <w:r>
        <w:t xml:space="preserve">SEND (Standard for Exchange of Nonclinical Data) is FDA-mandated under the Technical Conformance Guide for nonclinical study data submitted in IND, NDA, BLA, ANDA. Current version stack as of April 2026:</w:t>
      </w:r>
    </w:p>
    <w:p>
      <w:pPr>
        <w:pStyle w:val="ListParagraph"/>
        <w:numPr>
          <w:ilvl w:val="0"/>
          <w:numId w:val="2"/>
        </w:numPr>
        <w:spacing w:after="60"/>
      </w:pPr>
      <w:r>
        <w:t xml:space="preserve">SEND IG 3.1.1 — general toxicology (single-dose, repeat-dose, carcinogenicity).</w:t>
      </w:r>
    </w:p>
    <w:p>
      <w:pPr>
        <w:pStyle w:val="ListParagraph"/>
        <w:numPr>
          <w:ilvl w:val="0"/>
          <w:numId w:val="2"/>
        </w:numPr>
        <w:spacing w:after="60"/>
      </w:pPr>
      <w:r>
        <w:t xml:space="preserve">SEND IG-DART 1.2 — developmental and reproductive toxicology.</w:t>
      </w:r>
    </w:p>
    <w:p>
      <w:pPr>
        <w:pStyle w:val="ListParagraph"/>
        <w:numPr>
          <w:ilvl w:val="0"/>
          <w:numId w:val="2"/>
        </w:numPr>
        <w:spacing w:after="60"/>
      </w:pPr>
      <w:r>
        <w:t xml:space="preserve">SEND IG-AR 1.1 — animal-rule efficacy studies.</w:t>
      </w:r>
    </w:p>
    <w:p>
      <w:pPr>
        <w:pStyle w:val="ListParagraph"/>
        <w:numPr>
          <w:ilvl w:val="0"/>
          <w:numId w:val="2"/>
        </w:numPr>
        <w:spacing w:after="60"/>
      </w:pPr>
      <w:r>
        <w:t xml:space="preserve">SENDIG-GT 1.0 — genetic toxicology (Ames, micronucleus).</w:t>
      </w:r>
    </w:p>
    <w:p>
      <w:pPr>
        <w:pStyle w:val="ListParagraph"/>
        <w:numPr>
          <w:ilvl w:val="0"/>
          <w:numId w:val="2"/>
        </w:numPr>
        <w:spacing w:after="60"/>
      </w:pPr>
      <w:r>
        <w:t xml:space="preserve">SEND IG 3.2 — published end-2025; FDA acceptance window opens mid-2026.</w:t>
      </w:r>
    </w:p>
    <w:p>
      <w:pPr>
        <w:pStyle w:val="ListParagraph"/>
        <w:numPr>
          <w:ilvl w:val="0"/>
          <w:numId w:val="2"/>
        </w:numPr>
        <w:spacing w:after="60"/>
      </w:pPr>
      <w:r>
        <w:t xml:space="preserve">SDTM CT — quarterly NCI EVS releases; latest 2026-03-28.</w:t>
      </w:r>
    </w:p>
    <w:p>
      <w:pPr>
        <w:spacing w:after="120"/>
        <w:jc w:val="left"/>
      </w:pPr>
      <w:r>
        <w:t xml:space="preserve">Key SEND domains for L4: DM (demographics — USUBJID, SPECIES, STRAIN, SEX); EX (exposure / dosing); DS (disposition); BW / BG (body weight, gain); CL (clinical observations); LB (laboratory tests — clin path); MA / MI (macroscopic / microscopic findings, INHAND-bound); OM (organ measurements); PC / PP (PK concentrations / parameters); TF (tumour findings); CV / EG / RE (cardiovascular, ECG, respiratory); TS / TX / TE (trial summary, sets, elements); POOLDEF, RELREC. SEND 3.2 adds SR (subject responses) refinements and an ECG waveform exchange domain aligned with ICH S7B revision.</w:t>
      </w:r>
    </w:p>
    <w:p>
      <w:pPr>
        <w:spacing w:after="120"/>
        <w:jc w:val="left"/>
      </w:pPr>
      <w:r>
        <w:t xml:space="preserve">Controlled terminology: NCI EVS CDISC CT, INHAND, MedDRA-aligned where applicable. Validation via Pinnacle 21 Enterprise / Community 5.x rule packs. FDA TCG conformance must be 0 reject errors before eCTD m4.2 attaches the dataset.</w:t>
      </w:r>
    </w:p>
    <w:p>
      <w:pPr>
        <w:pStyle w:val="Heading3"/>
      </w:pPr>
      <w:r>
        <w:t xml:space="preserve">6.3.2 OECD harmonised templates (OHTs)</w:t>
      </w:r>
    </w:p>
    <w:p>
      <w:pPr>
        <w:spacing w:after="120"/>
        <w:jc w:val="left"/>
      </w:pPr>
      <w:r>
        <w:t xml:space="preserve">100+ templates for endpoint study summaries (OHT 1–113). Used for IUCLID dossier population for ECHA / REACH and OECD MAD. L4 emits OHT 70-series for repeat-dose tox, 75 for repro / dev, 76 for genetox, 77 for carci, 71 for tox-PK.</w:t>
      </w:r>
    </w:p>
    <w:p>
      <w:pPr>
        <w:pStyle w:val="Heading3"/>
      </w:pPr>
      <w:r>
        <w:t xml:space="preserve">6.3.3 ICH guidance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40"/>
            </w:pPr>
            <w:r>
              <w:rPr>
                <w:b/>
                <w:bCs/>
                <w:sz w:val="18"/>
                <w:szCs w:val="18"/>
              </w:rPr>
              <w:t xml:space="preserve">Guidance</w:t>
            </w:r>
          </w:p>
        </w:tc>
        <w:tc>
          <w:tcPr>
            <w:tcW w:type="dxa" w:w="736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40"/>
            </w:pPr>
            <w:r>
              <w:rPr>
                <w:b/>
                <w:bCs/>
                <w:sz w:val="18"/>
                <w:szCs w:val="18"/>
              </w:rPr>
              <w:t xml:space="preserve">What it requires (in L4 terms)</w:t>
            </w:r>
          </w:p>
        </w:tc>
      </w:tr>
      <w:tr>
        <w:tc>
          <w:tcPr>
            <w:tcW w:type="dxa" w:w="2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ICH M3(R2)</w:t>
            </w:r>
          </w:p>
        </w:tc>
        <w:tc>
          <w:tcPr>
            <w:tcW w:type="dxa" w:w="73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Matrix of nonclinical safety studies vs. clinical phase: single-dose tox (rodent + non-rodent), repeat-dose tox up to 9 mo non-rodent / 6 mo rodent, genotox battery, repro tox staged with clinical phase, carci for chronic indications, juvenile tox where indicated</w:t>
            </w:r>
          </w:p>
        </w:tc>
      </w:tr>
      <w:tr>
        <w:tc>
          <w:tcPr>
            <w:tcW w:type="dxa" w:w="2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ICH M7(R2)</w:t>
            </w:r>
          </w:p>
        </w:tc>
        <w:tc>
          <w:tcPr>
            <w:tcW w:type="dxa" w:w="73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DNA-reactive (mutagenic) impurities; (Q)SAR + expert review (Derek Nexus, Sarah Nexus, Leadscope) → Class 1–5 + acceptable intake</w:t>
            </w:r>
          </w:p>
        </w:tc>
      </w:tr>
      <w:tr>
        <w:tc>
          <w:tcPr>
            <w:tcW w:type="dxa" w:w="2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ICH S7A</w:t>
            </w:r>
          </w:p>
        </w:tc>
        <w:tc>
          <w:tcPr>
            <w:tcW w:type="dxa" w:w="73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Safety pharmacology core battery — CV, CNS, respiratory</w:t>
            </w:r>
          </w:p>
        </w:tc>
      </w:tr>
      <w:tr>
        <w:tc>
          <w:tcPr>
            <w:tcW w:type="dxa" w:w="2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ICH S7B(R1) Q&amp;A 2025</w:t>
            </w:r>
          </w:p>
        </w:tc>
        <w:tc>
          <w:tcPr>
            <w:tcW w:type="dxa" w:w="73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Proarrhythmia integrated risk assessment (IRA) — pulls hERG (L1), patch-clamp on Nav1.5/Cav1.2/Kv7.1/late-Na (L1), in-silico cardiomyocyte models (O'Hara-Rudy, Tomek-Rodriguez, L2), hiPSC-CM MEA (L3), in vivo telemetry (L4) into a single risk verdict</w:t>
            </w:r>
          </w:p>
        </w:tc>
      </w:tr>
      <w:tr>
        <w:tc>
          <w:tcPr>
            <w:tcW w:type="dxa" w:w="2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ICH S1B(R1)</w:t>
            </w:r>
          </w:p>
        </w:tc>
        <w:tc>
          <w:tcPr>
            <w:tcW w:type="dxa" w:w="73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Alternative carcinogenicity assessment</w:t>
            </w:r>
          </w:p>
        </w:tc>
      </w:tr>
      <w:tr>
        <w:tc>
          <w:tcPr>
            <w:tcW w:type="dxa" w:w="2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ICH S5(R3)</w:t>
            </w:r>
          </w:p>
        </w:tc>
        <w:tc>
          <w:tcPr>
            <w:tcW w:type="dxa" w:w="73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Reproductive tox; permits zebrafish embryo, mEST, ReproTracker under weight-of-evidence framework</w:t>
            </w:r>
          </w:p>
        </w:tc>
      </w:tr>
      <w:tr>
        <w:tc>
          <w:tcPr>
            <w:tcW w:type="dxa" w:w="2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ICH E14 / S7B integrated Q&amp;A</w:t>
            </w:r>
          </w:p>
        </w:tc>
        <w:tc>
          <w:tcPr>
            <w:tcW w:type="dxa" w:w="73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Reduced reliance on TQT studies when nonclinical S7B evidence (including in-silico) is robust</w:t>
            </w:r>
          </w:p>
        </w:tc>
      </w:tr>
      <w:tr>
        <w:tc>
          <w:tcPr>
            <w:tcW w:type="dxa" w:w="2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ICH Q9(R1)</w:t>
            </w:r>
          </w:p>
        </w:tc>
        <w:tc>
          <w:tcPr>
            <w:tcW w:type="dxa" w:w="73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Quality risk management — scaffolding for model lifecycle risk</w:t>
            </w:r>
          </w:p>
        </w:tc>
      </w:tr>
    </w:tbl>
    <w:p>
      <w:pPr>
        <w:spacing w:after="100"/>
      </w:pPr>
      <w:r>
        <w:t xml:space="preserve"/>
      </w:r>
    </w:p>
    <w:p>
      <w:pPr>
        <w:pStyle w:val="Heading3"/>
      </w:pPr>
      <w:r>
        <w:t xml:space="preserve">6.3.4 3Rs reporting</w:t>
      </w:r>
    </w:p>
    <w:p>
      <w:pPr>
        <w:pStyle w:val="ListParagraph"/>
        <w:numPr>
          <w:ilvl w:val="0"/>
          <w:numId w:val="2"/>
        </w:numPr>
        <w:spacing w:after="60"/>
      </w:pPr>
      <w:r>
        <w:t xml:space="preserve">ARRIVE 2.0 — Essential 10 + Recommended Set; embedded as a study-protocol attestation field.</w:t>
      </w:r>
    </w:p>
    <w:p>
      <w:pPr>
        <w:pStyle w:val="ListParagraph"/>
        <w:numPr>
          <w:ilvl w:val="0"/>
          <w:numId w:val="2"/>
        </w:numPr>
        <w:spacing w:after="60"/>
      </w:pPr>
      <w:r>
        <w:t xml:space="preserve">PREPARE — pre-study planning checklist consumed by the EDA-generated protocol manifest.</w:t>
      </w:r>
    </w:p>
    <w:p>
      <w:pPr>
        <w:pStyle w:val="Heading2"/>
      </w:pPr>
      <w:r>
        <w:t xml:space="preserve">6.4 L4 pipeline recipe</w:t>
      </w:r>
    </w:p>
    <w:p>
      <w:pPr>
        <w:pStyle w:val="Heading3"/>
      </w:pPr>
      <w:r>
        <w:t xml:space="preserve">6.4.1 Intake from L3</w:t>
      </w:r>
    </w:p>
    <w:p>
      <w:pPr>
        <w:spacing w:after="120"/>
        <w:jc w:val="left"/>
      </w:pPr>
      <w:r>
        <w:t xml:space="preserve">L4 receives the L3 graduation dossier: tissue-selectivity matrix with off-target organ flags; ex-vivo PK parameters (Cl_int hep, Fu plasma + tissue, permeability); CV liability stack (hERG IC50, multi-channel patch, hiPSC-CM MEA); predicted human PBPK + species-scaled animal PBPK priors; mechanistic hypothesis graph (target, on / off-target nodes); risk register with item-level confidence.</w:t>
      </w:r>
    </w:p>
    <w:p>
      <w:pPr>
        <w:pStyle w:val="Heading3"/>
      </w:pPr>
      <w:r>
        <w:t xml:space="preserve">6.4.2 Twin branch — simulated study design</w:t>
      </w:r>
    </w:p>
    <w:p>
      <w:pPr>
        <w:spacing w:after="120"/>
        <w:jc w:val="left"/>
      </w:pPr>
      <w:r>
        <w:t xml:space="preserve">The twin first simulates the M3(R2) study battery before any animal is touched:</w:t>
      </w:r>
    </w:p>
    <w:p>
      <w:pPr>
        <w:pStyle w:val="ListParagraph"/>
        <w:numPr>
          <w:ilvl w:val="0"/>
          <w:numId w:val="2"/>
        </w:numPr>
        <w:spacing w:after="60"/>
      </w:pPr>
      <w:r>
        <w:t xml:space="preserve">PBPK forward simulation in PK-Sim across mouse / rat / dog / minipig / cyno — establish dose ranges to bracket 1× / 3× / 10× human-equivalent exposure.</w:t>
      </w:r>
    </w:p>
    <w:p>
      <w:pPr>
        <w:pStyle w:val="ListParagraph"/>
        <w:numPr>
          <w:ilvl w:val="0"/>
          <w:numId w:val="2"/>
        </w:numPr>
        <w:spacing w:after="60"/>
      </w:pPr>
      <w:r>
        <w:t xml:space="preserve">Virtual repeat-dose tox — VCG-anchored prediction of clin-path drift, organ-weight changes; eTRANSAFE knowledge-graph similarity search seeds organ-of-concern priors.</w:t>
      </w:r>
    </w:p>
    <w:p>
      <w:pPr>
        <w:pStyle w:val="ListParagraph"/>
        <w:numPr>
          <w:ilvl w:val="0"/>
          <w:numId w:val="2"/>
        </w:numPr>
        <w:spacing w:after="60"/>
      </w:pPr>
      <w:r>
        <w:t xml:space="preserve">Virtual cardiovascular IRA — couple L1 multi-channel IC50 → O'Hara-Rudy / Tomek-Rodriguez human ventricular AP → predicted ΔAPD, ΔQTc → cross-check vs. simulated dog telemetry.</w:t>
      </w:r>
    </w:p>
    <w:p>
      <w:pPr>
        <w:pStyle w:val="ListParagraph"/>
        <w:numPr>
          <w:ilvl w:val="0"/>
          <w:numId w:val="2"/>
        </w:numPr>
        <w:spacing w:after="60"/>
      </w:pPr>
      <w:r>
        <w:t xml:space="preserve">Virtual genotox — Derek + Sarah + Leadscope ensemble; ICH M7 class assignment.</w:t>
      </w:r>
    </w:p>
    <w:p>
      <w:pPr>
        <w:pStyle w:val="ListParagraph"/>
        <w:numPr>
          <w:ilvl w:val="0"/>
          <w:numId w:val="2"/>
        </w:numPr>
        <w:spacing w:after="60"/>
      </w:pPr>
      <w:r>
        <w:t xml:space="preserve">DART read-across — eTRANSAFE + ToxRefDB analog mining.</w:t>
      </w:r>
    </w:p>
    <w:p>
      <w:pPr>
        <w:pStyle w:val="ListParagraph"/>
        <w:numPr>
          <w:ilvl w:val="0"/>
          <w:numId w:val="2"/>
        </w:numPr>
        <w:spacing w:after="60"/>
      </w:pPr>
      <w:r>
        <w:t xml:space="preserve">Carci early signal — TGx-DDI / TGx-HDACi transcriptomic biomarkers from L2 + structural alerts.</w:t>
      </w:r>
    </w:p>
    <w:p>
      <w:pPr>
        <w:spacing w:after="120"/>
        <w:jc w:val="left"/>
      </w:pPr>
      <w:r>
        <w:t xml:space="preserve">Output: a Predicted Study Outcomes Dossier with prior distributions over each SEND endpoint. This becomes the Bayesian prior for the wet study readouts.</w:t>
      </w:r>
    </w:p>
    <w:p>
      <w:pPr>
        <w:pStyle w:val="Heading3"/>
      </w:pPr>
      <w:r>
        <w:t xml:space="preserve">6.4.3 Wet branch — in vivo</w:t>
      </w:r>
    </w:p>
    <w:p>
      <w:pPr>
        <w:spacing w:after="120"/>
        <w:jc w:val="left"/>
      </w:pPr>
      <w:r>
        <w:t xml:space="preserve">Where regulatory acceptance still requires animals:</w:t>
      </w:r>
    </w:p>
    <w:p>
      <w:pPr>
        <w:pStyle w:val="ListParagraph"/>
        <w:numPr>
          <w:ilvl w:val="0"/>
          <w:numId w:val="2"/>
        </w:numPr>
        <w:spacing w:after="60"/>
      </w:pPr>
      <w:r>
        <w:t xml:space="preserve">Protocol authoring via NC3Rs EDA → randomisation, blinding, power analysis, ARRIVE 2.0 attestations, PREPARE checklist, structured protocol manifest.</w:t>
      </w:r>
    </w:p>
    <w:p>
      <w:pPr>
        <w:pStyle w:val="ListParagraph"/>
        <w:numPr>
          <w:ilvl w:val="0"/>
          <w:numId w:val="2"/>
        </w:numPr>
        <w:spacing w:after="60"/>
      </w:pPr>
      <w:r>
        <w:t xml:space="preserve">CRO routing — protocol manifest pushed to CRO LIMS via CDISC LAB or the Hakase SEND-Live adapter.</w:t>
      </w:r>
    </w:p>
    <w:p>
      <w:pPr>
        <w:pStyle w:val="ListParagraph"/>
        <w:numPr>
          <w:ilvl w:val="0"/>
          <w:numId w:val="2"/>
        </w:numPr>
        <w:spacing w:after="60"/>
      </w:pPr>
      <w:r>
        <w:t xml:space="preserve">Real-time SEND ingestion — partial SEND datasets stream back domain-by-domain; the twin updates posterior estimates and surfaces drift alerts (e.g. observed ALT distribution diverges from VCG prior at p &lt; 0.01).</w:t>
      </w:r>
    </w:p>
    <w:p>
      <w:pPr>
        <w:pStyle w:val="ListParagraph"/>
        <w:numPr>
          <w:ilvl w:val="0"/>
          <w:numId w:val="2"/>
        </w:numPr>
        <w:spacing w:after="60"/>
      </w:pPr>
      <w:r>
        <w:t xml:space="preserve">AI histopath review layer — Aiforia / Visiopharm GLP-validated quantitation supplements the GLP pathologist; INHAND-bound findings flow into MA / MI domains.</w:t>
      </w:r>
    </w:p>
    <w:p>
      <w:pPr>
        <w:pStyle w:val="ListParagraph"/>
        <w:numPr>
          <w:ilvl w:val="0"/>
          <w:numId w:val="2"/>
        </w:numPr>
        <w:spacing w:after="60"/>
      </w:pPr>
      <w:r>
        <w:t xml:space="preserve">Study report assembly per OECD GLP and FDA TCG.</w:t>
      </w:r>
    </w:p>
    <w:p>
      <w:pPr>
        <w:pStyle w:val="Heading3"/>
      </w:pPr>
      <w:r>
        <w:t xml:space="preserve">6.4.4 IND-enabling package assembly</w:t>
      </w:r>
    </w:p>
    <w:p>
      <w:pPr>
        <w:spacing w:after="120"/>
        <w:jc w:val="left"/>
      </w:pPr>
      <w:r>
        <w:t xml:space="preserve">The twin assembles a Module 4 Nonclinical bundle for eCTD:</w:t>
      </w:r>
    </w:p>
    <w:p>
      <w:pPr>
        <w:pStyle w:val="ListParagraph"/>
        <w:numPr>
          <w:ilvl w:val="0"/>
          <w:numId w:val="2"/>
        </w:numPr>
        <w:spacing w:after="60"/>
      </w:pPr>
      <w:r>
        <w:t xml:space="preserve">m4.2.1 Pharmacology — primary, secondary, safety pharm (S7A + S7B IRA verdict).</w:t>
      </w:r>
    </w:p>
    <w:p>
      <w:pPr>
        <w:pStyle w:val="ListParagraph"/>
        <w:numPr>
          <w:ilvl w:val="0"/>
          <w:numId w:val="2"/>
        </w:numPr>
        <w:spacing w:after="60"/>
      </w:pPr>
      <w:r>
        <w:t xml:space="preserve">m4.2.2 PK — single + repeat-dose, distribution, metabolism, excretion, DDI prediction.</w:t>
      </w:r>
    </w:p>
    <w:p>
      <w:pPr>
        <w:pStyle w:val="ListParagraph"/>
        <w:numPr>
          <w:ilvl w:val="0"/>
          <w:numId w:val="2"/>
        </w:numPr>
        <w:spacing w:after="60"/>
      </w:pPr>
      <w:r>
        <w:t xml:space="preserve">m4.2.3 Toxicology — single-dose, repeat-dose (rodent + non-rodent), genotox, carci (or S1B(R1) waiver), repro / dev, local tolerance, special studies.</w:t>
      </w:r>
    </w:p>
    <w:p>
      <w:pPr>
        <w:pStyle w:val="ListParagraph"/>
        <w:numPr>
          <w:ilvl w:val="0"/>
          <w:numId w:val="2"/>
        </w:numPr>
        <w:spacing w:after="60"/>
      </w:pPr>
      <w:r>
        <w:t xml:space="preserve">SEND datasets for every GLP study, Pinnacle-21 clean.</w:t>
      </w:r>
    </w:p>
    <w:p>
      <w:pPr>
        <w:pStyle w:val="ListParagraph"/>
        <w:numPr>
          <w:ilvl w:val="0"/>
          <w:numId w:val="2"/>
        </w:numPr>
        <w:spacing w:after="60"/>
      </w:pPr>
      <w:r>
        <w:t xml:space="preserve">Define-XML 2.1, study data reviewer's guide (nSDRG), trial summary (TS).</w:t>
      </w:r>
    </w:p>
    <w:p>
      <w:pPr>
        <w:pStyle w:val="ListParagraph"/>
        <w:numPr>
          <w:ilvl w:val="0"/>
          <w:numId w:val="2"/>
        </w:numPr>
        <w:spacing w:after="60"/>
      </w:pPr>
      <w:r>
        <w:t xml:space="preserve">Justification of MRSD with allometric workings — NOAEL → HED → /safety factor → MRSD chain auditable.</w:t>
      </w:r>
    </w:p>
    <w:p>
      <w:pPr>
        <w:pStyle w:val="Heading2"/>
      </w:pPr>
      <w:r>
        <w:t xml:space="preserve">6.5 L4 gaps and risks</w:t>
      </w:r>
    </w:p>
    <w:p>
      <w:pPr>
        <w:spacing w:after="120"/>
        <w:jc w:val="left"/>
      </w:pPr>
      <w:r>
        <w:t xml:space="preserve">SEND adoption variance. FDA enforces SEND for IND/NDA. EMA accepts but does not mandate. PMDA mandates SEND for J-NDA as of 2020. NMPA accepts SEND voluntarily; CDE has signalled mandatory adoption with timing slipping (target H2 2026 → likely 2027). The twin must therefore emit SEND plus legacy CRF/PDF and OECD OHTs to remain region-portable.</w:t>
      </w:r>
    </w:p>
    <w:p>
      <w:pPr>
        <w:spacing w:after="120"/>
        <w:jc w:val="left"/>
      </w:pPr>
      <w:r>
        <w:t xml:space="preserve">Virtual control group acceptance. FDA CDER's ISTAND-track qualification covers limited rodent endpoints in non-pivotal repeat-dose. VCGs are not accepted for carcinogenicity controls and not for non-rodent dog / monkey (sample size too small to pool). Hakase L4 must run VCG predictions in shadow mode alongside conventional controls until pivotal acceptance lands; the audit log must keep the two streams cleanly separable.</w:t>
      </w:r>
    </w:p>
    <w:p>
      <w:pPr>
        <w:spacing w:after="120"/>
        <w:jc w:val="left"/>
      </w:pPr>
      <w:r>
        <w:t xml:space="preserve">ICH S7B(R1) IRA wiring. The 2025 IRA finalisation re-plumbs the cardiac safety story. L1 must now emit a multi-channel profile (hERG + Nav1.5 + Cav1.2 + late-Na + Kv7.1 + Kir2.1) rather than hERG alone. L3 must emit hiPSC-CM MEA with the validated Comprehensive in vitro Proarrhythmia Assay (CiPA) endpoints. L4 must emit telemetry-derived QTc and the integrated verdict that lets E14 grant a TQT waiver. Any candidate where the IRA tiers come back inconsistent across layers must block clinical handoff regardless of MRSD math.</w:t>
      </w:r>
    </w:p>
    <w:p>
      <w:pPr>
        <w:spacing w:after="120"/>
        <w:jc w:val="left"/>
      </w:pPr>
      <w:r>
        <w:t xml:space="preserve">Foundation-model histopath in GLP. UNI / Virchow / PathChat are excellent research tools but none are 21 CFR Part 11 / GxP-validated. Deployable inference for now stays Aiforia / Visiopharm (audited) with foundation models as a second-reader assist, never primary. This will shift over 2026–2027 as Paige and partners pursue regulatory submissions.</w:t>
      </w:r>
    </w:p>
    <w:p>
      <w:pPr>
        <w:spacing w:after="120"/>
        <w:jc w:val="left"/>
      </w:pPr>
      <w:r>
        <w:t xml:space="preserve">INHAND vocabulary drift. STP releases organ-specific INHAND nomenclature periodically; SEND `MISTRESC` controlled terminology lags by 1–2 quarters. Hakase must maintain a translation table and flag findings using terms not yet in SDTM CT.</w:t>
      </w:r>
    </w:p>
    <w:p>
      <w:pPr>
        <w:spacing w:after="120"/>
        <w:jc w:val="left"/>
      </w:pPr>
      <w:r>
        <w:t xml:space="preserve">eTRANSAFE post-IMI sustainability. Long-term funding for the federated query infrastructure is uncertain past 2027. Treat eTRANSAFE-derived priors as caching-friendly snapshots, not live calls, so the twin survives a portal sunset.</w:t>
      </w:r>
    </w:p>
    <w:p>
      <w:pPr>
        <w:spacing w:after="120"/>
        <w:jc w:val="left"/>
      </w:pPr>
      <w:r>
        <w:t xml:space="preserve">3Rs compliance vs. regulator preference. Some divisions (FDA ophthalmology, for example) still prefer in vivo dog tox over justification-by-NAM stacks even where EMA would accept the NAM package. The twin's recommendation engine must flag region-specific divergence before authoring the protocol.</w:t>
      </w:r>
    </w:p>
    <w:p>
      <w:pPr>
        <w:pStyle w:val="Heading1"/>
        <w:pageBreakBefore/>
      </w:pPr>
      <w:r>
        <w:t xml:space="preserve">7. Validation and Regulatory Frameworks</w:t>
      </w:r>
    </w:p>
    <w:p>
      <w:pPr>
        <w:spacing w:after="120"/>
        <w:jc w:val="left"/>
      </w:pPr>
      <w:r>
        <w:t xml:space="preserve">This section maps the regulatory landscape that wraps the four-layer twin. For each framework: what it is, who issues it, what it requires, which Hakase layer it primarily anchors, and any 2024–2026 updates. The mapping table at the end of the section indexes everything to L1–L4 plus whole-stack.</w:t>
      </w:r>
    </w:p>
    <w:p>
      <w:pPr>
        <w:pStyle w:val="Heading2"/>
      </w:pPr>
      <w:r>
        <w:t xml:space="preserve">7.1 FDA frameworks</w:t>
      </w:r>
    </w:p>
    <w:p>
      <w:pPr>
        <w:pStyle w:val="Heading3"/>
      </w:pPr>
      <w:r>
        <w:t xml:space="preserve">7.1.1 ISTAND — Innovative Science and Technology Approaches for New Drugs</w:t>
      </w:r>
    </w:p>
    <w:p>
      <w:pPr>
        <w:spacing w:after="120"/>
        <w:jc w:val="left"/>
      </w:pPr>
      <w:r>
        <w:t xml:space="preserve">FDA CDER, launched 2020 as a pilot, formalised into the DDT umbrella thereafter. Qualification pathway for novel drug development tools that don't fit existing biomarker / COA / animal-model DDT buckets — explicitly designed for digital health technologies, AI/ML tools, organ-on-chip, complex in vitro / in silico methods. Three stages: Letter of Intent → Qualification Plan → Full Qualification Package. Each stage requires statement of context of use (COU), evidence of analytical and clinical / biological validity, a risk-based credibility argument. Anchor: primarily L2 and the integrated L1+L2 stack. The most plausible single qualification entry point for a "twin as a drug development tool."</w:t>
      </w:r>
    </w:p>
    <w:p>
      <w:pPr>
        <w:pStyle w:val="Heading3"/>
      </w:pPr>
      <w:r>
        <w:t xml:space="preserve">7.1.2 MIDD Paired Meeting Program</w:t>
      </w:r>
    </w:p>
    <w:p>
      <w:pPr>
        <w:spacing w:after="120"/>
        <w:jc w:val="left"/>
      </w:pPr>
      <w:r>
        <w:t xml:space="preserve">FDA CDER, under PDUFA VII commitments (2023–2027). Two-meeting program (Type C-like) for sponsors using model-informed approaches — PBPK, exposure-response, QSP, disease progression — in regulatory submissions. Pre-meeting briefing book describes the model, COU, V&amp;V, regulatory question. Anchor: L2 primarily and the L1 → L2 propagation. Useful for any decision the twin's outputs drive (FIH dose selection, species choice). PDUFA VII has expanded MIDD slot count year-over-year; FDA has signalled openness to AI / ML-based MIDD submissions but expects credibility evidence aligned with V&amp;V40 thinking.</w:t>
      </w:r>
    </w:p>
    <w:p>
      <w:pPr>
        <w:pStyle w:val="Heading3"/>
      </w:pPr>
      <w:r>
        <w:t xml:space="preserve">7.1.3 DDT qualification (general)</w:t>
      </w:r>
    </w:p>
    <w:p>
      <w:pPr>
        <w:spacing w:after="120"/>
        <w:jc w:val="left"/>
      </w:pPr>
      <w:r>
        <w:t xml:space="preserve">FDA CDER / CBER, 21st Century Cures Act §3011, 21 USC 360bbb-8g. Statutory qualification pathway for biomarkers, COAs, and animal models for use under the Animal Rule. Same three-stage process as ISTAND. Once qualified, the tool can be used by any sponsor for the stated COU without re-litigation. Anchor: layer-dependent. A twin-derived biomarker would go through biomarker DDT; an in-silico animal-model surrogate uses ISTAND.</w:t>
      </w:r>
    </w:p>
    <w:p>
      <w:pPr>
        <w:pStyle w:val="Heading3"/>
      </w:pPr>
      <w:r>
        <w:t xml:space="preserve">7.1.4 FDA Modernization Act 2.0 (2022) and 3.0 trajectory</w:t>
      </w:r>
    </w:p>
    <w:p>
      <w:pPr>
        <w:spacing w:after="120"/>
        <w:jc w:val="left"/>
      </w:pPr>
      <w:r>
        <w:t xml:space="preserve">Statute (Pub. L. 117-328, December 2022). Amended FD&amp;C Act §505(i) and §351(a) to remove the explicit "animal" testing requirement, replacing with "nonclinical tests or studies" — opening the door to NAMs. It does not by itself qualify any specific NAM; the burden of demonstrating sufficiency still sits with the sponsor and CDER reviewer. The 2024 NAMs roadmap-style guidance from CDER sets expectations: pair NAMs with a fit-for-purpose validation argument and, where possible, qualify under ISTAND. CBER and CVM are following with parallel positions. Modernization Act 3.0 bills are circulating (2025) but not yet law as of April 2026. Anchor: all four layers; the strongest argument is L1+L3 NAMs feeding L2 to partially displace L4.</w:t>
      </w:r>
    </w:p>
    <w:p>
      <w:pPr>
        <w:pStyle w:val="Heading3"/>
      </w:pPr>
      <w:r>
        <w:t xml:space="preserve">7.1.5 FDA AI/ML in Drug Development</w:t>
      </w:r>
    </w:p>
    <w:p>
      <w:pPr>
        <w:spacing w:after="120"/>
        <w:jc w:val="left"/>
      </w:pPr>
      <w:r>
        <w:t xml:space="preserve">2023 discussion paper ("Using Artificial Intelligence and Machine Learning in the Development of Drug and Biological Products," May 2023) — discussion paper, not guidance. 2024–2025 draft guidance ("Considerations for the Use of Artificial Intelligence to Support Regulatory Decision-Making for Drug and Biological Products," published as draft January 2025). Introduces a risk-based credibility framework explicitly modelled on ASME V&amp;V40. Seven-step process: define question of interest → COU → model risk → credibility plan → execute → assess → manage lifecycle. Treats PCCP-style (predetermined change control plan) thinking as appropriate for adaptive / learning models. Anchor: L2 directly; whole-stack indirectly because the credibility argument is system-level. Status as of April 2026: draft; comment period closed ~April 2025; final guidance expected late 2026.</w:t>
      </w:r>
    </w:p>
    <w:p>
      <w:pPr>
        <w:pStyle w:val="Heading3"/>
      </w:pPr>
      <w:r>
        <w:t xml:space="preserve">7.1.6 SEND mandate</w:t>
      </w:r>
    </w:p>
    <w:p>
      <w:pPr>
        <w:spacing w:after="120"/>
        <w:jc w:val="left"/>
      </w:pPr>
      <w:r>
        <w:t xml:space="preserve">See §6.3.1. Mandatory for nonclinical study data submitted to FDA in INDs / NDAs / BLAs for studies starting after staged effective dates (originally December 2016 for NDAs/BLAs, December 2017 for INDs). SENDIG v3.1.1 broadly in production; v3.1.2 / v4.0 work ongoing. As of April 2026, FDA Data Standards Catalog should be checked for the currently-required version. Anchor: L4.</w:t>
      </w:r>
    </w:p>
    <w:p>
      <w:pPr>
        <w:pStyle w:val="Heading3"/>
      </w:pPr>
      <w:r>
        <w:t xml:space="preserve">7.1.7 ICH S7B Q&amp;A (2022)</w:t>
      </w:r>
    </w:p>
    <w:p>
      <w:pPr>
        <w:spacing w:after="120"/>
        <w:jc w:val="left"/>
      </w:pPr>
      <w:r>
        <w:t xml:space="preserve">Operationalises the integrated risk assessment combining hERG (with specific protocol elements), in vivo QT, and in silico models. Anchor: L1 (hERG) and L2 (in-silico proarrhythmia, e.g. CiPA-aligned models). The CiPA initiative's myocyte-level models (O'Hara-Rudy variants) are the recommended in-silico backbone. The S7B(R1) finalisation in 2025 (Q1A) extends this to multi-channel patch + iPSC-CM MEA (L3) + in vivo telemetry (L4) for the integrated verdict.</w:t>
      </w:r>
    </w:p>
    <w:p>
      <w:pPr>
        <w:pStyle w:val="Heading2"/>
      </w:pPr>
      <w:r>
        <w:t xml:space="preserve">7.2 EMA / EU frameworks</w:t>
      </w:r>
    </w:p>
    <w:p>
      <w:pPr>
        <w:spacing w:after="120"/>
        <w:jc w:val="left"/>
      </w:pPr>
      <w:r>
        <w:t xml:space="preserve">EMA "Qualification of novel methodologies for medicine development" via CHMP's SAWP — two outputs (Qualification Advice, confidential / sponsor-specific; Qualification Opinion, public). Mirror to FDA ISTAND / MIDD; PBPK and disease-progression models remain dominant in published Opinions. AI-specific qualifications align with the 2024 reflection paper.</w:t>
      </w:r>
    </w:p>
    <w:p>
      <w:pPr>
        <w:spacing w:after="120"/>
        <w:jc w:val="left"/>
      </w:pPr>
      <w:r>
        <w:t xml:space="preserve">EURL ECVAM (EU Reference Laboratory for alternatives to animal testing) — runs validation studies for NAMs and recommends test methods to OECD for Test Guideline adoption. Modular validation (relevance, reliability, reproducibility) leading to ESAC peer review. Anchor: L1.</w:t>
      </w:r>
    </w:p>
    <w:p>
      <w:pPr>
        <w:spacing w:after="120"/>
        <w:jc w:val="left"/>
      </w:pPr>
      <w:r>
        <w:t xml:space="preserve">ECHA / REACH NAMs — REACH requires NAMs as the default for many endpoints (read-across, QSAR, in vitro). Less directly relevant for pharmaceuticals but precedential — the most mature regulatory ecosystem for NAM acceptance. Anchor: L1 + L2 (precedent).</w:t>
      </w:r>
    </w:p>
    <w:p>
      <w:pPr>
        <w:spacing w:after="120"/>
        <w:jc w:val="left"/>
      </w:pPr>
      <w:r>
        <w:t xml:space="preserve">EU Parliament 2021 resolution P9_TA(2021)0387 on accelerating the transition to innovation without animal testing — calls on the Commission for an EU-wide action plan, milestones, and funding. Strategic / policy tailwind, not a direct compliance instrument.</w:t>
      </w:r>
    </w:p>
    <w:p>
      <w:pPr>
        <w:spacing w:after="120"/>
        <w:jc w:val="left"/>
      </w:pPr>
      <w:r>
        <w:t xml:space="preserve">EMA Reflection Paper on AI in Medicinal Product Lifecycle — finalised September 2024 — covers discovery, nonclinical, clinical, manufacturing, pharmacovigilance. Risk-based; high-risk AI uses (generating nonclinical evidence, dosing) require Scientific Advice / Qualification engagement. Anchor: L2 directly; confirms EMA expects formal engagement when AI substitutes for or strongly informs nonclinical evidence.</w:t>
      </w:r>
    </w:p>
    <w:p>
      <w:pPr>
        <w:pStyle w:val="Heading2"/>
      </w:pPr>
      <w:r>
        <w:t xml:space="preserve">7.3 ICH guidance</w:t>
      </w:r>
    </w:p>
    <w:p>
      <w:pPr>
        <w:spacing w:after="120"/>
        <w:jc w:val="left"/>
      </w:pPr>
      <w:r>
        <w:t xml:space="preserve">M3(R2) — Nonclinical Safety Studies (2009, current). Defines duration of repeat-dose tox required for phase-specific clinical trials, FIH dose support, repro tox staging. Anchor: L4.</w:t>
      </w:r>
    </w:p>
    <w:p>
      <w:pPr>
        <w:spacing w:after="120"/>
        <w:jc w:val="left"/>
      </w:pPr>
      <w:r>
        <w:t xml:space="preserve">M7(R2) — Mutagenic Impurities (R2 step 4, 2023). Permits two complementary (Q)SAR methodologies — one expert rule-based (Derek / Sarah, Leadscope) and one statistical (CASE Ultra, VEGA) — to predict bacterial mutagenicity in lieu of an Ames assay for impurity classification (Class 5). Expert review can override. Anchor: L2. The clearest ICH precedent for "in silico replaces a wet-lab assay" — Hakase should treat M7(R2) as the model citizen example for credibility framing.</w:t>
      </w:r>
    </w:p>
    <w:p>
      <w:pPr>
        <w:spacing w:after="120"/>
        <w:jc w:val="left"/>
      </w:pPr>
      <w:r>
        <w:t xml:space="preserve">S7B + 2022 Q&amp;A — see §7.1.7 and §6.3.3.</w:t>
      </w:r>
    </w:p>
    <w:p>
      <w:pPr>
        <w:spacing w:after="120"/>
        <w:jc w:val="left"/>
      </w:pPr>
      <w:r>
        <w:t xml:space="preserve">S5(R3) — Reproductive Toxicology (Step 4, 2020). Permits alternative assays (zebrafish embryo, mEST, ReproTracker) under a weight-of-evidence framework, especially for hazard ID prior to definitive studies. Anchor: L1 NAM + L2 read-across.</w:t>
      </w:r>
    </w:p>
    <w:p>
      <w:pPr>
        <w:spacing w:after="120"/>
        <w:jc w:val="left"/>
      </w:pPr>
      <w:r>
        <w:t xml:space="preserve">E14 / S7B integrated approach — pair of Q&amp;A (2022) operationalises an integrated nonclinical-clinical proarrhythmia assessment, allowing reduced reliance on TQT studies when nonclinical evidence (including in-silico) is robust.</w:t>
      </w:r>
    </w:p>
    <w:p>
      <w:pPr>
        <w:spacing w:after="120"/>
        <w:jc w:val="left"/>
      </w:pPr>
      <w:r>
        <w:t xml:space="preserve">Q9(R1) — Quality Risk Management (Step 4, 2023). Adds explicit text on subjectivity, formality of QRM, risk-based decision-making. Cross-cutting; provides the QRM scaffolding for model lifecycle risk.</w:t>
      </w:r>
    </w:p>
    <w:p>
      <w:pPr>
        <w:pStyle w:val="Heading2"/>
      </w:pPr>
      <w:r>
        <w:t xml:space="preserve">7.4 OECD</w:t>
      </w:r>
    </w:p>
    <w:p>
      <w:pPr>
        <w:spacing w:after="120"/>
        <w:jc w:val="left"/>
      </w:pPr>
      <w:r>
        <w:t xml:space="preserve">OECD Principles for (Q)SAR Validation (2007, ratified at the 37th Joint Meeting). The five principles: (1) defined endpoint, (2) unambiguous algorithm, (3) defined domain of applicability, (4) appropriate measures of goodness-of-fit / robustness / predictivity, (5) mechanistic interpretation if possible. Anchor: L2. Every L2 model artifact should ship with a QMRF (QSAR Model Reporting Format) document keyed to these five principles.</w:t>
      </w:r>
    </w:p>
    <w:p>
      <w:pPr>
        <w:spacing w:after="120"/>
        <w:jc w:val="left"/>
      </w:pPr>
      <w:r>
        <w:t xml:space="preserve">OECD Defined Approaches for Skin Sensitization — Guideline 497 (the harmonised DA) with GD 286 supporting guidance (2021). The "2o3" and "ITSv1/v2" defined approaches combine OECD TG 442C/D/E outputs by a fixed algorithm. The template for "stack of NAMs + fixed integration rule = regulatory test method." Hakase's L1 → L2 integration argument should be modelled on this pattern.</w:t>
      </w:r>
    </w:p>
    <w:p>
      <w:pPr>
        <w:spacing w:after="120"/>
        <w:jc w:val="left"/>
      </w:pPr>
      <w:r>
        <w:t xml:space="preserve">OECD AOP-Wiki / AOP framework — Adverse Outcome Pathway (molecular initiating event → key events → adverse outcome). Each AOP and KE is OECD-endorsed when accepted. Cross-cutting mechanistic backbone for L1 → L4 reasoning. Every twin prediction should be mappable to an AOP (or candidate AOP) — this is what makes the credibility argument transportable across regulators.</w:t>
      </w:r>
    </w:p>
    <w:p>
      <w:pPr>
        <w:spacing w:after="120"/>
        <w:jc w:val="left"/>
      </w:pPr>
      <w:r>
        <w:t xml:space="preserve">NAM-friendly Test Guidelines — TG 442C (DPRA — peptide reactivity), TG 442D (KeratinoSens), TG 442E (h-CLAT, U-SENS, IL-8 Luc), TG 487 (in vitro micronucleus), TG 490 (TK gene mutation), TG 491 / 492 (ocular), TG 439 (skin irritation). Anchor: L1.</w:t>
      </w:r>
    </w:p>
    <w:p>
      <w:pPr>
        <w:pStyle w:val="Heading2"/>
      </w:pPr>
      <w:r>
        <w:t xml:space="preserve">7.5 Data and computational standards</w:t>
      </w:r>
    </w:p>
    <w:p>
      <w:pPr>
        <w:pStyle w:val="ListParagraph"/>
        <w:numPr>
          <w:ilvl w:val="0"/>
          <w:numId w:val="2"/>
        </w:numPr>
        <w:spacing w:after="60"/>
      </w:pPr>
      <w:r>
        <w:rPr>
          <w:b/>
          <w:bCs/>
        </w:rPr>
        <w:t xml:space="preserve">CDISC SEND</w:t>
      </w:r>
      <w:r>
        <w:t xml:space="preserve"> — see §6.3.1.</w:t>
      </w:r>
    </w:p>
    <w:p>
      <w:pPr>
        <w:pStyle w:val="ListParagraph"/>
        <w:numPr>
          <w:ilvl w:val="0"/>
          <w:numId w:val="2"/>
        </w:numPr>
        <w:spacing w:after="60"/>
      </w:pPr>
      <w:r>
        <w:rPr>
          <w:b/>
          <w:bCs/>
        </w:rPr>
        <w:t xml:space="preserve">CDISC SDTM / ADaM</w:t>
      </w:r>
      <w:r>
        <w:t xml:space="preserve"> — clinical-side; the handoff target. When twin output flows into Clinical for IND / CTA support, boundary artifacts must be SDTM / ADaM-conformant.</w:t>
      </w:r>
    </w:p>
    <w:p>
      <w:pPr>
        <w:pStyle w:val="ListParagraph"/>
        <w:numPr>
          <w:ilvl w:val="0"/>
          <w:numId w:val="2"/>
        </w:numPr>
        <w:spacing w:after="60"/>
      </w:pPr>
      <w:r>
        <w:rPr>
          <w:b/>
          <w:bCs/>
        </w:rPr>
        <w:t xml:space="preserve">HL7 FHIR</w:t>
      </w:r>
      <w:r>
        <w:t xml:space="preserve"> — clinical-side, real-world / EHR boundary. R5 stable; R6 in active ballot through 2026. Relevant only at the Clinical handoff for retrospective cohort enrichment of pre-clinical → clinical translation studies.</w:t>
      </w:r>
    </w:p>
    <w:p>
      <w:pPr>
        <w:pStyle w:val="ListParagraph"/>
        <w:numPr>
          <w:ilvl w:val="0"/>
          <w:numId w:val="2"/>
        </w:numPr>
        <w:spacing w:after="60"/>
      </w:pPr>
      <w:r>
        <w:rPr>
          <w:b/>
          <w:bCs/>
        </w:rPr>
        <w:t xml:space="preserve">FAIR-by-design (operational)</w:t>
      </w:r>
      <w:r>
        <w:t xml:space="preserve"> — for a twin: every model artifact, dataset, and run gets a persistent identifier (DOI / internal PURL) and rich metadata (DCAT, schema.org/Dataset); programmatic API with auth; data and metadata persist even if the artifact is deprecated; community vocabularies (UMLS, MeSH, ChEBI, UniProt, ChEMBL, CDISC CT, OBO Foundry, QMRF); license, provenance (PROV-O), versioning (semver for models, dataset DOI versioning). Operationally: every twin run is a manifest (inputs + model versions + parameter set + outputs + provenance) that can be re-executed.</w:t>
      </w:r>
    </w:p>
    <w:p>
      <w:pPr>
        <w:pStyle w:val="ListParagraph"/>
        <w:numPr>
          <w:ilvl w:val="0"/>
          <w:numId w:val="2"/>
        </w:numPr>
        <w:spacing w:after="60"/>
      </w:pPr>
      <w:r>
        <w:rPr>
          <w:b/>
          <w:bCs/>
        </w:rPr>
        <w:t xml:space="preserve">Good Machine Learning Practice (GMLP)</w:t>
      </w:r>
      <w:r>
        <w:t xml:space="preserve"> — FDA + Health Canada + MHRA, joint guiding principles first published October 2021 (10 principles); transparency-focused supplementary set issued June 2024. Cross-cutting; conceptually L2.</w:t>
      </w:r>
    </w:p>
    <w:p>
      <w:pPr>
        <w:pStyle w:val="Heading2"/>
      </w:pPr>
      <w:r>
        <w:t xml:space="preserve">7.6 Computer-system and model validation</w:t>
      </w:r>
    </w:p>
    <w:p>
      <w:pPr>
        <w:spacing w:after="120"/>
        <w:jc w:val="left"/>
      </w:pPr>
      <w:r>
        <w:t xml:space="preserve">GAMP 5 (2nd ed., 2022) — ISPE. Explicit incorporation of AI / ML, agile, cloud, and critical thinking; retains category 1–5 software classification (category 4-config and 5-custom most relevant for a twin platform). Anchor: whole platform.</w:t>
      </w:r>
    </w:p>
    <w:p>
      <w:pPr>
        <w:spacing w:after="120"/>
        <w:jc w:val="left"/>
      </w:pPr>
      <w:r>
        <w:t xml:space="preserve">21 CFR Part 11 — FDA. Electronic records / electronic signatures controls — audit trails, access controls, validation of the system that produces the records, copies of records for inspection. Applies whenever the twin produces records that substitute for paper in a GxP context. Anchor: L4 directly (GLP-regulated nonclinical records); good practice to apply platform-wide.</w:t>
      </w:r>
    </w:p>
    <w:p>
      <w:pPr>
        <w:spacing w:after="120"/>
        <w:jc w:val="left"/>
      </w:pPr>
      <w:r>
        <w:t xml:space="preserve">GxP — GLP at L4 (OECD GLP Principles + 21 CFR Part 58). Definitive nonclinical safety studies must run under GLP. The twin's L4 module — when used to design, conduct, or analyse a GLP study, or to substitute for one — pulls into GLP scope. Test-facility status, study director, QAU, archival.</w:t>
      </w:r>
    </w:p>
    <w:p>
      <w:pPr>
        <w:spacing w:after="120"/>
        <w:jc w:val="left"/>
      </w:pPr>
      <w:r>
        <w:t xml:space="preserve">ASME V&amp;V40-2018 — risk-informed credibility framework. Two axes: model influence × decision consequence → model risk → credibility evidence required (verification, validation, applicability assessment). FDA's 2024–2025 AI draft guidance and the broader MIDD community have adopted V&amp;V40 as the de facto credibility scaffold for in silico tools in drug development, even though it was authored for devices. Anchor: L2 directly; architecture for the whole twin's credibility argument.</w:t>
      </w:r>
    </w:p>
    <w:p>
      <w:pPr>
        <w:pStyle w:val="Heading2"/>
      </w:pPr>
      <w:r>
        <w:t xml:space="preserve">7.7 Framework → layer mapping</w:t>
      </w:r>
    </w:p>
    <w:p>
      <w:pPr>
        <w:spacing w:after="120"/>
        <w:jc w:val="left"/>
      </w:pPr>
      <w:r>
        <w:t xml:space="preserve">● = primary anchor, ◐ = secondary / partial.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800"/>
        <w:gridCol w:w="800"/>
        <w:gridCol w:w="800"/>
        <w:gridCol w:w="800"/>
        <w:gridCol w:w="2660"/>
      </w:tblGrid>
      <w:tr>
        <w:trPr>
          <w:tblHeader/>
        </w:trPr>
        <w:tc>
          <w:tcPr>
            <w:tcW w:type="dxa" w:w="35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40"/>
            </w:pPr>
            <w:r>
              <w:rPr>
                <w:b/>
                <w:bCs/>
                <w:sz w:val="18"/>
                <w:szCs w:val="18"/>
              </w:rPr>
              <w:t xml:space="preserve">Framework</w:t>
            </w:r>
          </w:p>
        </w:tc>
        <w:tc>
          <w:tcPr>
            <w:tcW w:type="dxa" w:w="8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40"/>
            </w:pPr>
            <w:r>
              <w:rPr>
                <w:b/>
                <w:bCs/>
                <w:sz w:val="18"/>
                <w:szCs w:val="18"/>
              </w:rPr>
              <w:t xml:space="preserve">L1</w:t>
            </w:r>
          </w:p>
        </w:tc>
        <w:tc>
          <w:tcPr>
            <w:tcW w:type="dxa" w:w="8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40"/>
            </w:pPr>
            <w:r>
              <w:rPr>
                <w:b/>
                <w:bCs/>
                <w:sz w:val="18"/>
                <w:szCs w:val="18"/>
              </w:rPr>
              <w:t xml:space="preserve">L2</w:t>
            </w:r>
          </w:p>
        </w:tc>
        <w:tc>
          <w:tcPr>
            <w:tcW w:type="dxa" w:w="8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40"/>
            </w:pPr>
            <w:r>
              <w:rPr>
                <w:b/>
                <w:bCs/>
                <w:sz w:val="18"/>
                <w:szCs w:val="18"/>
              </w:rPr>
              <w:t xml:space="preserve">L3</w:t>
            </w:r>
          </w:p>
        </w:tc>
        <w:tc>
          <w:tcPr>
            <w:tcW w:type="dxa" w:w="8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40"/>
            </w:pPr>
            <w:r>
              <w:rPr>
                <w:b/>
                <w:bCs/>
                <w:sz w:val="18"/>
                <w:szCs w:val="18"/>
              </w:rPr>
              <w:t xml:space="preserve">L4</w:t>
            </w:r>
          </w:p>
        </w:tc>
        <w:tc>
          <w:tcPr>
            <w:tcW w:type="dxa" w:w="266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40"/>
            </w:pPr>
            <w:r>
              <w:rPr>
                <w:b/>
                <w:bCs/>
                <w:sz w:val="18"/>
                <w:szCs w:val="18"/>
              </w:rPr>
              <w:t xml:space="preserve">Whole stack</w:t>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FDA ISTAND</w:t>
            </w:r>
          </w:p>
        </w:tc>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w:t>
            </w:r>
          </w:p>
        </w:tc>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w:t>
            </w:r>
          </w:p>
        </w:tc>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w:t>
            </w:r>
          </w:p>
        </w:tc>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
            </w:r>
          </w:p>
        </w:tc>
        <w:tc>
          <w:tcPr>
            <w:tcW w:type="dxa" w:w="2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w:t>
            </w:r>
          </w:p>
        </w:tc>
      </w:tr>
      <w:tr>
        <w:tc>
          <w:tcPr>
            <w:tcW w:type="dxa" w:w="3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FDA MIDD Paired Meeting</w:t>
            </w:r>
          </w:p>
        </w:tc>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
            </w:r>
          </w:p>
        </w:tc>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w:t>
            </w:r>
          </w:p>
        </w:tc>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
            </w:r>
          </w:p>
        </w:tc>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
            </w:r>
          </w:p>
        </w:tc>
        <w:tc>
          <w:tcPr>
            <w:tcW w:type="dxa" w:w="26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w:t>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FDA DDT (biomarker / COA)</w:t>
            </w:r>
          </w:p>
        </w:tc>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w:t>
            </w:r>
          </w:p>
        </w:tc>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w:t>
            </w:r>
          </w:p>
        </w:tc>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w:t>
            </w:r>
          </w:p>
        </w:tc>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w:t>
            </w:r>
          </w:p>
        </w:tc>
        <w:tc>
          <w:tcPr>
            <w:tcW w:type="dxa" w:w="2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
            </w:r>
          </w:p>
        </w:tc>
      </w:tr>
      <w:tr>
        <w:tc>
          <w:tcPr>
            <w:tcW w:type="dxa" w:w="3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FDA Modernization Act 2.0</w:t>
            </w:r>
          </w:p>
        </w:tc>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w:t>
            </w:r>
          </w:p>
        </w:tc>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w:t>
            </w:r>
          </w:p>
        </w:tc>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w:t>
            </w:r>
          </w:p>
        </w:tc>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w:t>
            </w:r>
          </w:p>
        </w:tc>
        <w:tc>
          <w:tcPr>
            <w:tcW w:type="dxa" w:w="26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w:t>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FDA AI Draft Guidance (2024/25)</w:t>
            </w:r>
          </w:p>
        </w:tc>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
            </w:r>
          </w:p>
        </w:tc>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w:t>
            </w:r>
          </w:p>
        </w:tc>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
            </w:r>
          </w:p>
        </w:tc>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
            </w:r>
          </w:p>
        </w:tc>
        <w:tc>
          <w:tcPr>
            <w:tcW w:type="dxa" w:w="2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w:t>
            </w:r>
          </w:p>
        </w:tc>
      </w:tr>
      <w:tr>
        <w:tc>
          <w:tcPr>
            <w:tcW w:type="dxa" w:w="3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SEND mandate</w:t>
            </w:r>
          </w:p>
        </w:tc>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
            </w:r>
          </w:p>
        </w:tc>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
            </w:r>
          </w:p>
        </w:tc>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
            </w:r>
          </w:p>
        </w:tc>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w:t>
            </w:r>
          </w:p>
        </w:tc>
        <w:tc>
          <w:tcPr>
            <w:tcW w:type="dxa" w:w="26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ICH S7B + 2022 Q&amp;A</w:t>
            </w:r>
          </w:p>
        </w:tc>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w:t>
            </w:r>
          </w:p>
        </w:tc>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w:t>
            </w:r>
          </w:p>
        </w:tc>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w:t>
            </w:r>
          </w:p>
        </w:tc>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w:t>
            </w:r>
          </w:p>
        </w:tc>
        <w:tc>
          <w:tcPr>
            <w:tcW w:type="dxa" w:w="2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
            </w:r>
          </w:p>
        </w:tc>
      </w:tr>
      <w:tr>
        <w:tc>
          <w:tcPr>
            <w:tcW w:type="dxa" w:w="3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ICH S7B(R1) IRA 2025</w:t>
            </w:r>
          </w:p>
        </w:tc>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w:t>
            </w:r>
          </w:p>
        </w:tc>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w:t>
            </w:r>
          </w:p>
        </w:tc>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w:t>
            </w:r>
          </w:p>
        </w:tc>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w:t>
            </w:r>
          </w:p>
        </w:tc>
        <w:tc>
          <w:tcPr>
            <w:tcW w:type="dxa" w:w="26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w:t>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EMA Qualification of Novel Methods</w:t>
            </w:r>
          </w:p>
        </w:tc>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w:t>
            </w:r>
          </w:p>
        </w:tc>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w:t>
            </w:r>
          </w:p>
        </w:tc>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w:t>
            </w:r>
          </w:p>
        </w:tc>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
            </w:r>
          </w:p>
        </w:tc>
        <w:tc>
          <w:tcPr>
            <w:tcW w:type="dxa" w:w="2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w:t>
            </w:r>
          </w:p>
        </w:tc>
      </w:tr>
      <w:tr>
        <w:tc>
          <w:tcPr>
            <w:tcW w:type="dxa" w:w="3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EURL ECVAM</w:t>
            </w:r>
          </w:p>
        </w:tc>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w:t>
            </w:r>
          </w:p>
        </w:tc>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
            </w:r>
          </w:p>
        </w:tc>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w:t>
            </w:r>
          </w:p>
        </w:tc>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
            </w:r>
          </w:p>
        </w:tc>
        <w:tc>
          <w:tcPr>
            <w:tcW w:type="dxa" w:w="26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ECHA / REACH NAMs</w:t>
            </w:r>
          </w:p>
        </w:tc>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w:t>
            </w:r>
          </w:p>
        </w:tc>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w:t>
            </w:r>
          </w:p>
        </w:tc>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
            </w:r>
          </w:p>
        </w:tc>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
            </w:r>
          </w:p>
        </w:tc>
        <w:tc>
          <w:tcPr>
            <w:tcW w:type="dxa" w:w="2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(precedent)</w:t>
            </w:r>
          </w:p>
        </w:tc>
      </w:tr>
      <w:tr>
        <w:tc>
          <w:tcPr>
            <w:tcW w:type="dxa" w:w="3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ICH M3(R2)</w:t>
            </w:r>
          </w:p>
        </w:tc>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
            </w:r>
          </w:p>
        </w:tc>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
            </w:r>
          </w:p>
        </w:tc>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
            </w:r>
          </w:p>
        </w:tc>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w:t>
            </w:r>
          </w:p>
        </w:tc>
        <w:tc>
          <w:tcPr>
            <w:tcW w:type="dxa" w:w="26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ICH M7(R2)</w:t>
            </w:r>
          </w:p>
        </w:tc>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
            </w:r>
          </w:p>
        </w:tc>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w:t>
            </w:r>
          </w:p>
        </w:tc>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
            </w:r>
          </w:p>
        </w:tc>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
            </w:r>
          </w:p>
        </w:tc>
        <w:tc>
          <w:tcPr>
            <w:tcW w:type="dxa" w:w="2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
            </w:r>
          </w:p>
        </w:tc>
      </w:tr>
      <w:tr>
        <w:tc>
          <w:tcPr>
            <w:tcW w:type="dxa" w:w="3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ICH S5(R3)</w:t>
            </w:r>
          </w:p>
        </w:tc>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w:t>
            </w:r>
          </w:p>
        </w:tc>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w:t>
            </w:r>
          </w:p>
        </w:tc>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
            </w:r>
          </w:p>
        </w:tc>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w:t>
            </w:r>
          </w:p>
        </w:tc>
        <w:tc>
          <w:tcPr>
            <w:tcW w:type="dxa" w:w="26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ICH E14 / S7B integrated</w:t>
            </w:r>
          </w:p>
        </w:tc>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w:t>
            </w:r>
          </w:p>
        </w:tc>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w:t>
            </w:r>
          </w:p>
        </w:tc>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
            </w:r>
          </w:p>
        </w:tc>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
            </w:r>
          </w:p>
        </w:tc>
        <w:tc>
          <w:tcPr>
            <w:tcW w:type="dxa" w:w="2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w:t>
            </w:r>
          </w:p>
        </w:tc>
      </w:tr>
      <w:tr>
        <w:tc>
          <w:tcPr>
            <w:tcW w:type="dxa" w:w="3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ICH Q9(R1)</w:t>
            </w:r>
          </w:p>
        </w:tc>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
            </w:r>
          </w:p>
        </w:tc>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
            </w:r>
          </w:p>
        </w:tc>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
            </w:r>
          </w:p>
        </w:tc>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
            </w:r>
          </w:p>
        </w:tc>
        <w:tc>
          <w:tcPr>
            <w:tcW w:type="dxa" w:w="26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w:t>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OECD QSAR 5 principles</w:t>
            </w:r>
          </w:p>
        </w:tc>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
            </w:r>
          </w:p>
        </w:tc>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w:t>
            </w:r>
          </w:p>
        </w:tc>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
            </w:r>
          </w:p>
        </w:tc>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
            </w:r>
          </w:p>
        </w:tc>
        <w:tc>
          <w:tcPr>
            <w:tcW w:type="dxa" w:w="2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
            </w:r>
          </w:p>
        </w:tc>
      </w:tr>
      <w:tr>
        <w:tc>
          <w:tcPr>
            <w:tcW w:type="dxa" w:w="3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OECD GD 286 / TG 497</w:t>
            </w:r>
          </w:p>
        </w:tc>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w:t>
            </w:r>
          </w:p>
        </w:tc>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w:t>
            </w:r>
          </w:p>
        </w:tc>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
            </w:r>
          </w:p>
        </w:tc>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
            </w:r>
          </w:p>
        </w:tc>
        <w:tc>
          <w:tcPr>
            <w:tcW w:type="dxa" w:w="26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(template)</w:t>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OECD AOP-Wiki</w:t>
            </w:r>
          </w:p>
        </w:tc>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w:t>
            </w:r>
          </w:p>
        </w:tc>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w:t>
            </w:r>
          </w:p>
        </w:tc>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w:t>
            </w:r>
          </w:p>
        </w:tc>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w:t>
            </w:r>
          </w:p>
        </w:tc>
        <w:tc>
          <w:tcPr>
            <w:tcW w:type="dxa" w:w="2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w:t>
            </w:r>
          </w:p>
        </w:tc>
      </w:tr>
      <w:tr>
        <w:tc>
          <w:tcPr>
            <w:tcW w:type="dxa" w:w="3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OECD TG 442C/D/E, 487, 490</w:t>
            </w:r>
          </w:p>
        </w:tc>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w:t>
            </w:r>
          </w:p>
        </w:tc>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
            </w:r>
          </w:p>
        </w:tc>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
            </w:r>
          </w:p>
        </w:tc>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
            </w:r>
          </w:p>
        </w:tc>
        <w:tc>
          <w:tcPr>
            <w:tcW w:type="dxa" w:w="26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CDISC SEND</w:t>
            </w:r>
          </w:p>
        </w:tc>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
            </w:r>
          </w:p>
        </w:tc>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
            </w:r>
          </w:p>
        </w:tc>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
            </w:r>
          </w:p>
        </w:tc>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w:t>
            </w:r>
          </w:p>
        </w:tc>
        <w:tc>
          <w:tcPr>
            <w:tcW w:type="dxa" w:w="2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
            </w:r>
          </w:p>
        </w:tc>
      </w:tr>
      <w:tr>
        <w:tc>
          <w:tcPr>
            <w:tcW w:type="dxa" w:w="3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FAIR-by-design</w:t>
            </w:r>
          </w:p>
        </w:tc>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
            </w:r>
          </w:p>
        </w:tc>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
            </w:r>
          </w:p>
        </w:tc>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
            </w:r>
          </w:p>
        </w:tc>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
            </w:r>
          </w:p>
        </w:tc>
        <w:tc>
          <w:tcPr>
            <w:tcW w:type="dxa" w:w="26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w:t>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GMLP (2021 + 2024)</w:t>
            </w:r>
          </w:p>
        </w:tc>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
            </w:r>
          </w:p>
        </w:tc>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w:t>
            </w:r>
          </w:p>
        </w:tc>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
            </w:r>
          </w:p>
        </w:tc>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
            </w:r>
          </w:p>
        </w:tc>
        <w:tc>
          <w:tcPr>
            <w:tcW w:type="dxa" w:w="2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w:t>
            </w:r>
          </w:p>
        </w:tc>
      </w:tr>
      <w:tr>
        <w:tc>
          <w:tcPr>
            <w:tcW w:type="dxa" w:w="3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GAMP 5 (2nd ed., 2022)</w:t>
            </w:r>
          </w:p>
        </w:tc>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
            </w:r>
          </w:p>
        </w:tc>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
            </w:r>
          </w:p>
        </w:tc>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
            </w:r>
          </w:p>
        </w:tc>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
            </w:r>
          </w:p>
        </w:tc>
        <w:tc>
          <w:tcPr>
            <w:tcW w:type="dxa" w:w="26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w:t>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21 CFR Part 11</w:t>
            </w:r>
          </w:p>
        </w:tc>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w:t>
            </w:r>
          </w:p>
        </w:tc>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w:t>
            </w:r>
          </w:p>
        </w:tc>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w:t>
            </w:r>
          </w:p>
        </w:tc>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w:t>
            </w:r>
          </w:p>
        </w:tc>
        <w:tc>
          <w:tcPr>
            <w:tcW w:type="dxa" w:w="2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w:t>
            </w:r>
          </w:p>
        </w:tc>
      </w:tr>
      <w:tr>
        <w:tc>
          <w:tcPr>
            <w:tcW w:type="dxa" w:w="3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GLP (OECD / 21 CFR 58)</w:t>
            </w:r>
          </w:p>
        </w:tc>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w:t>
            </w:r>
          </w:p>
        </w:tc>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
            </w:r>
          </w:p>
        </w:tc>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w:t>
            </w:r>
          </w:p>
        </w:tc>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w:t>
            </w:r>
          </w:p>
        </w:tc>
        <w:tc>
          <w:tcPr>
            <w:tcW w:type="dxa" w:w="26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
            </w:r>
          </w:p>
        </w:tc>
      </w:tr>
      <w:tr>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ASME V&amp;V40</w:t>
            </w:r>
          </w:p>
        </w:tc>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
            </w:r>
          </w:p>
        </w:tc>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w:t>
            </w:r>
          </w:p>
        </w:tc>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
            </w:r>
          </w:p>
        </w:tc>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
            </w:r>
          </w:p>
        </w:tc>
        <w:tc>
          <w:tcPr>
            <w:tcW w:type="dxa" w:w="2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w:t>
            </w:r>
          </w:p>
        </w:tc>
      </w:tr>
      <w:tr>
        <w:tc>
          <w:tcPr>
            <w:tcW w:type="dxa" w:w="3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EMA AI Reflection Paper (2024)</w:t>
            </w:r>
          </w:p>
        </w:tc>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
            </w:r>
          </w:p>
        </w:tc>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w:t>
            </w:r>
          </w:p>
        </w:tc>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
            </w:r>
          </w:p>
        </w:tc>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
            </w:r>
          </w:p>
        </w:tc>
        <w:tc>
          <w:tcPr>
            <w:tcW w:type="dxa" w:w="26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w:t>
            </w:r>
          </w:p>
        </w:tc>
      </w:tr>
    </w:tbl>
    <w:p>
      <w:pPr>
        <w:spacing w:after="100"/>
      </w:pPr>
      <w:r>
        <w:t xml:space="preserve"/>
      </w:r>
    </w:p>
    <w:p>
      <w:pPr>
        <w:pStyle w:val="Heading2"/>
      </w:pPr>
      <w:r>
        <w:t xml:space="preserve">7.8 Year-1 compliance posture recommendation</w:t>
      </w:r>
    </w:p>
    <w:p>
      <w:pPr>
        <w:spacing w:after="120"/>
        <w:jc w:val="left"/>
      </w:pPr>
      <w:r>
        <w:t xml:space="preserve">For Hakase BioDigital Twin to be defensible when its outputs feed Hakase Clinical and IND-enabling work, the minimum-viable Year-1 posture is:</w:t>
      </w:r>
    </w:p>
    <w:p>
      <w:pPr>
        <w:spacing w:after="120"/>
        <w:jc w:val="left"/>
      </w:pPr>
      <w:r>
        <w:t xml:space="preserve">Platform-level (must-have, all four layers):</w:t>
      </w:r>
    </w:p>
    <w:p>
      <w:pPr>
        <w:pStyle w:val="ListParagraph"/>
        <w:numPr>
          <w:ilvl w:val="0"/>
          <w:numId w:val="2"/>
        </w:numPr>
        <w:spacing w:after="60"/>
      </w:pPr>
      <w:r>
        <w:t xml:space="preserve">GAMP 5 (2nd ed.) lifecycle implementation — categorise each subsystem; URS / FS / DS; IQ / OQ / PQ. Single highest-leverage validation investment.</w:t>
      </w:r>
    </w:p>
    <w:p>
      <w:pPr>
        <w:pStyle w:val="ListParagraph"/>
        <w:numPr>
          <w:ilvl w:val="0"/>
          <w:numId w:val="2"/>
        </w:numPr>
        <w:spacing w:after="60"/>
      </w:pPr>
      <w:r>
        <w:t xml:space="preserve">21 CFR Part 11 compliance — audit trails, e-sigs, access control. Even before a regulated study, design for it.</w:t>
      </w:r>
    </w:p>
    <w:p>
      <w:pPr>
        <w:pStyle w:val="ListParagraph"/>
        <w:numPr>
          <w:ilvl w:val="0"/>
          <w:numId w:val="2"/>
        </w:numPr>
        <w:spacing w:after="60"/>
      </w:pPr>
      <w:r>
        <w:t xml:space="preserve">FAIR-by-design data layer — manifests, persistent IDs, controlled vocabularies, PROV-O provenance for every twin run.</w:t>
      </w:r>
    </w:p>
    <w:p>
      <w:pPr>
        <w:pStyle w:val="ListParagraph"/>
        <w:numPr>
          <w:ilvl w:val="0"/>
          <w:numId w:val="2"/>
        </w:numPr>
        <w:spacing w:after="60"/>
      </w:pPr>
      <w:r>
        <w:t xml:space="preserve">ASME V&amp;V40 credibility framework — adopt as the scaffold for every L2 model artifact, with a written model-risk register tied to COU.</w:t>
      </w:r>
    </w:p>
    <w:p>
      <w:pPr>
        <w:pStyle w:val="ListParagraph"/>
        <w:numPr>
          <w:ilvl w:val="0"/>
          <w:numId w:val="2"/>
        </w:numPr>
        <w:spacing w:after="60"/>
      </w:pPr>
      <w:r>
        <w:t xml:space="preserve">GMLP 10 principles + 2024 transparency principles documented as engineering policy.</w:t>
      </w:r>
    </w:p>
    <w:p>
      <w:pPr>
        <w:spacing w:after="120"/>
        <w:jc w:val="left"/>
      </w:pPr>
      <w:r>
        <w:t xml:space="preserve">Layer-specific (must-have):</w:t>
      </w:r>
    </w:p>
    <w:p>
      <w:pPr>
        <w:pStyle w:val="ListParagraph"/>
        <w:numPr>
          <w:ilvl w:val="0"/>
          <w:numId w:val="2"/>
        </w:numPr>
        <w:spacing w:after="60"/>
      </w:pPr>
      <w:r>
        <w:t xml:space="preserve">L1 — any wet-lab assay contributing to a regulatory-relevant L2 output runs under OECD-aligned protocols (TG 442C / D / E for sensitisation, TG 487 for in vitro mutagenicity, hERG per S7B Q&amp;A best practice) and where definitive — under GLP.</w:t>
      </w:r>
    </w:p>
    <w:p>
      <w:pPr>
        <w:pStyle w:val="ListParagraph"/>
        <w:numPr>
          <w:ilvl w:val="0"/>
          <w:numId w:val="2"/>
        </w:numPr>
        <w:spacing w:after="60"/>
      </w:pPr>
      <w:r>
        <w:t xml:space="preserve">L2 — every model ships a QMRF document keyed to the OECD 5 QSAR principles plus a V&amp;V40-style credibility report. Treat ICH M7(R2) two-(Q)SAR as the template for any "model replaces assay" claim. AOP mapping mandatory for mechanistic interpretability.</w:t>
      </w:r>
    </w:p>
    <w:p>
      <w:pPr>
        <w:pStyle w:val="ListParagraph"/>
        <w:numPr>
          <w:ilvl w:val="0"/>
          <w:numId w:val="2"/>
        </w:numPr>
        <w:spacing w:after="60"/>
      </w:pPr>
      <w:r>
        <w:t xml:space="preserve">L3 — OECD GLP-aligned protocols where feasible; document deviations.</w:t>
      </w:r>
    </w:p>
    <w:p>
      <w:pPr>
        <w:pStyle w:val="ListParagraph"/>
        <w:numPr>
          <w:ilvl w:val="0"/>
          <w:numId w:val="2"/>
        </w:numPr>
        <w:spacing w:after="60"/>
      </w:pPr>
      <w:r>
        <w:t xml:space="preserve">L4 — GLP + SEND (current SENDIG version) for any nonclinical study touched by the twin. Non-negotiable.</w:t>
      </w:r>
    </w:p>
    <w:p>
      <w:pPr>
        <w:spacing w:after="120"/>
        <w:jc w:val="left"/>
      </w:pPr>
      <w:r>
        <w:t xml:space="preserve">Regulatory engagement (at least one in Year 1):</w:t>
      </w:r>
    </w:p>
    <w:p>
      <w:pPr>
        <w:pStyle w:val="ListParagraph"/>
        <w:numPr>
          <w:ilvl w:val="0"/>
          <w:numId w:val="2"/>
        </w:numPr>
        <w:spacing w:after="60"/>
      </w:pPr>
      <w:r>
        <w:t xml:space="preserve">FDA ISTAND Letter of Intent for the integrated L1+L2 stack with a tightly-scoped first COU. Don't qualify the whole twin as one tool — qualify a slice. Recommended first slice: proarrhythmia per S7B(R1) Q&amp;A, or skin sensitisation per OECD TG 497, where regulatory precedent is strongest.</w:t>
      </w:r>
    </w:p>
    <w:p>
      <w:pPr>
        <w:pStyle w:val="ListParagraph"/>
        <w:numPr>
          <w:ilvl w:val="0"/>
          <w:numId w:val="2"/>
        </w:numPr>
        <w:spacing w:after="60"/>
      </w:pPr>
      <w:r>
        <w:t xml:space="preserve">FDA Type C / INTERACT meeting parallel-track to align on the credibility approach before the LOI lands.</w:t>
      </w:r>
    </w:p>
    <w:p>
      <w:pPr>
        <w:pStyle w:val="ListParagraph"/>
        <w:numPr>
          <w:ilvl w:val="0"/>
          <w:numId w:val="2"/>
        </w:numPr>
        <w:spacing w:after="60"/>
      </w:pPr>
      <w:r>
        <w:t xml:space="preserve">EMA Qualification Advice as the EU mirror — same scoped COU.</w:t>
      </w:r>
    </w:p>
    <w:p>
      <w:pPr>
        <w:spacing w:after="120"/>
        <w:jc w:val="left"/>
      </w:pPr>
      <w:r>
        <w:t xml:space="preserve">AI-specific (must-have):</w:t>
      </w:r>
    </w:p>
    <w:p>
      <w:pPr>
        <w:pStyle w:val="ListParagraph"/>
        <w:numPr>
          <w:ilvl w:val="0"/>
          <w:numId w:val="2"/>
        </w:numPr>
        <w:spacing w:after="60"/>
      </w:pPr>
      <w:r>
        <w:t xml:space="preserve">Architect the L2 model lifecycle around the FDA 2024–2025 AI draft guidance seven-step process; write the credibility plan template now so it's ready for inspection / engagement.</w:t>
      </w:r>
    </w:p>
    <w:p>
      <w:pPr>
        <w:pStyle w:val="ListParagraph"/>
        <w:numPr>
          <w:ilvl w:val="0"/>
          <w:numId w:val="2"/>
        </w:numPr>
        <w:spacing w:after="60"/>
      </w:pPr>
      <w:r>
        <w:t xml:space="preserve">Document a PCCP-analog change-control plan for any model designed to learn / update.</w:t>
      </w:r>
    </w:p>
    <w:p>
      <w:pPr>
        <w:pStyle w:val="ListParagraph"/>
        <w:numPr>
          <w:ilvl w:val="0"/>
          <w:numId w:val="2"/>
        </w:numPr>
        <w:spacing w:after="60"/>
      </w:pPr>
      <w:r>
        <w:t xml:space="preserve">Track the EMA AI Reflection Paper (2024 final) classification — most Hakase use-cases will be high-risk under EMA's framing.</w:t>
      </w:r>
    </w:p>
    <w:p>
      <w:pPr>
        <w:spacing w:after="120"/>
        <w:jc w:val="left"/>
      </w:pPr>
      <w:r>
        <w:t xml:space="preserve">Strategically defer to Year 2 (don't try to do in Year 1):</w:t>
      </w:r>
    </w:p>
    <w:p>
      <w:pPr>
        <w:pStyle w:val="ListParagraph"/>
        <w:numPr>
          <w:ilvl w:val="0"/>
          <w:numId w:val="2"/>
        </w:numPr>
        <w:spacing w:after="60"/>
      </w:pPr>
      <w:r>
        <w:t xml:space="preserve">Full DDT biomarker qualifications for individual twin-derived biomarkers (slow, narrow).</w:t>
      </w:r>
    </w:p>
    <w:p>
      <w:pPr>
        <w:pStyle w:val="ListParagraph"/>
        <w:numPr>
          <w:ilvl w:val="0"/>
          <w:numId w:val="2"/>
        </w:numPr>
        <w:spacing w:after="60"/>
      </w:pPr>
      <w:r>
        <w:t xml:space="preserve">EURL ECVAM submission of any L1 assay component (years-long process).</w:t>
      </w:r>
    </w:p>
    <w:p>
      <w:pPr>
        <w:pStyle w:val="ListParagraph"/>
        <w:numPr>
          <w:ilvl w:val="0"/>
          <w:numId w:val="2"/>
        </w:numPr>
        <w:spacing w:after="60"/>
      </w:pPr>
      <w:r>
        <w:t xml:space="preserve">OECD Test Guideline adoption of any internal defined approach (multi-year).</w:t>
      </w:r>
    </w:p>
    <w:p>
      <w:pPr>
        <w:pStyle w:val="ListParagraph"/>
        <w:numPr>
          <w:ilvl w:val="0"/>
          <w:numId w:val="2"/>
        </w:numPr>
        <w:spacing w:after="60"/>
      </w:pPr>
      <w:r>
        <w:t xml:space="preserve">Health Canada / PMDA / NMPA parallel qualifications (chase after FDA + EMA land).</w:t>
      </w:r>
    </w:p>
    <w:p>
      <w:pPr>
        <w:spacing w:after="120"/>
        <w:jc w:val="left"/>
      </w:pPr>
      <w:r>
        <w:t xml:space="preserve">Defensibility thesis in one paragraph: when a Hakase Clinical IND submission cites a twin-derived nonclinical conclusion, the reviewer asks "why should I trust this?" The defensible answer is: (a) the platform is GAMP 5 + Part 11 validated, (b) the specific model has a V&amp;V40 credibility report at a rigor level matched to its model risk, (c) the model is documented per OECD QSAR 5 principles in a QMRF, (d) the underlying assays are OECD / GLP, (e) the data is SEND-conformant and FAIR, (f) the COU has been pre-aligned with FDA via ISTAND LOI and / or MIDD, and (g) the AI lifecycle follows the FDA 2024–2025 draft and EMA 2024 reflection paper. Any single one of those without the others is fragile; the stack is what makes it defensible.</w:t>
      </w:r>
    </w:p>
    <w:p>
      <w:pPr>
        <w:pStyle w:val="Heading1"/>
        <w:pageBreakBefore/>
      </w:pPr>
      <w:r>
        <w:t xml:space="preserve">8. L4 → Hakase Clinical API Contract</w:t>
      </w:r>
    </w:p>
    <w:p>
      <w:pPr>
        <w:spacing w:after="120"/>
        <w:jc w:val="left"/>
      </w:pPr>
      <w:r>
        <w:t xml:space="preserve">This section sketches the boundary between the Pre-Clinical twin and the Clinical module. It is a contract design, not full implementation. The intent is to fix the shape of the boundary now so that both teams can plan against it.</w:t>
      </w:r>
    </w:p>
    <w:p>
      <w:pPr>
        <w:pStyle w:val="Heading2"/>
      </w:pPr>
      <w:r>
        <w:t xml:space="preserve">8.1 Boundary principle</w:t>
      </w:r>
    </w:p>
    <w:p>
      <w:pPr>
        <w:spacing w:after="120"/>
        <w:jc w:val="left"/>
      </w:pPr>
      <w:r>
        <w:t xml:space="preserve">The handoff is an API boundary, not a shared module or shared database. This is consistent with the AKTHealth practice of treating Clinical, Commz, Care, and Pre-Clinical as separately addressable modules under HAIOps. Four reasons drive the boundary:</w:t>
      </w:r>
    </w:p>
    <w:p>
      <w:pPr>
        <w:pStyle w:val="ListParagraph"/>
        <w:numPr>
          <w:ilvl w:val="0"/>
          <w:numId w:val="2"/>
        </w:numPr>
        <w:spacing w:after="60"/>
      </w:pPr>
      <w:r>
        <w:t xml:space="preserve">Regulatory traceability. An IND-enabling package is a regulated artifact. Handing it from Pre-Clinical to Clinical is a controlled event that must be logged, signed, and immutably archived. An API call with a signed envelope makes this event first-class.</w:t>
      </w:r>
    </w:p>
    <w:p>
      <w:pPr>
        <w:pStyle w:val="ListParagraph"/>
        <w:numPr>
          <w:ilvl w:val="0"/>
          <w:numId w:val="2"/>
        </w:numPr>
        <w:spacing w:after="60"/>
      </w:pPr>
      <w:r>
        <w:t xml:space="preserve">Independent versioning. The twin's L1–L4 model registry evolves on its own cadence (new PBPK kernels, new IVIVE calibrations, new ARRIVE 2.0-compliant study templates). Clinical's trial-simulation engine evolves on a different cadence (FHIR R5 / R6, SDTM / ADaM updates, protocol-builder logic). Coupling forces lock-step releases.</w:t>
      </w:r>
    </w:p>
    <w:p>
      <w:pPr>
        <w:pStyle w:val="ListParagraph"/>
        <w:numPr>
          <w:ilvl w:val="0"/>
          <w:numId w:val="2"/>
        </w:numPr>
        <w:spacing w:after="60"/>
      </w:pPr>
      <w:r>
        <w:t xml:space="preserve">Organisational separation. Pre-Clinical and Clinical are different teams with different SMEs (tox / DMPK / pharmacology vs. clinical operations / biostatistics / regulatory). API contracts give each team a stable surface to plan against.</w:t>
      </w:r>
    </w:p>
    <w:p>
      <w:pPr>
        <w:pStyle w:val="ListParagraph"/>
        <w:numPr>
          <w:ilvl w:val="0"/>
          <w:numId w:val="2"/>
        </w:numPr>
        <w:spacing w:after="60"/>
      </w:pPr>
      <w:r>
        <w:t xml:space="preserve">Audit defensibility. For pre-IND or IND interactions, the regulator wants to see what data was handed over, when, by whom, against which model versions. An API with idempotent submissions and a hash chain produces that evidence trail naturally.</w:t>
      </w:r>
    </w:p>
    <w:p>
      <w:pPr>
        <w:spacing w:after="120"/>
        <w:jc w:val="left"/>
      </w:pPr>
      <w:r>
        <w:t xml:space="preserve">The twin remains the source of truth for pre-clinical evidence; Clinical remains the source of truth for human-trial simulation. The API is the contract.</w:t>
      </w:r>
    </w:p>
    <w:p>
      <w:pPr>
        <w:pStyle w:val="Heading2"/>
      </w:pPr>
      <w:r>
        <w:t xml:space="preserve">8.2 Payload domains</w:t>
      </w:r>
    </w:p>
    <w:p>
      <w:pPr>
        <w:spacing w:after="120"/>
        <w:jc w:val="left"/>
      </w:pPr>
      <w:r>
        <w:t xml:space="preserve">The handoff package is a structured envelope. Each domain maps to one or more CDISC SEND v3.x domains on the inbound side and to FHIR R5 resources on the outbound side.</w:t>
      </w:r>
    </w:p>
    <w:p>
      <w:pPr>
        <w:pStyle w:val="Heading3"/>
      </w:pPr>
      <w:r>
        <w:t xml:space="preserve">8.2.1 Compound identity and provenance</w:t>
      </w:r>
    </w:p>
    <w:p>
      <w:pPr>
        <w:spacing w:after="120"/>
        <w:jc w:val="left"/>
      </w:pPr>
      <w:r>
        <w:t xml:space="preserve">Canonical SMILES, InChI, InChIKey, internal compound ID, batch / lot ID, salt form, stereochemistry descriptor (R / S, racemic, %ee), parent vs. salt MW, link back to the originating L1 record (in-vitro assay panel ID), synthesis route reference.</w:t>
      </w:r>
    </w:p>
    <w:p>
      <w:pPr>
        <w:pStyle w:val="Heading3"/>
      </w:pPr>
      <w:r>
        <w:t xml:space="preserve">8.2.2 Nonclinical safety package</w:t>
      </w:r>
    </w:p>
    <w:p>
      <w:pPr>
        <w:spacing w:after="120"/>
        <w:jc w:val="left"/>
      </w:pPr>
      <w:r>
        <w:t xml:space="preserve">General tox: NOAEL and LOAEL by species (typically rat + non-rodent — dog or NHP); exposure (Cmax, AUC) at NOAEL; target-organ findings with severity grades. Genotoxicity battery: Ames (bacterial reverse mutation), in vitro micronucleus or chromosome aberration, in vivo micronucleus or comet assay per ICH S2(R1). Reproductive tox: DART summary (fertility, embryofetal development, pre / postnatal where staged). Carcinogenicity: where available; usually post-IND for non-oncology, often a deferred flag. CV safety: ICH S7B integrated risk assessment (hERG IC50, in vivo QT telemetry, exposure-response model). CNS safety: ICH S7A FOB / Irwin screen. Dependence / abuse liability: if CNS-active.</w:t>
      </w:r>
    </w:p>
    <w:p>
      <w:pPr>
        <w:pStyle w:val="Heading3"/>
      </w:pPr>
      <w:r>
        <w:t xml:space="preserve">8.2.3 PK / ADME package</w:t>
      </w:r>
    </w:p>
    <w:p>
      <w:pPr>
        <w:spacing w:after="120"/>
        <w:jc w:val="left"/>
      </w:pPr>
      <w:r>
        <w:t xml:space="preserve">Animal PK parameters per species (CL, V_d, t1/2, F, Cmax, AUC, dose linearity); protein binding; metabolic stability; CYP inhibition / induction; transporter interactions; human PK projection from PBPK; allometric scaling output; MRSD with HED and applied safety factors per FDA 2005 guidance; exposure margin at NOAEL vs. projected human therapeutic exposure.</w:t>
      </w:r>
    </w:p>
    <w:p>
      <w:pPr>
        <w:pStyle w:val="Heading3"/>
      </w:pPr>
      <w:r>
        <w:t xml:space="preserve">8.2.4 Efficacy package</w:t>
      </w:r>
    </w:p>
    <w:p>
      <w:pPr>
        <w:spacing w:after="120"/>
        <w:jc w:val="left"/>
      </w:pPr>
      <w:r>
        <w:t xml:space="preserve">Animal efficacy model results (study design, endpoint, effect size, dose-response); target engagement biomarker data (PD marker, occupancy where applicable); pharmacology / MoA confidence; translatability assessment.</w:t>
      </w:r>
    </w:p>
    <w:p>
      <w:pPr>
        <w:pStyle w:val="Heading3"/>
      </w:pPr>
      <w:r>
        <w:t xml:space="preserve">8.2.5 Twin-specific metadata</w:t>
      </w:r>
    </w:p>
    <w:p>
      <w:pPr>
        <w:spacing w:after="120"/>
        <w:jc w:val="left"/>
      </w:pPr>
      <w:r>
        <w:t xml:space="preserve">Contributing model identifiers and versions across L1, L2, L3, L4 (including any in-silico-augmented or virtual-control arms); confidence intervals on each predicted parameter; IVIVE confidence score; SEND dataset reference (Define-XML pointer); ARRIVE 2.0 compliance flag for in vivo studies; GLP status of each underlying study.</w:t>
      </w:r>
    </w:p>
    <w:p>
      <w:pPr>
        <w:pStyle w:val="Heading3"/>
      </w:pPr>
      <w:r>
        <w:t xml:space="preserve">8.2.6 Regulatory package readiness</w:t>
      </w:r>
    </w:p>
    <w:p>
      <w:pPr>
        <w:spacing w:after="120"/>
        <w:jc w:val="left"/>
      </w:pPr>
      <w:r>
        <w:t xml:space="preserve">Per-section readiness flags aligned to ICH M3(R2) and CTD Module 4 (Nonclinical Study Reports — sections 4.2.1 Pharmacology, 4.2.2 Pharmacokinetics, 4.2.3 Toxicology); pointers to source study reports; pre-IND meeting outputs (FDA Type B feedback) if any.</w:t>
      </w:r>
    </w:p>
    <w:p>
      <w:pPr>
        <w:pStyle w:val="Heading2"/>
      </w:pPr>
      <w:r>
        <w:t xml:space="preserve">8.3 Standards alignment</w:t>
      </w:r>
    </w:p>
    <w:p>
      <w:pPr>
        <w:pStyle w:val="Heading3"/>
      </w:pPr>
      <w:r>
        <w:t xml:space="preserve">8.3.1 Inbound standard — CDISC SEND v3.x</w:t>
      </w:r>
    </w:p>
    <w:p>
      <w:pPr>
        <w:spacing w:after="120"/>
        <w:jc w:val="left"/>
      </w:pPr>
      <w:r>
        <w:t xml:space="preserve">SEND is the source-of-truth shape on the Pre-Clinical side. The handoff envelope must declare which SEND IG version a given study used (3.1.1 baseline; 3.2 acceptance window opens mid-2026).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40"/>
            </w:pPr>
            <w:r>
              <w:rPr>
                <w:b/>
                <w:bCs/>
                <w:sz w:val="18"/>
                <w:szCs w:val="18"/>
              </w:rPr>
              <w:t xml:space="preserve">Payload domain</w:t>
            </w:r>
          </w:p>
        </w:tc>
        <w:tc>
          <w:tcPr>
            <w:tcW w:type="dxa" w:w="436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40"/>
            </w:pPr>
            <w:r>
              <w:rPr>
                <w:b/>
                <w:bCs/>
                <w:sz w:val="18"/>
                <w:szCs w:val="18"/>
              </w:rPr>
              <w:t xml:space="preserve">SEND domain(s)</w:t>
            </w:r>
          </w:p>
        </w:tc>
      </w:tr>
      <w:tr>
        <w:tc>
          <w:tcPr>
            <w:tcW w:type="dxa" w:w="5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Subject demographics (animal)</w:t>
            </w:r>
          </w:p>
        </w:tc>
        <w:tc>
          <w:tcPr>
            <w:tcW w:type="dxa" w:w="43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DM (Demographics)</w:t>
            </w:r>
          </w:p>
        </w:tc>
      </w:tr>
      <w:tr>
        <w:tc>
          <w:tcPr>
            <w:tcW w:type="dxa" w:w="5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Dosing</w:t>
            </w:r>
          </w:p>
        </w:tc>
        <w:tc>
          <w:tcPr>
            <w:tcW w:type="dxa" w:w="43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EX (Exposure), DS (Disposition)</w:t>
            </w:r>
          </w:p>
        </w:tc>
      </w:tr>
      <w:tr>
        <w:tc>
          <w:tcPr>
            <w:tcW w:type="dxa" w:w="5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Body weight</w:t>
            </w:r>
          </w:p>
        </w:tc>
        <w:tc>
          <w:tcPr>
            <w:tcW w:type="dxa" w:w="43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BW</w:t>
            </w:r>
          </w:p>
        </w:tc>
      </w:tr>
      <w:tr>
        <w:tc>
          <w:tcPr>
            <w:tcW w:type="dxa" w:w="5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Body weight gain / food consumption</w:t>
            </w:r>
          </w:p>
        </w:tc>
        <w:tc>
          <w:tcPr>
            <w:tcW w:type="dxa" w:w="43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BG, FW</w:t>
            </w:r>
          </w:p>
        </w:tc>
      </w:tr>
      <w:tr>
        <w:tc>
          <w:tcPr>
            <w:tcW w:type="dxa" w:w="5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Clinical observations</w:t>
            </w:r>
          </w:p>
        </w:tc>
        <w:tc>
          <w:tcPr>
            <w:tcW w:type="dxa" w:w="43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CL</w:t>
            </w:r>
          </w:p>
        </w:tc>
      </w:tr>
      <w:tr>
        <w:tc>
          <w:tcPr>
            <w:tcW w:type="dxa" w:w="5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Clinical pathology — hematology / chemistry / urinalysis</w:t>
            </w:r>
          </w:p>
        </w:tc>
        <w:tc>
          <w:tcPr>
            <w:tcW w:type="dxa" w:w="43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LB</w:t>
            </w:r>
          </w:p>
        </w:tc>
      </w:tr>
      <w:tr>
        <w:tc>
          <w:tcPr>
            <w:tcW w:type="dxa" w:w="5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Macroscopic pathology</w:t>
            </w:r>
          </w:p>
        </w:tc>
        <w:tc>
          <w:tcPr>
            <w:tcW w:type="dxa" w:w="43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MA</w:t>
            </w:r>
          </w:p>
        </w:tc>
      </w:tr>
      <w:tr>
        <w:tc>
          <w:tcPr>
            <w:tcW w:type="dxa" w:w="5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Microscopic pathology</w:t>
            </w:r>
          </w:p>
        </w:tc>
        <w:tc>
          <w:tcPr>
            <w:tcW w:type="dxa" w:w="43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MI</w:t>
            </w:r>
          </w:p>
        </w:tc>
      </w:tr>
      <w:tr>
        <w:tc>
          <w:tcPr>
            <w:tcW w:type="dxa" w:w="5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Organ weights</w:t>
            </w:r>
          </w:p>
        </w:tc>
        <w:tc>
          <w:tcPr>
            <w:tcW w:type="dxa" w:w="43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OM</w:t>
            </w:r>
          </w:p>
        </w:tc>
      </w:tr>
      <w:tr>
        <w:tc>
          <w:tcPr>
            <w:tcW w:type="dxa" w:w="5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PK concentrations</w:t>
            </w:r>
          </w:p>
        </w:tc>
        <w:tc>
          <w:tcPr>
            <w:tcW w:type="dxa" w:w="43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PC</w:t>
            </w:r>
          </w:p>
        </w:tc>
      </w:tr>
      <w:tr>
        <w:tc>
          <w:tcPr>
            <w:tcW w:type="dxa" w:w="5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PK parameters</w:t>
            </w:r>
          </w:p>
        </w:tc>
        <w:tc>
          <w:tcPr>
            <w:tcW w:type="dxa" w:w="43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PP</w:t>
            </w:r>
          </w:p>
        </w:tc>
      </w:tr>
      <w:tr>
        <w:tc>
          <w:tcPr>
            <w:tcW w:type="dxa" w:w="5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ECG / CV telemetry</w:t>
            </w:r>
          </w:p>
        </w:tc>
        <w:tc>
          <w:tcPr>
            <w:tcW w:type="dxa" w:w="43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EG, CV</w:t>
            </w:r>
          </w:p>
        </w:tc>
      </w:tr>
      <w:tr>
        <w:tc>
          <w:tcPr>
            <w:tcW w:type="dxa" w:w="5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Tumour findings (carcinogenicity)</w:t>
            </w:r>
          </w:p>
        </w:tc>
        <w:tc>
          <w:tcPr>
            <w:tcW w:type="dxa" w:w="43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TF</w:t>
            </w:r>
          </w:p>
        </w:tc>
      </w:tr>
      <w:tr>
        <w:tc>
          <w:tcPr>
            <w:tcW w:type="dxa" w:w="5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Trial design / arms / elements</w:t>
            </w:r>
          </w:p>
        </w:tc>
        <w:tc>
          <w:tcPr>
            <w:tcW w:type="dxa" w:w="43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TS, TA, TE, TX</w:t>
            </w:r>
          </w:p>
        </w:tc>
      </w:tr>
      <w:tr>
        <w:tc>
          <w:tcPr>
            <w:tcW w:type="dxa" w:w="5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Pooling / subject-element timing</w:t>
            </w:r>
          </w:p>
        </w:tc>
        <w:tc>
          <w:tcPr>
            <w:tcW w:type="dxa" w:w="43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SE, POOLDEF</w:t>
            </w:r>
          </w:p>
        </w:tc>
      </w:tr>
    </w:tbl>
    <w:p>
      <w:pPr>
        <w:spacing w:after="100"/>
      </w:pPr>
      <w:r>
        <w:t xml:space="preserve"/>
      </w:r>
    </w:p>
    <w:p>
      <w:pPr>
        <w:pStyle w:val="Heading3"/>
      </w:pPr>
      <w:r>
        <w:t xml:space="preserve">8.3.2 Outbound standard — FHIR R5</w:t>
      </w:r>
    </w:p>
    <w:p>
      <w:pPr>
        <w:spacing w:after="120"/>
        <w:jc w:val="left"/>
      </w:pPr>
      <w:r>
        <w:t xml:space="preserve">Clinical consumes FHIR R5 resources. The mapping is intentionally not isomorphic — pre-clinical data does not have a clean FHIR home, so the bridge layer does real translation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40"/>
            </w:pPr>
            <w:r>
              <w:rPr>
                <w:b/>
                <w:bCs/>
                <w:sz w:val="18"/>
                <w:szCs w:val="18"/>
              </w:rPr>
              <w:t xml:space="preserve">Payload domain</w:t>
            </w:r>
          </w:p>
        </w:tc>
        <w:tc>
          <w:tcPr>
            <w:tcW w:type="dxa" w:w="486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40"/>
            </w:pPr>
            <w:r>
              <w:rPr>
                <w:b/>
                <w:bCs/>
                <w:sz w:val="18"/>
                <w:szCs w:val="18"/>
              </w:rPr>
              <w:t xml:space="preserve">FHIR R5 resource(s)</w:t>
            </w:r>
          </w:p>
        </w:tc>
      </w:tr>
      <w:tr>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Compound identity</w:t>
            </w:r>
          </w:p>
        </w:tc>
        <w:tc>
          <w:tcPr>
            <w:tcW w:type="dxa" w:w="4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Substance, SubstanceDefinition, MedicinalProductDefinition</w:t>
            </w:r>
          </w:p>
        </w:tc>
      </w:tr>
      <w:tr>
        <w:tc>
          <w:tcPr>
            <w:tcW w:type="dxa" w:w="4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Investigational product framing</w:t>
            </w:r>
          </w:p>
        </w:tc>
        <w:tc>
          <w:tcPr>
            <w:tcW w:type="dxa" w:w="48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MedicinalProductDefinition, ManufacturedItemDefinition, Ingredient</w:t>
            </w:r>
          </w:p>
        </w:tc>
      </w:tr>
      <w:tr>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Preclinical studies as evidence</w:t>
            </w:r>
          </w:p>
        </w:tc>
        <w:tc>
          <w:tcPr>
            <w:tcW w:type="dxa" w:w="4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ResearchStudy (category=nonclinical), ResearchSubject (animal subjects flagged)</w:t>
            </w:r>
          </w:p>
        </w:tc>
      </w:tr>
      <w:tr>
        <w:tc>
          <w:tcPr>
            <w:tcW w:type="dxa" w:w="4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Tox findings, PK parameters, biomarkers</w:t>
            </w:r>
          </w:p>
        </w:tc>
        <w:tc>
          <w:tcPr>
            <w:tcW w:type="dxa" w:w="48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Observation; Group for cohorts</w:t>
            </w:r>
          </w:p>
        </w:tc>
      </w:tr>
      <w:tr>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Dosing protocol elements ready for clinical reuse</w:t>
            </w:r>
          </w:p>
        </w:tc>
        <w:tc>
          <w:tcPr>
            <w:tcW w:type="dxa" w:w="4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ActivityDefinition, PlanDefinition</w:t>
            </w:r>
          </w:p>
        </w:tc>
      </w:tr>
      <w:tr>
        <w:tc>
          <w:tcPr>
            <w:tcW w:type="dxa" w:w="4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Evidence synthesis for trial design</w:t>
            </w:r>
          </w:p>
        </w:tc>
        <w:tc>
          <w:tcPr>
            <w:tcW w:type="dxa" w:w="48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EvidenceVariable, Evidence, Citation</w:t>
            </w:r>
          </w:p>
        </w:tc>
      </w:tr>
      <w:tr>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Adverse findings / safety signals</w:t>
            </w:r>
          </w:p>
        </w:tc>
        <w:tc>
          <w:tcPr>
            <w:tcW w:type="dxa" w:w="4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AdverseEvent (preclinical-flagged), DetectedIssue</w:t>
            </w:r>
          </w:p>
        </w:tc>
      </w:tr>
      <w:tr>
        <w:tc>
          <w:tcPr>
            <w:tcW w:type="dxa" w:w="4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Risk assessment carry-forward</w:t>
            </w:r>
          </w:p>
        </w:tc>
        <w:tc>
          <w:tcPr>
            <w:tcW w:type="dxa" w:w="48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RiskAssessment</w:t>
            </w:r>
          </w:p>
        </w:tc>
      </w:tr>
    </w:tbl>
    <w:p>
      <w:pPr>
        <w:spacing w:after="100"/>
      </w:pPr>
      <w:r>
        <w:t xml:space="preserve"/>
      </w:r>
    </w:p>
    <w:p>
      <w:pPr>
        <w:spacing w:after="120"/>
        <w:jc w:val="left"/>
      </w:pPr>
      <w:r>
        <w:t xml:space="preserve">R6 is in active ballot through 2026. The contract should declare R5 as the floor and content-negotiate R6 once stable.</w:t>
      </w:r>
    </w:p>
    <w:p>
      <w:pPr>
        <w:pStyle w:val="Heading3"/>
      </w:pPr>
      <w:r>
        <w:t xml:space="preserve">8.3.3 Bridge layer</w:t>
      </w:r>
    </w:p>
    <w:p>
      <w:pPr>
        <w:spacing w:after="120"/>
        <w:jc w:val="left"/>
      </w:pPr>
      <w:r>
        <w:t xml:space="preserve">A thin domain model — `HandoffCanonicalPackage` — owns the SEND → FHIR mapping. It is not a database; it is a translation contract with three responsibilities: validate inbound SEND conformance (Define-XML + dataset checks); project SEND records onto the canonical package shape; emit FHIR R5 bundles on demand. Mapping rules are versioned independently (e.g. `mapping-table v1.4.2`) and stored in a registry both sides reference. SEND and FHIR are not isomorphic — for example, SEND `MI` (microscopic pathology with severity grades and organ ontology) does not flatten into a single `Observation`; the bridge produces a `Group` + multiple `Observation` resources with a `bodySite` coding and a custom severity extension.</w:t>
      </w:r>
    </w:p>
    <w:p>
      <w:pPr>
        <w:pStyle w:val="Heading2"/>
      </w:pPr>
      <w:r>
        <w:t xml:space="preserve">8.4 API surface</w:t>
      </w:r>
    </w:p>
    <w:p>
      <w:pPr>
        <w:spacing w:after="120"/>
        <w:jc w:val="left"/>
      </w:pPr>
      <w:r>
        <w:t xml:space="preserve">Conventions: REST + JSON; TLS 1.3; Bearer auth (OAuth2 client credentials); `Idempotency-Key` header on all POSTs; RFC 7807 `application/problem+json` for errors; ISO 8601 timestamps; ULID for resource 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5260"/>
      </w:tblGrid>
      <w:tr>
        <w:trPr>
          <w:tblHeader/>
        </w:trPr>
        <w:tc>
          <w:tcPr>
            <w:tcW w:type="dxa" w:w="8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40"/>
            </w:pPr>
            <w:r>
              <w:rPr>
                <w:b/>
                <w:bCs/>
                <w:sz w:val="18"/>
                <w:szCs w:val="18"/>
              </w:rPr>
              <w:t xml:space="preserve">Method</w:t>
            </w:r>
          </w:p>
        </w:tc>
        <w:tc>
          <w:tcPr>
            <w:tcW w:type="dxa" w:w="33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40"/>
            </w:pPr>
            <w:r>
              <w:rPr>
                <w:b/>
                <w:bCs/>
                <w:sz w:val="18"/>
                <w:szCs w:val="18"/>
              </w:rPr>
              <w:t xml:space="preserve">Path</w:t>
            </w:r>
          </w:p>
        </w:tc>
        <w:tc>
          <w:tcPr>
            <w:tcW w:type="dxa" w:w="526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40"/>
            </w:pPr>
            <w:r>
              <w:rPr>
                <w:b/>
                <w:bCs/>
                <w:sz w:val="18"/>
                <w:szCs w:val="18"/>
              </w:rPr>
              <w:t xml:space="preserve">Behaviour</w:t>
            </w:r>
          </w:p>
        </w:tc>
      </w:tr>
      <w:tr>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POST</w:t>
            </w:r>
          </w:p>
        </w:tc>
        <w:tc>
          <w:tcPr>
            <w:tcW w:type="dxa" w:w="33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/v1/handoff/packages</w:t>
            </w:r>
          </w:p>
        </w:tc>
        <w:tc>
          <w:tcPr>
            <w:tcW w:type="dxa" w:w="5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Submit a complete IND-enabling package. Synchronous validation (schema, SEND conformance, signature); async readiness scoring. Returns package_id and status=received. Idempotent on Idempotency-Key.</w:t>
            </w:r>
          </w:p>
        </w:tc>
      </w:tr>
      <w:tr>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GET</w:t>
            </w:r>
          </w:p>
        </w:tc>
        <w:tc>
          <w:tcPr>
            <w:tcW w:type="dxa" w:w="3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/v1/handoff/packages/{id}</w:t>
            </w:r>
          </w:p>
        </w:tc>
        <w:tc>
          <w:tcPr>
            <w:tcW w:type="dxa" w:w="52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Fetch a package by ID. Supports Accept: application/fhir+json to receive a FHIR R5 bundle projection.</w:t>
            </w:r>
          </w:p>
        </w:tc>
      </w:tr>
      <w:tr>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GET</w:t>
            </w:r>
          </w:p>
        </w:tc>
        <w:tc>
          <w:tcPr>
            <w:tcW w:type="dxa" w:w="33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/v1/handoff/packages/{id}/status</w:t>
            </w:r>
          </w:p>
        </w:tc>
        <w:tc>
          <w:tcPr>
            <w:tcW w:type="dxa" w:w="5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Returns readiness signals: validation state, ICH M3(R2) section flags, outstanding warnings, hash, signature status, Clinical-side acceptance state.</w:t>
            </w:r>
          </w:p>
        </w:tc>
      </w:tr>
      <w:tr>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POST</w:t>
            </w:r>
          </w:p>
        </w:tc>
        <w:tc>
          <w:tcPr>
            <w:tcW w:type="dxa" w:w="3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/v1/handoff/packages/{id}/withdraw</w:t>
            </w:r>
          </w:p>
        </w:tc>
        <w:tc>
          <w:tcPr>
            <w:tcW w:type="dxa" w:w="52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Pre-Clinical pulls a package back (e.g. a model revision invalidates a prediction). Creates an immutable withdrawal record; package transitions to withdrawn but not deleted. Requires reason code.</w:t>
            </w:r>
          </w:p>
        </w:tc>
      </w:tr>
      <w:tr>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GET</w:t>
            </w:r>
          </w:p>
        </w:tc>
        <w:tc>
          <w:tcPr>
            <w:tcW w:type="dxa" w:w="33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/v1/compounds/{compound_id}/handoff-history</w:t>
            </w:r>
          </w:p>
        </w:tc>
        <w:tc>
          <w:tcPr>
            <w:tcW w:type="dxa" w:w="5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Full audit trail of every package version submitted for a compound, with diff pointers between versions.</w:t>
            </w:r>
          </w:p>
        </w:tc>
      </w:tr>
      <w:tr>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POST</w:t>
            </w:r>
          </w:p>
        </w:tc>
        <w:tc>
          <w:tcPr>
            <w:tcW w:type="dxa" w:w="3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/v1/handoff/queries</w:t>
            </w:r>
          </w:p>
        </w:tc>
        <w:tc>
          <w:tcPr>
            <w:tcW w:type="dxa" w:w="52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Clinical opens a clarification ticket against a package or specific field. Creates a back-channel record and notifies Pre-Clinical via webhook.</w:t>
            </w:r>
          </w:p>
        </w:tc>
      </w:tr>
      <w:tr>
        <w:tc>
          <w:tcPr>
            <w:tcW w:type="dxa" w:w="8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GET</w:t>
            </w:r>
          </w:p>
        </w:tc>
        <w:tc>
          <w:tcPr>
            <w:tcW w:type="dxa" w:w="33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/v1/models/{layer}/registry</w:t>
            </w:r>
          </w:p>
        </w:tc>
        <w:tc>
          <w:tcPr>
            <w:tcW w:type="dxa" w:w="5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Query the twin's model registry. layer ∈ {l1,l2,l3,l4}. Returns active model versions, training-set provenance, calibration cohort hash. Read-only from Clinical.</w:t>
            </w:r>
          </w:p>
        </w:tc>
      </w:tr>
      <w:tr>
        <w:tc>
          <w:tcPr>
            <w:tcW w:type="dxa" w:w="8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POST</w:t>
            </w:r>
          </w:p>
        </w:tc>
        <w:tc>
          <w:tcPr>
            <w:tcW w:type="dxa" w:w="3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/v1/handoff/packages/{id}/discrepancies</w:t>
            </w:r>
          </w:p>
        </w:tc>
        <w:tc>
          <w:tcPr>
            <w:tcW w:type="dxa" w:w="52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Clinical reports that its human-trial simulation contradicts a Pre-Clinical projection. See §8.6.</w:t>
            </w:r>
          </w:p>
        </w:tc>
      </w:tr>
    </w:tbl>
    <w:p>
      <w:pPr>
        <w:spacing w:after="100"/>
      </w:pPr>
      <w:r>
        <w:t xml:space="preserve"/>
      </w:r>
    </w:p>
    <w:p>
      <w:pPr>
        <w:pStyle w:val="Heading3"/>
      </w:pPr>
      <w:r>
        <w:t xml:space="preserve">8.4.1 Full schema example — POST /v1/handoff/packages</w:t>
      </w:r>
    </w:p>
    <w:p>
      <w:pPr>
        <w:spacing w:after="120"/>
        <w:jc w:val="left"/>
      </w:pPr>
      <w:r>
        <w:t xml:space="preserve">Request:</w:t>
      </w:r>
    </w:p>
    <w:p>
      <w:pPr>
        <w:spacing w:after="120"/>
      </w:pPr>
      <w:r>
        <w:rPr>
          <w:rFonts w:ascii="Courier New" w:cs="Courier New" w:eastAsia="Courier New" w:hAnsi="Courier New"/>
          <w:sz w:val="20"/>
          <w:szCs w:val="20"/>
        </w:rPr>
        <w:t xml:space="preserve">POST /v1/handoff/packages HTTP/1.1
Host: api.hakase.akthealth.io
Authorization: Bearer eyJhbGciOi...
Idempotency-Key: 01HXY4Q9ZK6P2N3V8B7M5T1F0R
Content-Type: application/json
Accept: application/json
X-Hakase-Contract-Version: 1.3.0</w:t>
      </w:r>
    </w:p>
    <w:p>
      <w:pPr>
        <w:spacing w:after="120"/>
      </w:pPr>
      <w:r>
        <w:rPr>
          <w:rFonts w:ascii="Courier New" w:cs="Courier New" w:eastAsia="Courier New" w:hAnsi="Courier New"/>
          <w:sz w:val="20"/>
          <w:szCs w:val="20"/>
        </w:rPr>
        <w:t xml:space="preserve">{
  "package_id_client": "pkg-akt-2026-04-30-AKT0421",
  "submitted_by": {
    "team": "preclinical-twin",
    "agent_id": "twin-curator-l4",
    "human_signer": "user:adityat@akthealth.io"
  },
  "compound": {
    "internal_id": "AKT-0421",
    "smiles": "CC(=O)Nc1ccc(O)cc1",
    "inchi_key": "RZVAJINKPMORJF-UHFFFAOYSA-N",
    "salt_form": "free base",
    "stereochem": {
      "type": "achiral"
    },
    "batch_lot": "LOT-AKT0421-B07",
    "l1_record_ref": "l1://invitro/AKT-0421/panel-2025-11-03"
  },
  "nonclinical_safety": {
    "noael": [
      {
        "species": "rat",
        "dose_mg_kg_day": 50,
        "auc_ng_h_ml": 12400,
        "cmax_ng_ml": 1850,
        "study_id": "TOX-AKT0421-R-04W"
      },
      {
        "species": "dog",
        "dose_mg_kg_day": 15,
        "auc_ng_h_ml": 8900,
        "cmax_ng_ml": 1320,
        "study_id": "TOX-AKT0421-D-04W"
      }
    ],
    "target_organ_findings": [
      {
        "organ_meddra": "liver",
        "species": "rat",
        "send_domain": "MI",
        "severity": "minimal",
        "reversibility": "reversible"
      }
    ],
    "genotox": {
      "ames": {
        "result": "negative"
      },
      "micronucleus": {
        "result": "negative"
      },
      "comet": {
        "result": "not_performed"
      }
    },
    "cv_safety_s7b": {
      "herg_ic50_um": 28.4,
      "in_vivo_qt_telemetry": {
        "species": "dog",
        "noec_dose_mg_kg": 15,
        "exposure_margin": 32
      },
      "integrated_risk": "low"
    }
  },
  "pk_adme": {
    "animal_pk": [
      {
        "species": "rat",
        "cl_ml_min_kg": 18.2,
        "vd_l_kg": 1.4,
        "t_half_h": 3.1,
        "bioavailability_pct": 42
      },
      {
        "species": "dog",
        "cl_ml_min_kg": 6.8,
        "vd_l_kg": 0.9,
        "t_half_h": 5.6,
        "bioavailability_pct": 61
      }
    ],
    "human_pk_projection": {
      "method": "PBPK",
      "model_id": "twin.l2.pbpk.v4.2.1",
      "predicted_cl_ml_min_kg": 4.2,
      "predicted_t_half_h": 8,
      "ci_95": {
        "cl": [
          3.1,
          5.6
        ],
        "t_half": [
          6.4,
          10.1
        ]
      }
    },
    "mrsd": {
      "method": "FDA_2005_HED_allometric",
      "noael_basis_species": "dog",
      "hed_mg_kg": 8.3,
      "safety_factor": 10,
      "mrsd_mg_60kg_adult": 50,
      "exposure_margin_at_noael": 24
    }
  },
  "twin_metadata": {
    "contributing_models": [
      {
        "layer": "l1",
        "model_id": "twin.l1.invitro.v3.1.0"
      },
      {
        "layer": "l2",
        "model_id": "twin.l2.pbpk.v4.2.1"
      },
      {
        "layer": "l3",
        "model_id": "twin.l3.liver-mps.v2.0.4"
      },
      {
        "layer": "l4",
        "model_id": "twin.l4.cohort.v1.7.2"
      }
    ],
    "ivive_confidence": 0.81,
    "send_dataset_ref": "send://AKT-0421/define-xml/2026-04-29",
    "send_ig_version": "3.1.1",
    "arrive_2_compliant": true,
    "glp_status": {
      "general_tox": "GLP",
      "genotox": "GLP",
      "efficacy": "non-GLP"
    },
    "simulation_derived_components": [
      {
        "component": "virtual_control_arm_rat_CIA",
        "model_id": "twin.l4.cohort.v1.7.2",
        "flagged": true
      }
    ]
  },
  "provenance": {
    "package_hash_sha256": "9f1c...e22a",
    "signature": {
      "alg": "Ed25519",
      "key_id": "akt-twin-signer-2026",
      "value": "MEUCIQD..."
    },
    "parent_package_id": null
  }
}</w:t>
      </w:r>
    </w:p>
    <w:p>
      <w:pPr>
        <w:spacing w:after="120"/>
        <w:jc w:val="left"/>
      </w:pPr>
      <w:r>
        <w:t xml:space="preserve">Response — 201 Created:</w:t>
      </w:r>
    </w:p>
    <w:p>
      <w:pPr>
        <w:spacing w:after="120"/>
      </w:pPr>
      <w:r>
        <w:rPr>
          <w:rFonts w:ascii="Courier New" w:cs="Courier New" w:eastAsia="Courier New" w:hAnsi="Courier New"/>
          <w:sz w:val="20"/>
          <w:szCs w:val="20"/>
        </w:rPr>
        <w:t xml:space="preserve">{
  "package_id": "01HXY4QB3F7N5K8R9V2M0T6P1A",
  "status": "received",
  "validation": {
    "schema": "pass",
    "send_conformance": "pass",
    "signature": "verified",
    "ich_m3_r2_readiness_score": 0.93
  },
  "readiness_async_job_id": "job_01HXY4QC...",
  "links": {
    "self": "/v1/handoff/packages/01HXY4QB3F7N5K8R9V2M0T6P1A",
    "status": "/v1/handoff/packages/01HXY4QB3F7N5K8R9V2M0T6P1A/status",
    "fhir_projection": "/v1/handoff/packages/01HXY4QB3F7N5K8R9V2M0T6P1A?format=fhir"
  },
  "received_at": "2026-04-30T14:22:18Z"
}</w:t>
      </w:r>
    </w:p>
    <w:p>
      <w:pPr>
        <w:pStyle w:val="Heading3"/>
      </w:pPr>
      <w:r>
        <w:t xml:space="preserve">8.4.2 Versioning, idempotency, retries, webhooks, auth</w:t>
      </w:r>
    </w:p>
    <w:p>
      <w:pPr>
        <w:pStyle w:val="ListParagraph"/>
        <w:numPr>
          <w:ilvl w:val="0"/>
          <w:numId w:val="2"/>
        </w:numPr>
        <w:spacing w:after="60"/>
      </w:pPr>
      <w:r>
        <w:t xml:space="preserve">URL-versioned major (/v1/, /v2/) for breaking changes; content-negotiated minor / patch via X-Hakase-Contract-Version header (semver). Server picks highest compatible minor. Sunset header (RFC 8594) on deprecated paths, minimum 12 months notice.</w:t>
      </w:r>
    </w:p>
    <w:p>
      <w:pPr>
        <w:pStyle w:val="ListParagraph"/>
        <w:numPr>
          <w:ilvl w:val="0"/>
          <w:numId w:val="2"/>
        </w:numPr>
        <w:spacing w:after="60"/>
      </w:pPr>
      <w:r>
        <w:t xml:space="preserve">All POSTs require Idempotency-Key. Server caches response keyed by (client_id, key) for 24 h. 5xx safe to retry with same key; 4xx not.</w:t>
      </w:r>
    </w:p>
    <w:p>
      <w:pPr>
        <w:pStyle w:val="ListParagraph"/>
        <w:numPr>
          <w:ilvl w:val="0"/>
          <w:numId w:val="2"/>
        </w:numPr>
        <w:spacing w:after="60"/>
      </w:pPr>
      <w:r>
        <w:t xml:space="preserve">Async readiness updates pushed via webhook (package.readiness.updated, package.accepted, package.discrepancy.opened) with HMAC-SHA256 signed payloads, 30 s receiver timeout.</w:t>
      </w:r>
    </w:p>
    <w:p>
      <w:pPr>
        <w:pStyle w:val="ListParagraph"/>
        <w:numPr>
          <w:ilvl w:val="0"/>
          <w:numId w:val="2"/>
        </w:numPr>
        <w:spacing w:after="60"/>
      </w:pPr>
      <w:r>
        <w:t xml:space="preserve">OAuth2 client credentials grant against auth.hakase.akthealth.io. Scopes: read:handoff, write:handoff, model:registry, discrepancy:write. mTLS optional for high-trust deployments.</w:t>
      </w:r>
    </w:p>
    <w:p>
      <w:pPr>
        <w:pStyle w:val="Heading2"/>
      </w:pPr>
      <w:r>
        <w:t xml:space="preserve">8.5 Audit and traceability</w:t>
      </w:r>
    </w:p>
    <w:p>
      <w:pPr>
        <w:spacing w:after="120"/>
        <w:jc w:val="left"/>
      </w:pPr>
      <w:r>
        <w:t xml:space="preserve">Every leaf field in the payload must be traceable to (model_id, dataset_ref, study_record_id). The provenance envelope is normative:</w:t>
      </w:r>
    </w:p>
    <w:p>
      <w:pPr>
        <w:spacing w:after="120"/>
      </w:pPr>
      <w:r>
        <w:rPr>
          <w:rFonts w:ascii="Courier New" w:cs="Courier New" w:eastAsia="Courier New" w:hAnsi="Courier New"/>
          <w:sz w:val="20"/>
          <w:szCs w:val="20"/>
        </w:rPr>
        <w:t xml:space="preserve">{
  "field_path": "pk_adme.human_pk_projection.predicted_cl_ml_min_kg",
  "model_id": "twin.l2.pbpk.v4.2.1",
  "dataset_ref": "send://AKT-0421/PC/2026-04-12",
  "study_record_id": "PK-AKT0421-RAT-IV-PO",
  "computed_at": "2026-04-29T11:04:00Z",
  "computed_by": "agent:twin-curator-l4",
  "input_hashes": [
    "sha256:..."
  ]
}</w:t>
      </w:r>
    </w:p>
    <w:p>
      <w:pPr>
        <w:spacing w:after="120"/>
        <w:jc w:val="left"/>
      </w:pPr>
      <w:r>
        <w:t xml:space="preserve">The package as a whole carries a SHA-256 hash over the canonical JSON form (RFC 8785 JCS), an Ed25519 signature chain (registered in HAIOps KMS), and an immutable archive: once status = accepted, the package is sealed; updates create a new package with parent_package_id set; the old one stays.</w:t>
      </w:r>
    </w:p>
    <w:p>
      <w:pPr>
        <w:spacing w:after="120"/>
        <w:jc w:val="left"/>
      </w:pPr>
      <w:r>
        <w:t xml:space="preserve">21 CFR Part 11: any handoff package that will support an IND submission must satisfy electronic-records and electronic-signatures requirements — unique user attribution for human signers (no shared accounts), audit trails that cannot be modified by users, signature-manifestation linking, periodic system validation, controlled-copy generation. Agent-generated content (twin curators) must be co-signed by an accountable human reviewer; the API enforces this by requiring submitted_by.human_signer to be a person, not an agent ID.</w:t>
      </w:r>
    </w:p>
    <w:p>
      <w:pPr>
        <w:pStyle w:val="Heading2"/>
      </w:pPr>
      <w:r>
        <w:t xml:space="preserve">8.6 Discrepancy handling — closed-loop learning</w:t>
      </w:r>
    </w:p>
    <w:p>
      <w:pPr>
        <w:spacing w:after="120"/>
        <w:jc w:val="left"/>
      </w:pPr>
      <w:r>
        <w:t xml:space="preserve">When Clinical's human-trial simulation contradicts L4's projection — predicted CL diverges by &gt;2×, or a safety margin shrinks below threshold — Clinical posts a discrepancy:</w:t>
      </w:r>
    </w:p>
    <w:p>
      <w:pPr>
        <w:spacing w:after="120"/>
      </w:pPr>
      <w:r>
        <w:rPr>
          <w:rFonts w:ascii="Courier New" w:cs="Courier New" w:eastAsia="Courier New" w:hAnsi="Courier New"/>
          <w:sz w:val="20"/>
          <w:szCs w:val="20"/>
        </w:rPr>
        <w:t xml:space="preserve">{
  "discrepancy_id_client": "disc-2026-05-07-001",
  "package_id": "01HXY4QB3F7N5K8R9V2M0T6P1A",
  "field_path": "pk_adme.human_pk_projection.predicted_cl_ml_min_kg",
  "preclinical_value": {
    "value": 4.2,
    "ci_95": [
      3.1,
      5.6
    ]
  },
  "clinical_observation": {
    "source": "phase1_simulation",
    "model_id": "clinical.trialsim.v2.4",
    "value": 9.1,
    "ci_95": [
      7.4,
      11
    ]
  },
  "magnitude": "2.2x",
  "severity": "high",
  "proposed_action": "recalibrate L2 PBPK kernel; consider human hepatocyte CLint refresh at L1",
  "opened_by": "user:clinical-lead@akthealth.io"
}</w:t>
      </w:r>
    </w:p>
    <w:p>
      <w:pPr>
        <w:spacing w:after="120"/>
        <w:jc w:val="left"/>
      </w:pPr>
      <w:r>
        <w:t xml:space="preserve">Server creates a discrepancy_record and fans it out to: the twin's model registry as a calibration-feedback event against twin.l2.pbpk.v4.2.1; the L4 curator agent's task queue; the originating package's audit trail (package.discrepancy.opened webhook). This is the closed-loop learning mechanism — Clinical observations feed back into the twin's model versioning. Resolution states: open → under_investigation → resolved_recalibrated | resolved_no_change | resolved_data_correction.</w:t>
      </w:r>
    </w:p>
    <w:p>
      <w:pPr>
        <w:pStyle w:val="Heading2"/>
      </w:pPr>
      <w:r>
        <w:t xml:space="preserve">8.7 Performance and SLOs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40"/>
            </w:pPr>
            <w:r>
              <w:rPr>
                <w:b/>
                <w:bCs/>
                <w:sz w:val="18"/>
                <w:szCs w:val="18"/>
              </w:rPr>
              <w:t xml:space="preserve">Dimension</w:t>
            </w:r>
          </w:p>
        </w:tc>
        <w:tc>
          <w:tcPr>
            <w:tcW w:type="dxa" w:w="436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40"/>
            </w:pPr>
            <w:r>
              <w:rPr>
                <w:b/>
                <w:bCs/>
                <w:sz w:val="18"/>
                <w:szCs w:val="18"/>
              </w:rPr>
              <w:t xml:space="preserve">Target</w:t>
            </w:r>
          </w:p>
        </w:tc>
      </w:tr>
      <w:tr>
        <w:tc>
          <w:tcPr>
            <w:tcW w:type="dxa" w:w="5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Typical package size (JSON envelope, no binaries)</w:t>
            </w:r>
          </w:p>
        </w:tc>
        <w:tc>
          <w:tcPr>
            <w:tcW w:type="dxa" w:w="43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200 KB – 2 MB</w:t>
            </w:r>
          </w:p>
        </w:tc>
      </w:tr>
      <w:tr>
        <w:tc>
          <w:tcPr>
            <w:tcW w:type="dxa" w:w="5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Package + linked SEND datasets (binary)</w:t>
            </w:r>
          </w:p>
        </w:tc>
        <w:tc>
          <w:tcPr>
            <w:tcW w:type="dxa" w:w="43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50 MB – 5 GB (datasets stored separately, referenced by URI)</w:t>
            </w:r>
          </w:p>
        </w:tc>
      </w:tr>
      <w:tr>
        <w:tc>
          <w:tcPr>
            <w:tcW w:type="dxa" w:w="5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POST /v1/handoff/packages p95 (sync validation only)</w:t>
            </w:r>
          </w:p>
        </w:tc>
        <w:tc>
          <w:tcPr>
            <w:tcW w:type="dxa" w:w="43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&lt; 4 s</w:t>
            </w:r>
          </w:p>
        </w:tc>
      </w:tr>
      <w:tr>
        <w:tc>
          <w:tcPr>
            <w:tcW w:type="dxa" w:w="5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Readiness async scoring p95</w:t>
            </w:r>
          </w:p>
        </w:tc>
        <w:tc>
          <w:tcPr>
            <w:tcW w:type="dxa" w:w="43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&lt; 90 s</w:t>
            </w:r>
          </w:p>
        </w:tc>
      </w:tr>
      <w:tr>
        <w:tc>
          <w:tcPr>
            <w:tcW w:type="dxa" w:w="5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GET /v1/handoff/packages/{id} p95</w:t>
            </w:r>
          </w:p>
        </w:tc>
        <w:tc>
          <w:tcPr>
            <w:tcW w:type="dxa" w:w="43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&lt; 300 ms (cacheable)</w:t>
            </w:r>
          </w:p>
        </w:tc>
      </w:tr>
      <w:tr>
        <w:tc>
          <w:tcPr>
            <w:tcW w:type="dxa" w:w="5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FHIR projection p95</w:t>
            </w:r>
          </w:p>
        </w:tc>
        <w:tc>
          <w:tcPr>
            <w:tcW w:type="dxa" w:w="43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&lt; 1.5 s</w:t>
            </w:r>
          </w:p>
        </w:tc>
      </w:tr>
      <w:tr>
        <w:tc>
          <w:tcPr>
            <w:tcW w:type="dxa" w:w="5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Webhook delivery, end-to-end</w:t>
            </w:r>
          </w:p>
        </w:tc>
        <w:tc>
          <w:tcPr>
            <w:tcW w:type="dxa" w:w="43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&lt; 10 s</w:t>
            </w:r>
          </w:p>
        </w:tc>
      </w:tr>
      <w:tr>
        <w:tc>
          <w:tcPr>
            <w:tcW w:type="dxa" w:w="5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Availability</w:t>
            </w:r>
          </w:p>
        </w:tc>
        <w:tc>
          <w:tcPr>
            <w:tcW w:type="dxa" w:w="43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99.9%</w:t>
            </w:r>
          </w:p>
        </w:tc>
      </w:tr>
      <w:tr>
        <w:tc>
          <w:tcPr>
            <w:tcW w:type="dxa" w:w="5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Submission throughput</w:t>
            </w:r>
          </w:p>
        </w:tc>
        <w:tc>
          <w:tcPr>
            <w:tcW w:type="dxa" w:w="43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bursty; design for 50 packages/hour peak</w:t>
            </w:r>
          </w:p>
        </w:tc>
      </w:tr>
    </w:tbl>
    <w:p>
      <w:pPr>
        <w:spacing w:after="100"/>
      </w:pPr>
      <w:r>
        <w:t xml:space="preserve"/>
      </w:r>
    </w:p>
    <w:p>
      <w:pPr>
        <w:pStyle w:val="Heading2"/>
      </w:pPr>
      <w:r>
        <w:t xml:space="preserve">8.8 Open questions to resolve before implementation</w:t>
      </w:r>
    </w:p>
    <w:p>
      <w:pPr>
        <w:pStyle w:val="ListParagraph"/>
        <w:numPr>
          <w:ilvl w:val="0"/>
          <w:numId w:val="2"/>
        </w:numPr>
        <w:spacing w:after="60"/>
      </w:pPr>
      <w:r>
        <w:t xml:space="preserve">SEND→FHIR mapping ownership — Pre-Clinical, Clinical, or shared HAIOps standards working group? Recommendation: shared standards group, Pre-Clinical proposes, Clinical approves, semver-versioned.</w:t>
      </w:r>
    </w:p>
    <w:p>
      <w:pPr>
        <w:pStyle w:val="ListParagraph"/>
        <w:numPr>
          <w:ilvl w:val="0"/>
          <w:numId w:val="2"/>
        </w:numPr>
        <w:spacing w:after="60"/>
      </w:pPr>
      <w:r>
        <w:t xml:space="preserve">Simulation-derived L4 outputs — does Clinical accept virtual control groups or in-silico-augmented cohorts? If yes, must they always carry the simulation_derived_components flag? Does Clinical weight them differently? Needs explicit policy before first production handoff.</w:t>
      </w:r>
    </w:p>
    <w:p>
      <w:pPr>
        <w:pStyle w:val="ListParagraph"/>
        <w:numPr>
          <w:ilvl w:val="0"/>
          <w:numId w:val="2"/>
        </w:numPr>
        <w:spacing w:after="60"/>
      </w:pPr>
      <w:r>
        <w:t xml:space="preserve">Rolling vs. complete submissions — does Clinical accept per-domain submissions ("tox is ready, PK projection lands next week") or only complete packages? Rolling is friendlier to real workflows but harder to version atomically.</w:t>
      </w:r>
    </w:p>
    <w:p>
      <w:pPr>
        <w:pStyle w:val="ListParagraph"/>
        <w:numPr>
          <w:ilvl w:val="0"/>
          <w:numId w:val="2"/>
        </w:numPr>
        <w:spacing w:after="60"/>
      </w:pPr>
      <w:r>
        <w:t xml:space="preserve">R6 timing — when HL7 finalises FHIR R6, what is the migration window for the outbound projection?</w:t>
      </w:r>
    </w:p>
    <w:p>
      <w:pPr>
        <w:pStyle w:val="ListParagraph"/>
        <w:numPr>
          <w:ilvl w:val="0"/>
          <w:numId w:val="2"/>
        </w:numPr>
        <w:spacing w:after="60"/>
      </w:pPr>
      <w:r>
        <w:t xml:space="preserve">Cross-region data residency — if Pre-Clinical and Clinical instances run in different jurisdictions, where does the immutable archive live, and which regulator's e-records rules govern it?</w:t>
      </w:r>
    </w:p>
    <w:p>
      <w:pPr>
        <w:pStyle w:val="ListParagraph"/>
        <w:numPr>
          <w:ilvl w:val="0"/>
          <w:numId w:val="2"/>
        </w:numPr>
        <w:spacing w:after="60"/>
      </w:pPr>
      <w:r>
        <w:t xml:space="preserve">Withdrawal semantics — when Pre-Clinical withdraws a package, what obligation does Clinical have to halt downstream simulations that depend on it? Recommendation: webhook-driven invalidation with a grace window.</w:t>
      </w:r>
    </w:p>
    <w:p>
      <w:pPr>
        <w:pStyle w:val="ListParagraph"/>
        <w:numPr>
          <w:ilvl w:val="0"/>
          <w:numId w:val="2"/>
        </w:numPr>
        <w:spacing w:after="60"/>
      </w:pPr>
      <w:r>
        <w:t xml:space="preserve">DAaaS surface — will any of these endpoints be exposed externally as part of a per-deliverable or per-stage DAaaS offering, or strictly internal? Authorisation scopes differ.</w:t>
      </w:r>
    </w:p>
    <w:p>
      <w:pPr>
        <w:pStyle w:val="Heading1"/>
        <w:pageBreakBefore/>
      </w:pPr>
      <w:r>
        <w:t xml:space="preserve">9. Cross-Layer Integration and Data Flow</w:t>
      </w:r>
    </w:p>
    <w:p>
      <w:pPr>
        <w:pStyle w:val="Heading2"/>
      </w:pPr>
      <w:r>
        <w:t xml:space="preserve">9.1 The compound's journey</w:t>
      </w:r>
    </w:p>
    <w:p>
      <w:pPr>
        <w:spacing w:after="120"/>
        <w:jc w:val="left"/>
      </w:pPr>
      <w:r>
        <w:t xml:space="preserve">A compound enters the twin at L1 as a SMILES with a target hypothesis. By the time it leaves L4 it has become an IND-enabling package. Each layer adds evidence, kills bad candidates, and tightens uncertainty. Roughly:</w:t>
      </w:r>
    </w:p>
    <w:p>
      <w:pPr>
        <w:pStyle w:val="ListParagraph"/>
        <w:numPr>
          <w:ilvl w:val="0"/>
          <w:numId w:val="2"/>
        </w:numPr>
        <w:spacing w:after="60"/>
      </w:pPr>
      <w:r>
        <w:t xml:space="preserve">L1 receives ~200–2,000 candidates from medicinal chemistry. Wet assay panel (primary affinity, ADMET, hERG, cytotox, selectivity) reduces the survivor set to ~50–500 with quantitative fingerprints.</w:t>
      </w:r>
    </w:p>
    <w:p>
      <w:pPr>
        <w:pStyle w:val="ListParagraph"/>
        <w:numPr>
          <w:ilvl w:val="0"/>
          <w:numId w:val="2"/>
        </w:numPr>
        <w:spacing w:after="60"/>
      </w:pPr>
      <w:r>
        <w:t xml:space="preserve">L2 in-silico triage prunes to 20–50 with predicted human dose ranges, exposure margins, free-energy refined affinity for the top tier, and PoseBusters-cleared docking poses. L2 also flags compounds where in-silico and L1 data disagree.</w:t>
      </w:r>
    </w:p>
    <w:p>
      <w:pPr>
        <w:pStyle w:val="ListParagraph"/>
        <w:numPr>
          <w:ilvl w:val="0"/>
          <w:numId w:val="2"/>
        </w:numPr>
        <w:spacing w:after="60"/>
      </w:pPr>
      <w:r>
        <w:t xml:space="preserve">L3 ex-vivo work tests the L2 shortlist against real tissue. Tier-1 cheap triage kills compounds with hepatotox margins under 30×. Tier-2 generates the tissue-selectivity matrix and IVIVE-calibrated PK on liver-chip / kidney-chip / organoid panels. Tier-3 conditional CV / CNS work runs only when triggered. Output: typically 3–10 compounds with full graduation dossier.</w:t>
      </w:r>
    </w:p>
    <w:p>
      <w:pPr>
        <w:pStyle w:val="ListParagraph"/>
        <w:numPr>
          <w:ilvl w:val="0"/>
          <w:numId w:val="2"/>
        </w:numPr>
        <w:spacing w:after="60"/>
      </w:pPr>
      <w:r>
        <w:t xml:space="preserve">L4 receives the L3 dossier, simulates the M3(R2) study battery to seed Bayesian priors, then runs the wet GLP studies (or virtual / shadow control arms), assembles SEND-conformant Module 4 documents, and emits the IND-enabling package.</w:t>
      </w:r>
    </w:p>
    <w:p>
      <w:pPr>
        <w:pStyle w:val="ListParagraph"/>
        <w:numPr>
          <w:ilvl w:val="0"/>
          <w:numId w:val="2"/>
        </w:numPr>
        <w:spacing w:after="60"/>
      </w:pPr>
      <w:r>
        <w:t xml:space="preserve">Clinical receives the SEND package via the L4 → Clinical API, projects it as FHIR R5 resources, and runs human-trial simulations. Discrepancies feed back to the twin's model registry.</w:t>
      </w:r>
    </w:p>
    <w:p>
      <w:pPr>
        <w:pStyle w:val="Heading2"/>
      </w:pPr>
      <w:r>
        <w:t xml:space="preserve">9.2 Provenance, model registry, and audit trail</w:t>
      </w:r>
    </w:p>
    <w:p>
      <w:pPr>
        <w:spacing w:after="120"/>
        <w:jc w:val="left"/>
      </w:pPr>
      <w:r>
        <w:t xml:space="preserve">Every prediction the twin makes is anchored to a (model_id, model_version, training_set_hash, calibration_cohort_hash) tuple. The model registry is read-only from outside the twin and is queryable by the Clinical module via /v1/models/{layer}/registry. Every twin run is a manifest (inputs + model versions + parameter set + outputs + provenance) that can be re-executed bit-identically. This is the FAIR-by-design requirement compiled into engineering policy.</w:t>
      </w:r>
    </w:p>
    <w:p>
      <w:pPr>
        <w:spacing w:after="120"/>
        <w:jc w:val="left"/>
      </w:pPr>
      <w:r>
        <w:t xml:space="preserve">Audit trail spans all four layers: at L1, assay metadata + Cellosaurus CVCL accession + replicate count; at L2, model versions + container hashes + random seeds; at L3, vendor / lot for chips and organoid lines, raw imaging URIs, image-analysis pipeline hash; at L4, GLP study director + protocol manifest + SEND dataset hash + Pinnacle-21 validation log. The handoff package carries a SHA-256 hash over its canonical JSON form and is signed with Ed25519; once accepted, the package is immutably archived.</w:t>
      </w:r>
    </w:p>
    <w:p>
      <w:pPr>
        <w:pStyle w:val="Heading2"/>
      </w:pPr>
      <w:r>
        <w:t xml:space="preserve">9.3 Closed-loop learning</w:t>
      </w:r>
    </w:p>
    <w:p>
      <w:pPr>
        <w:spacing w:after="120"/>
        <w:jc w:val="left"/>
      </w:pPr>
      <w:r>
        <w:t xml:space="preserve">When Clinical observations contradict twin projections, the discrepancy endpoint creates a calibration-feedback event against the specific L2 PBPK kernel (or whichever model is implicated) in the registry. The twin's curator agents pick this up and either retrain the kernel against the expanded calibration set, flag it as a known applicability-domain limitation, or escalate for SME review. The next package submitted for the same compound — or future compounds using the same kernel — carries the recalibrated prediction. This is the mechanism by which the twin learns from clinical reality without the boundary becoming permeable.</w:t>
      </w:r>
    </w:p>
    <w:p>
      <w:pPr>
        <w:pStyle w:val="Heading1"/>
        <w:pageBreakBefore/>
      </w:pPr>
      <w:r>
        <w:t xml:space="preserve">10. Build-vs-Buy Summary</w:t>
      </w:r>
    </w:p>
    <w:p>
      <w:pPr>
        <w:spacing w:after="120"/>
        <w:jc w:val="left"/>
      </w:pPr>
      <w:r>
        <w:t xml:space="preserve">For each layer, the recommendation is OSS-first with targeted commercial seats where the marginal value is high. Year-1 commercial budget should be planned for two items: a DrugBank commercial seat and one MPS vendor partnership at L3. Everything else is workable in OSS for the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460"/>
      </w:tblGrid>
      <w:tr>
        <w:trPr>
          <w:tblHeader/>
        </w:trPr>
        <w:tc>
          <w:tcPr>
            <w:tcW w:type="dxa" w:w="23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40"/>
            </w:pPr>
            <w:r>
              <w:rPr>
                <w:b/>
                <w:bCs/>
                <w:sz w:val="18"/>
                <w:szCs w:val="18"/>
              </w:rPr>
              <w:t xml:space="preserve">Capability</w:t>
            </w:r>
          </w:p>
        </w:tc>
        <w:tc>
          <w:tcPr>
            <w:tcW w:type="dxa" w:w="23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40"/>
            </w:pPr>
            <w:r>
              <w:rPr>
                <w:b/>
                <w:bCs/>
                <w:sz w:val="18"/>
                <w:szCs w:val="18"/>
              </w:rPr>
              <w:t xml:space="preserve">OSS option</w:t>
            </w:r>
          </w:p>
        </w:tc>
        <w:tc>
          <w:tcPr>
            <w:tcW w:type="dxa" w:w="23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40"/>
            </w:pPr>
            <w:r>
              <w:rPr>
                <w:b/>
                <w:bCs/>
                <w:sz w:val="18"/>
                <w:szCs w:val="18"/>
              </w:rPr>
              <w:t xml:space="preserve">Commercial alternative</w:t>
            </w:r>
          </w:p>
        </w:tc>
        <w:tc>
          <w:tcPr>
            <w:tcW w:type="dxa" w:w="246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40"/>
            </w:pPr>
            <w:r>
              <w:rPr>
                <w:b/>
                <w:bCs/>
                <w:sz w:val="18"/>
                <w:szCs w:val="18"/>
              </w:rPr>
              <w:t xml:space="preserve">Recommendation</w:t>
            </w:r>
          </w:p>
        </w:tc>
      </w:tr>
      <w:tr>
        <w:tc>
          <w:tcPr>
            <w:tcW w:type="dxa" w:w="23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ADMET prediction</w:t>
            </w:r>
          </w:p>
        </w:tc>
        <w:tc>
          <w:tcPr>
            <w:tcW w:type="dxa" w:w="23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ADMET-AI, Chemprop, FP-ADMET, ADMETLab 3.0 web</w:t>
            </w:r>
          </w:p>
        </w:tc>
        <w:tc>
          <w:tcPr>
            <w:tcW w:type="dxa" w:w="23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DrugBank ADMET fields, Schrödinger</w:t>
            </w:r>
          </w:p>
        </w:tc>
        <w:tc>
          <w:tcPr>
            <w:tcW w:type="dxa" w:w="2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OSS for prediction; DrugBank seat for marketed-drug reference</w:t>
            </w:r>
          </w:p>
        </w:tc>
      </w:tr>
      <w:tr>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Docking / co-folding</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AutoDock Vina, GNINA, DiffDock, Boltz-1/2</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Glide (Schrödinger), AlphaFold 3 server</w:t>
            </w:r>
          </w:p>
        </w:tc>
        <w:tc>
          <w:tcPr>
            <w:tcW w:type="dxa" w:w="24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OSS — Boltz-1/2 is the AF3 substitute; Glide for benchmark only</w:t>
            </w:r>
          </w:p>
        </w:tc>
      </w:tr>
      <w:tr>
        <w:tc>
          <w:tcPr>
            <w:tcW w:type="dxa" w:w="23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Free-energy / RBFE</w:t>
            </w:r>
          </w:p>
        </w:tc>
        <w:tc>
          <w:tcPr>
            <w:tcW w:type="dxa" w:w="23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OpenMM/TIES + OpenFF Sage</w:t>
            </w:r>
          </w:p>
        </w:tc>
        <w:tc>
          <w:tcPr>
            <w:tcW w:type="dxa" w:w="23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FEP+ (Schrödinger)</w:t>
            </w:r>
          </w:p>
        </w:tc>
        <w:tc>
          <w:tcPr>
            <w:tcW w:type="dxa" w:w="2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OSS for screening; FEP+ head-to-head if RBFE is on the critical path</w:t>
            </w:r>
          </w:p>
        </w:tc>
      </w:tr>
      <w:tr>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PBPK</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PK-Sim / MoBi</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GastroPlus, Simcyp</w:t>
            </w:r>
          </w:p>
        </w:tc>
        <w:tc>
          <w:tcPr>
            <w:tcW w:type="dxa" w:w="24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OSS for non-regulatory; budget commercial seat if oral absorption / DDI is critical</w:t>
            </w:r>
          </w:p>
        </w:tc>
      </w:tr>
      <w:tr>
        <w:tc>
          <w:tcPr>
            <w:tcW w:type="dxa" w:w="23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QSP</w:t>
            </w:r>
          </w:p>
        </w:tc>
        <w:tc>
          <w:tcPr>
            <w:tcW w:type="dxa" w:w="23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Tellurium, COPASI, BioModels</w:t>
            </w:r>
          </w:p>
        </w:tc>
        <w:tc>
          <w:tcPr>
            <w:tcW w:type="dxa" w:w="23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Schrödinger PathChemist, MATLAB SimBiology</w:t>
            </w:r>
          </w:p>
        </w:tc>
        <w:tc>
          <w:tcPr>
            <w:tcW w:type="dxa" w:w="2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OSS — bespoke models the bottleneck, not the engine</w:t>
            </w:r>
          </w:p>
        </w:tc>
      </w:tr>
      <w:tr>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Image analysis (organoid / MPS)</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CellProfiler, Cellpose 3, OrganoidTracker</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Aiforia, Visiopharm</w:t>
            </w:r>
          </w:p>
        </w:tc>
        <w:tc>
          <w:tcPr>
            <w:tcW w:type="dxa" w:w="24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OSS for research; commercial Aiforia / Visiopharm for GLP-grade L4 histopath</w:t>
            </w:r>
          </w:p>
        </w:tc>
      </w:tr>
      <w:tr>
        <w:tc>
          <w:tcPr>
            <w:tcW w:type="dxa" w:w="23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Histopath foundation models</w:t>
            </w:r>
          </w:p>
        </w:tc>
        <w:tc>
          <w:tcPr>
            <w:tcW w:type="dxa" w:w="23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UNI, Virchow, PathChat (research)</w:t>
            </w:r>
          </w:p>
        </w:tc>
        <w:tc>
          <w:tcPr>
            <w:tcW w:type="dxa" w:w="23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Aiforia 6, Visiopharm 2025.1</w:t>
            </w:r>
          </w:p>
        </w:tc>
        <w:tc>
          <w:tcPr>
            <w:tcW w:type="dxa" w:w="2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Foundation models second-reader assist only; commercial primary in GLP</w:t>
            </w:r>
          </w:p>
        </w:tc>
      </w:tr>
      <w:tr>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IVIVE</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httk, PK-Sim IVIVE module</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Simcyp In Vitro Analysis Toolkit</w:t>
            </w:r>
          </w:p>
        </w:tc>
        <w:tc>
          <w:tcPr>
            <w:tcW w:type="dxa" w:w="24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OSS — recalibrate against modern liver-chip + PCLS data</w:t>
            </w:r>
          </w:p>
        </w:tc>
      </w:tr>
      <w:tr>
        <w:tc>
          <w:tcPr>
            <w:tcW w:type="dxa" w:w="23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Single-cell drug response</w:t>
            </w:r>
          </w:p>
        </w:tc>
        <w:tc>
          <w:tcPr>
            <w:tcW w:type="dxa" w:w="23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Drug2cell, scDrug, CellOracle</w:t>
            </w:r>
          </w:p>
        </w:tc>
        <w:tc>
          <w:tcPr>
            <w:tcW w:type="dxa" w:w="23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w:t>
            </w:r>
          </w:p>
        </w:tc>
        <w:tc>
          <w:tcPr>
            <w:tcW w:type="dxa" w:w="2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OSS only</w:t>
            </w:r>
          </w:p>
        </w:tc>
      </w:tr>
      <w:tr>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Tissue selectivity scoring</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Drug2cell + GTEx + httk pattern</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PharmOmics-derived commercial offerings</w:t>
            </w:r>
          </w:p>
        </w:tc>
        <w:tc>
          <w:tcPr>
            <w:tcW w:type="dxa" w:w="24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Build in-house from OSS</w:t>
            </w:r>
          </w:p>
        </w:tc>
      </w:tr>
      <w:tr>
        <w:tc>
          <w:tcPr>
            <w:tcW w:type="dxa" w:w="23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MPS data</w:t>
            </w:r>
          </w:p>
        </w:tc>
        <w:tc>
          <w:tcPr>
            <w:tcW w:type="dxa" w:w="23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MPS-Database, NCATS Tissue Chip</w:t>
            </w:r>
          </w:p>
        </w:tc>
        <w:tc>
          <w:tcPr>
            <w:tcW w:type="dxa" w:w="23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Emulate / CN Bio / Mimetas / TissUse / InSphero</w:t>
            </w:r>
          </w:p>
        </w:tc>
        <w:tc>
          <w:tcPr>
            <w:tcW w:type="dxa" w:w="2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Plan for one vendor partnership for L3 calibration</w:t>
            </w:r>
          </w:p>
        </w:tc>
      </w:tr>
      <w:tr>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Organoid IP</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HCMI (cancer), hPSCreg, ATCC</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HUB Foundation sublicense</w:t>
            </w:r>
          </w:p>
        </w:tc>
        <w:tc>
          <w:tcPr>
            <w:tcW w:type="dxa" w:w="24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Sublicense HUB for non-cancer organoid coverage</w:t>
            </w:r>
          </w:p>
        </w:tc>
      </w:tr>
      <w:tr>
        <w:tc>
          <w:tcPr>
            <w:tcW w:type="dxa" w:w="23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SEND validation</w:t>
            </w:r>
          </w:p>
        </w:tc>
        <w:tc>
          <w:tcPr>
            <w:tcW w:type="dxa" w:w="23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Pinnacle 21 Community</w:t>
            </w:r>
          </w:p>
        </w:tc>
        <w:tc>
          <w:tcPr>
            <w:tcW w:type="dxa" w:w="23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Pinnacle 21 Enterprise</w:t>
            </w:r>
          </w:p>
        </w:tc>
        <w:tc>
          <w:tcPr>
            <w:tcW w:type="dxa" w:w="2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Enterprise once volume justifies it</w:t>
            </w:r>
          </w:p>
        </w:tc>
      </w:tr>
      <w:tr>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(Q)SAR for ICH M7</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OECD QSAR Toolbox</w:t>
            </w:r>
          </w:p>
        </w:tc>
        <w:tc>
          <w:tcPr>
            <w:tcW w:type="dxa" w:w="23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Derek Nexus, Sarah Nexus, Leadscope</w:t>
            </w:r>
          </w:p>
        </w:tc>
        <w:tc>
          <w:tcPr>
            <w:tcW w:type="dxa" w:w="24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Commercial — ICH M7(R2) effectively expects Derek + Sarah expert review</w:t>
            </w:r>
          </w:p>
        </w:tc>
      </w:tr>
      <w:tr>
        <w:tc>
          <w:tcPr>
            <w:tcW w:type="dxa" w:w="23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VCG / historical control</w:t>
            </w:r>
          </w:p>
        </w:tc>
        <w:tc>
          <w:tcPr>
            <w:tcW w:type="dxa" w:w="23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eTRANSAFE, EFPIA Zenodo drops</w:t>
            </w:r>
          </w:p>
        </w:tc>
        <w:tc>
          <w:tcPr>
            <w:tcW w:type="dxa" w:w="23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w:t>
            </w:r>
          </w:p>
        </w:tc>
        <w:tc>
          <w:tcPr>
            <w:tcW w:type="dxa" w:w="2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OSS; shadow-mode only until pivotal acceptance</w:t>
            </w:r>
          </w:p>
        </w:tc>
      </w:tr>
    </w:tbl>
    <w:p>
      <w:pPr>
        <w:spacing w:after="100"/>
      </w:pPr>
      <w:r>
        <w:t xml:space="preserve"/>
      </w:r>
    </w:p>
    <w:p>
      <w:pPr>
        <w:pStyle w:val="Heading1"/>
        <w:pageBreakBefore/>
      </w:pPr>
      <w:r>
        <w:t xml:space="preserve">11. Top Risks and Open Questions</w:t>
      </w:r>
    </w:p>
    <w:p>
      <w:pPr>
        <w:pStyle w:val="Heading2"/>
      </w:pPr>
      <w:r>
        <w:t xml:space="preserve">11.1 Top risks</w:t>
      </w:r>
    </w:p>
    <w:p>
      <w:pPr>
        <w:pStyle w:val="ListParagraph"/>
        <w:numPr>
          <w:ilvl w:val="0"/>
          <w:numId w:val="2"/>
        </w:numPr>
        <w:spacing w:after="60"/>
      </w:pPr>
      <w:r>
        <w:t xml:space="preserve">MPS data lock-in. The largest single-vendor MPS datasets are walled gardens. Without at least one vendor partnership, L3 evidence carries a known ceiling.</w:t>
      </w:r>
    </w:p>
    <w:p>
      <w:pPr>
        <w:pStyle w:val="ListParagraph"/>
        <w:numPr>
          <w:ilvl w:val="0"/>
          <w:numId w:val="2"/>
        </w:numPr>
        <w:spacing w:after="60"/>
      </w:pPr>
      <w:r>
        <w:t xml:space="preserve">Organoid reproducibility. Inter-line / inter-batch / inter-lab variance is the open problem in the field. Anything trained on a single source will fail to replicate on another.</w:t>
      </w:r>
    </w:p>
    <w:p>
      <w:pPr>
        <w:pStyle w:val="ListParagraph"/>
        <w:numPr>
          <w:ilvl w:val="0"/>
          <w:numId w:val="2"/>
        </w:numPr>
        <w:spacing w:after="60"/>
      </w:pPr>
      <w:r>
        <w:t xml:space="preserve">IVIVE calibration drift. httk and PK-Sim ship with priors from legacy 1990s–2010s hepatocyte data. Re-calibrating to modern liver-chip and PCLS data is a quiet but high-leverage project that compounds across all four layers.</w:t>
      </w:r>
    </w:p>
    <w:p>
      <w:pPr>
        <w:pStyle w:val="ListParagraph"/>
        <w:numPr>
          <w:ilvl w:val="0"/>
          <w:numId w:val="2"/>
        </w:numPr>
        <w:spacing w:after="60"/>
      </w:pPr>
      <w:r>
        <w:t xml:space="preserve">ICH S7B(R1) re-plumbing. The 2025 IRA finalisation means hERG-only L1 is no longer enough — multi-channel patch + iPSC-CM MEA + telemetry must be wired together. Any candidate where IRA tiers come back inconsistent across layers must block clinical handoff.</w:t>
      </w:r>
    </w:p>
    <w:p>
      <w:pPr>
        <w:pStyle w:val="ListParagraph"/>
        <w:numPr>
          <w:ilvl w:val="0"/>
          <w:numId w:val="2"/>
        </w:numPr>
        <w:spacing w:after="60"/>
      </w:pPr>
      <w:r>
        <w:t xml:space="preserve">VCG acceptance is partial. FDA accepts virtual control groups only in non-pivotal repeat-dose; not for carcinogenicity or non-rodent dog / monkey. Run VCG in shadow mode alongside conventional controls; keep the audit log clean.</w:t>
      </w:r>
    </w:p>
    <w:p>
      <w:pPr>
        <w:pStyle w:val="ListParagraph"/>
        <w:numPr>
          <w:ilvl w:val="0"/>
          <w:numId w:val="2"/>
        </w:numPr>
        <w:spacing w:after="60"/>
      </w:pPr>
      <w:r>
        <w:t xml:space="preserve">Foundation models are not GxP-ready. UNI / Virchow / PathChat are research-grade; deployable inference path stays Aiforia / Visiopharm. This will shift over 2026–2027 but isn't the path for Year-1 GLP work.</w:t>
      </w:r>
    </w:p>
    <w:p>
      <w:pPr>
        <w:pStyle w:val="ListParagraph"/>
        <w:numPr>
          <w:ilvl w:val="0"/>
          <w:numId w:val="2"/>
        </w:numPr>
        <w:spacing w:after="60"/>
      </w:pPr>
      <w:r>
        <w:t xml:space="preserve">eTRANSAFE post-IMI sustainability. Long-term funding for the federated query infrastructure is uncertain past 2027. Treat priors as caching-friendly snapshots so the twin survives a portal sunset.</w:t>
      </w:r>
    </w:p>
    <w:p>
      <w:pPr>
        <w:pStyle w:val="ListParagraph"/>
        <w:numPr>
          <w:ilvl w:val="0"/>
          <w:numId w:val="2"/>
        </w:numPr>
        <w:spacing w:after="60"/>
      </w:pPr>
      <w:r>
        <w:t xml:space="preserve">AlphaFold 3 commercial restrictions. Cannot be used in a commercial pipeline; Boltz-1/2 is the OSS substitute and validating that substitution is the single most important pre-build engineering check at L2.</w:t>
      </w:r>
    </w:p>
    <w:p>
      <w:pPr>
        <w:pStyle w:val="ListParagraph"/>
        <w:numPr>
          <w:ilvl w:val="0"/>
          <w:numId w:val="2"/>
        </w:numPr>
        <w:spacing w:after="60"/>
      </w:pPr>
      <w:r>
        <w:t xml:space="preserve">Regulatory divergence. Some FDA divisions (ophthalmology, for example) still prefer in vivo dog tox over justification-by-NAM stacks even where EMA would accept the NAM package. The recommendation engine must flag region-specific divergence before authoring the protocol.</w:t>
      </w:r>
    </w:p>
    <w:p>
      <w:pPr>
        <w:pStyle w:val="Heading2"/>
      </w:pPr>
      <w:r>
        <w:t xml:space="preserve">11.2 Open decisions before coding</w:t>
      </w:r>
    </w:p>
    <w:p>
      <w:pPr>
        <w:pStyle w:val="ListParagraph"/>
        <w:numPr>
          <w:ilvl w:val="0"/>
          <w:numId w:val="2"/>
        </w:numPr>
        <w:spacing w:after="60"/>
      </w:pPr>
      <w:r>
        <w:t xml:space="preserve">Which (Q)SAR commercial seats — Derek Nexus + Sarah Nexus + Leadscope — to procure for ICH M7(R2) compliance?</w:t>
      </w:r>
    </w:p>
    <w:p>
      <w:pPr>
        <w:pStyle w:val="ListParagraph"/>
        <w:numPr>
          <w:ilvl w:val="0"/>
          <w:numId w:val="2"/>
        </w:numPr>
        <w:spacing w:after="60"/>
      </w:pPr>
      <w:r>
        <w:t xml:space="preserve">Which MPS vendor to partner with at L3 (Emulate vs CN Bio vs Mimetas vs TissUse vs InSphero)? Decision criteria: liver-chip qualification depth, multi-organ coverage, willingness to share calibration data.</w:t>
      </w:r>
    </w:p>
    <w:p>
      <w:pPr>
        <w:pStyle w:val="ListParagraph"/>
        <w:numPr>
          <w:ilvl w:val="0"/>
          <w:numId w:val="2"/>
        </w:numPr>
        <w:spacing w:after="60"/>
      </w:pPr>
      <w:r>
        <w:t xml:space="preserve">HUB Foundation sublicense for non-cancer organoids — yes / no, and on what commercial terms?</w:t>
      </w:r>
    </w:p>
    <w:p>
      <w:pPr>
        <w:pStyle w:val="ListParagraph"/>
        <w:numPr>
          <w:ilvl w:val="0"/>
          <w:numId w:val="2"/>
        </w:numPr>
        <w:spacing w:after="60"/>
      </w:pPr>
      <w:r>
        <w:t xml:space="preserve">DrugBank commercial seat — confirm budget; otherwise plan to stitch ChEMBL + IUPHAR + PK-DB.</w:t>
      </w:r>
    </w:p>
    <w:p>
      <w:pPr>
        <w:pStyle w:val="ListParagraph"/>
        <w:numPr>
          <w:ilvl w:val="0"/>
          <w:numId w:val="2"/>
        </w:numPr>
        <w:spacing w:after="60"/>
      </w:pPr>
      <w:r>
        <w:t xml:space="preserve">First ISTAND COU slice — proarrhythmia per S7B(R1) Q&amp;A vs skin sensitisation per OECD TG 497. Which has the strongest internal data foundation?</w:t>
      </w:r>
    </w:p>
    <w:p>
      <w:pPr>
        <w:pStyle w:val="ListParagraph"/>
        <w:numPr>
          <w:ilvl w:val="0"/>
          <w:numId w:val="2"/>
        </w:numPr>
        <w:spacing w:after="60"/>
      </w:pPr>
      <w:r>
        <w:t xml:space="preserve">Whether to allow simulation-derived L4 components (virtual control arms) into Clinical handoff packages, and how Clinical weights them.</w:t>
      </w:r>
    </w:p>
    <w:p>
      <w:pPr>
        <w:pStyle w:val="ListParagraph"/>
        <w:numPr>
          <w:ilvl w:val="0"/>
          <w:numId w:val="2"/>
        </w:numPr>
        <w:spacing w:after="60"/>
      </w:pPr>
      <w:r>
        <w:t xml:space="preserve">Rolling vs. complete handoff submissions — fixes the API's versioning model and the discrepancy-feedback mechanism.</w:t>
      </w:r>
    </w:p>
    <w:p>
      <w:pPr>
        <w:pStyle w:val="ListParagraph"/>
        <w:numPr>
          <w:ilvl w:val="0"/>
          <w:numId w:val="2"/>
        </w:numPr>
        <w:spacing w:after="60"/>
      </w:pPr>
      <w:r>
        <w:t xml:space="preserve">FHIR R5 floor with R6 ballot tracking — when does the contract migrate?</w:t>
      </w:r>
    </w:p>
    <w:p>
      <w:pPr>
        <w:pStyle w:val="ListParagraph"/>
        <w:numPr>
          <w:ilvl w:val="0"/>
          <w:numId w:val="2"/>
        </w:numPr>
        <w:spacing w:after="60"/>
      </w:pPr>
      <w:r>
        <w:t xml:space="preserve">Data residency — where does the immutable archive live, and which regulator's e-records rules govern it?</w:t>
      </w:r>
    </w:p>
    <w:p>
      <w:pPr>
        <w:pStyle w:val="Heading1"/>
        <w:pageBreakBefore/>
      </w:pPr>
      <w:r>
        <w:t xml:space="preserve">Appendix A — Master Database Index</w:t>
      </w:r>
    </w:p>
    <w:p>
      <w:pPr>
        <w:spacing w:after="120"/>
        <w:jc w:val="left"/>
      </w:pPr>
      <w:r>
        <w:t xml:space="preserve">All databases cited in the layer sections, indexed for quick reference. Commercial dependencies marked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4500"/>
        <w:gridCol w:w="1260"/>
      </w:tblGrid>
      <w:tr>
        <w:trPr>
          <w:tblHeader/>
        </w:trPr>
        <w:tc>
          <w:tcPr>
            <w:tcW w:type="dxa" w:w="6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40"/>
            </w:pPr>
            <w:r>
              <w:rPr>
                <w:b/>
                <w:bCs/>
                <w:sz w:val="18"/>
                <w:szCs w:val="18"/>
              </w:rPr>
              <w:t xml:space="preserve">Layer</w:t>
            </w:r>
          </w:p>
        </w:tc>
        <w:tc>
          <w:tcPr>
            <w:tcW w:type="dxa" w:w="30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40"/>
            </w:pPr>
            <w:r>
              <w:rPr>
                <w:b/>
                <w:bCs/>
                <w:sz w:val="18"/>
                <w:szCs w:val="18"/>
              </w:rPr>
              <w:t xml:space="preserve">Database</w:t>
            </w:r>
          </w:p>
        </w:tc>
        <w:tc>
          <w:tcPr>
            <w:tcW w:type="dxa" w:w="45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40"/>
            </w:pPr>
            <w:r>
              <w:rPr>
                <w:b/>
                <w:bCs/>
                <w:sz w:val="18"/>
                <w:szCs w:val="18"/>
              </w:rPr>
              <w:t xml:space="preserve">URL</w:t>
            </w:r>
          </w:p>
        </w:tc>
        <w:tc>
          <w:tcPr>
            <w:tcW w:type="dxa" w:w="126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40"/>
            </w:pPr>
            <w:r>
              <w:rPr>
                <w:b/>
                <w:bCs/>
                <w:sz w:val="18"/>
                <w:szCs w:val="18"/>
              </w:rPr>
              <w:t xml:space="preserve">Access</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L1</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ChEMBL</w:t>
            </w:r>
          </w:p>
        </w:tc>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https://www.ebi.ac.uk/chembl/</w:t>
            </w:r>
          </w:p>
        </w:tc>
        <w:tc>
          <w:tcPr>
            <w:tcW w:type="dxa" w:w="1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Open, CC BY-SA 3.0</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L1</w:t>
            </w:r>
          </w:p>
        </w:tc>
        <w:tc>
          <w:tcPr>
            <w:tcW w:type="dxa" w:w="3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PubChem</w:t>
            </w:r>
          </w:p>
        </w:tc>
        <w:tc>
          <w:tcPr>
            <w:tcW w:type="dxa" w:w="4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https://pubchem.ncbi.nlm.nih.gov/</w:t>
            </w:r>
          </w:p>
        </w:tc>
        <w:tc>
          <w:tcPr>
            <w:tcW w:type="dxa" w:w="12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Open, public domain</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L1</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BindingDB</w:t>
            </w:r>
          </w:p>
        </w:tc>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https://www.bindingdb.org/</w:t>
            </w:r>
          </w:p>
        </w:tc>
        <w:tc>
          <w:tcPr>
            <w:tcW w:type="dxa" w:w="1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Open, permissive</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L1</w:t>
            </w:r>
          </w:p>
        </w:tc>
        <w:tc>
          <w:tcPr>
            <w:tcW w:type="dxa" w:w="3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DrugBank</w:t>
            </w:r>
          </w:p>
        </w:tc>
        <w:tc>
          <w:tcPr>
            <w:tcW w:type="dxa" w:w="4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https://go.drugbank.com/</w:t>
            </w:r>
          </w:p>
        </w:tc>
        <w:tc>
          <w:tcPr>
            <w:tcW w:type="dxa" w:w="12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 Commercial for full data</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L1</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Reaxys</w:t>
            </w:r>
          </w:p>
        </w:tc>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https://www.reaxys.com/</w:t>
            </w:r>
          </w:p>
        </w:tc>
        <w:tc>
          <w:tcPr>
            <w:tcW w:type="dxa" w:w="1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 Commercial only</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L1</w:t>
            </w:r>
          </w:p>
        </w:tc>
        <w:tc>
          <w:tcPr>
            <w:tcW w:type="dxa" w:w="3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Tox21</w:t>
            </w:r>
          </w:p>
        </w:tc>
        <w:tc>
          <w:tcPr>
            <w:tcW w:type="dxa" w:w="4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https://tripod.nih.gov/tox21/</w:t>
            </w:r>
          </w:p>
        </w:tc>
        <w:tc>
          <w:tcPr>
            <w:tcW w:type="dxa" w:w="12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Open</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L1</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ToxCast / ICE</w:t>
            </w:r>
          </w:p>
        </w:tc>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https://ice.ntp.niehs.nih.gov/</w:t>
            </w:r>
          </w:p>
        </w:tc>
        <w:tc>
          <w:tcPr>
            <w:tcW w:type="dxa" w:w="1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Open</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L1</w:t>
            </w:r>
          </w:p>
        </w:tc>
        <w:tc>
          <w:tcPr>
            <w:tcW w:type="dxa" w:w="3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TOXRIC</w:t>
            </w:r>
          </w:p>
        </w:tc>
        <w:tc>
          <w:tcPr>
            <w:tcW w:type="dxa" w:w="4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https://toxric.bioinforai.tech/</w:t>
            </w:r>
          </w:p>
        </w:tc>
        <w:tc>
          <w:tcPr>
            <w:tcW w:type="dxa" w:w="12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Open (verify CC BY-NC)</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L1</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ProTox-3.0</w:t>
            </w:r>
          </w:p>
        </w:tc>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https://tox.charite.de/protox3/</w:t>
            </w:r>
          </w:p>
        </w:tc>
        <w:tc>
          <w:tcPr>
            <w:tcW w:type="dxa" w:w="1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Free academic; commercial via Charité</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L1</w:t>
            </w:r>
          </w:p>
        </w:tc>
        <w:tc>
          <w:tcPr>
            <w:tcW w:type="dxa" w:w="3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Cellosaurus</w:t>
            </w:r>
          </w:p>
        </w:tc>
        <w:tc>
          <w:tcPr>
            <w:tcW w:type="dxa" w:w="4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https://www.cellosaurus.org/</w:t>
            </w:r>
          </w:p>
        </w:tc>
        <w:tc>
          <w:tcPr>
            <w:tcW w:type="dxa" w:w="12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Open, CC BY 4.0</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L1</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DepMap</w:t>
            </w:r>
          </w:p>
        </w:tc>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https://depmap.org/</w:t>
            </w:r>
          </w:p>
        </w:tc>
        <w:tc>
          <w:tcPr>
            <w:tcW w:type="dxa" w:w="1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Open, CC BY 4.0</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L1</w:t>
            </w:r>
          </w:p>
        </w:tc>
        <w:tc>
          <w:tcPr>
            <w:tcW w:type="dxa" w:w="3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GDSC</w:t>
            </w:r>
          </w:p>
        </w:tc>
        <w:tc>
          <w:tcPr>
            <w:tcW w:type="dxa" w:w="4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https://www.cancerrxgene.org/</w:t>
            </w:r>
          </w:p>
        </w:tc>
        <w:tc>
          <w:tcPr>
            <w:tcW w:type="dxa" w:w="12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Open, attribution</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L1</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Open Targets</w:t>
            </w:r>
          </w:p>
        </w:tc>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https://www.opentargets.org/</w:t>
            </w:r>
          </w:p>
        </w:tc>
        <w:tc>
          <w:tcPr>
            <w:tcW w:type="dxa" w:w="1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Open, CC0</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L1</w:t>
            </w:r>
          </w:p>
        </w:tc>
        <w:tc>
          <w:tcPr>
            <w:tcW w:type="dxa" w:w="3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LINCS L1000 / CMap</w:t>
            </w:r>
          </w:p>
        </w:tc>
        <w:tc>
          <w:tcPr>
            <w:tcW w:type="dxa" w:w="4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https://lincsproject.org/</w:t>
            </w:r>
          </w:p>
        </w:tc>
        <w:tc>
          <w:tcPr>
            <w:tcW w:type="dxa" w:w="12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Mixed; Clue.io paid tier</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L1</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JUMP-CP</w:t>
            </w:r>
          </w:p>
        </w:tc>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https://jump-cellpainting.broadinstitute.org/</w:t>
            </w:r>
          </w:p>
        </w:tc>
        <w:tc>
          <w:tcPr>
            <w:tcW w:type="dxa" w:w="1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Open (verify license)</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L1</w:t>
            </w:r>
          </w:p>
        </w:tc>
        <w:tc>
          <w:tcPr>
            <w:tcW w:type="dxa" w:w="3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SIDER 4.1</w:t>
            </w:r>
          </w:p>
        </w:tc>
        <w:tc>
          <w:tcPr>
            <w:tcW w:type="dxa" w:w="4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http://sideeffects.embl.de/</w:t>
            </w:r>
          </w:p>
        </w:tc>
        <w:tc>
          <w:tcPr>
            <w:tcW w:type="dxa" w:w="12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Open, CC BY</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L1</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OFFSIDES / TWOSIDES</w:t>
            </w:r>
          </w:p>
        </w:tc>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http://tatonettilab.org/offsides/</w:t>
            </w:r>
          </w:p>
        </w:tc>
        <w:tc>
          <w:tcPr>
            <w:tcW w:type="dxa" w:w="1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Open, CC BY</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L2</w:t>
            </w:r>
          </w:p>
        </w:tc>
        <w:tc>
          <w:tcPr>
            <w:tcW w:type="dxa" w:w="3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UniProt</w:t>
            </w:r>
          </w:p>
        </w:tc>
        <w:tc>
          <w:tcPr>
            <w:tcW w:type="dxa" w:w="4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https://www.uniprot.org/</w:t>
            </w:r>
          </w:p>
        </w:tc>
        <w:tc>
          <w:tcPr>
            <w:tcW w:type="dxa" w:w="12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Open, CC BY 4.0</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L2</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PDB</w:t>
            </w:r>
          </w:p>
        </w:tc>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https://www.rcsb.org/</w:t>
            </w:r>
          </w:p>
        </w:tc>
        <w:tc>
          <w:tcPr>
            <w:tcW w:type="dxa" w:w="1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CC0</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L2</w:t>
            </w:r>
          </w:p>
        </w:tc>
        <w:tc>
          <w:tcPr>
            <w:tcW w:type="dxa" w:w="3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AlphaFold DB</w:t>
            </w:r>
          </w:p>
        </w:tc>
        <w:tc>
          <w:tcPr>
            <w:tcW w:type="dxa" w:w="4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https://alphafold.ebi.ac.uk/</w:t>
            </w:r>
          </w:p>
        </w:tc>
        <w:tc>
          <w:tcPr>
            <w:tcW w:type="dxa" w:w="12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Open, CC BY 4.0</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L2</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BRENDA</w:t>
            </w:r>
          </w:p>
        </w:tc>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https://www.brenda-enzymes.org/</w:t>
            </w:r>
          </w:p>
        </w:tc>
        <w:tc>
          <w:tcPr>
            <w:tcW w:type="dxa" w:w="1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Free academic; commercial license</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L2</w:t>
            </w:r>
          </w:p>
        </w:tc>
        <w:tc>
          <w:tcPr>
            <w:tcW w:type="dxa" w:w="3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IUPHAR / Guide to Pharm.</w:t>
            </w:r>
          </w:p>
        </w:tc>
        <w:tc>
          <w:tcPr>
            <w:tcW w:type="dxa" w:w="4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https://www.guidetopharmacology.org/</w:t>
            </w:r>
          </w:p>
        </w:tc>
        <w:tc>
          <w:tcPr>
            <w:tcW w:type="dxa" w:w="12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CC BY-SA 4.0</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L2</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PK-DB</w:t>
            </w:r>
          </w:p>
        </w:tc>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https://pk-db.com/</w:t>
            </w:r>
          </w:p>
        </w:tc>
        <w:tc>
          <w:tcPr>
            <w:tcW w:type="dxa" w:w="1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CC BY 4.0</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L2</w:t>
            </w:r>
          </w:p>
        </w:tc>
        <w:tc>
          <w:tcPr>
            <w:tcW w:type="dxa" w:w="3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Reactome</w:t>
            </w:r>
          </w:p>
        </w:tc>
        <w:tc>
          <w:tcPr>
            <w:tcW w:type="dxa" w:w="4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https://reactome.org/</w:t>
            </w:r>
          </w:p>
        </w:tc>
        <w:tc>
          <w:tcPr>
            <w:tcW w:type="dxa" w:w="12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CC BY 4.0</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L2</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STRING</w:t>
            </w:r>
          </w:p>
        </w:tc>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https://string-db.org/</w:t>
            </w:r>
          </w:p>
        </w:tc>
        <w:tc>
          <w:tcPr>
            <w:tcW w:type="dxa" w:w="1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CC BY 4.0</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L2</w:t>
            </w:r>
          </w:p>
        </w:tc>
        <w:tc>
          <w:tcPr>
            <w:tcW w:type="dxa" w:w="3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PharmGKB</w:t>
            </w:r>
          </w:p>
        </w:tc>
        <w:tc>
          <w:tcPr>
            <w:tcW w:type="dxa" w:w="4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https://www.pharmgkb.org/</w:t>
            </w:r>
          </w:p>
        </w:tc>
        <w:tc>
          <w:tcPr>
            <w:tcW w:type="dxa" w:w="12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CC BY-SA 4.0</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L2</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BioModels</w:t>
            </w:r>
          </w:p>
        </w:tc>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https://www.ebi.ac.uk/biomodels/</w:t>
            </w:r>
          </w:p>
        </w:tc>
        <w:tc>
          <w:tcPr>
            <w:tcW w:type="dxa" w:w="1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CC0 (curated)</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L2</w:t>
            </w:r>
          </w:p>
        </w:tc>
        <w:tc>
          <w:tcPr>
            <w:tcW w:type="dxa" w:w="3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Virtual Metabolic Human</w:t>
            </w:r>
          </w:p>
        </w:tc>
        <w:tc>
          <w:tcPr>
            <w:tcW w:type="dxa" w:w="4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https://www.vmh.life/</w:t>
            </w:r>
          </w:p>
        </w:tc>
        <w:tc>
          <w:tcPr>
            <w:tcW w:type="dxa" w:w="12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CC BY 4.0 academic</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L2</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KEGG</w:t>
            </w:r>
          </w:p>
        </w:tc>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https://www.kegg.jp/</w:t>
            </w:r>
          </w:p>
        </w:tc>
        <w:tc>
          <w:tcPr>
            <w:tcW w:type="dxa" w:w="1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 Bulk download paid since 2021</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L3</w:t>
            </w:r>
          </w:p>
        </w:tc>
        <w:tc>
          <w:tcPr>
            <w:tcW w:type="dxa" w:w="3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HCMI</w:t>
            </w:r>
          </w:p>
        </w:tc>
        <w:tc>
          <w:tcPr>
            <w:tcW w:type="dxa" w:w="4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https://ocg.cancer.gov/programs/HCMI</w:t>
            </w:r>
          </w:p>
        </w:tc>
        <w:tc>
          <w:tcPr>
            <w:tcW w:type="dxa" w:w="12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NIH open + ATCC MTAs</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L3</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HUB Organoids</w:t>
            </w:r>
          </w:p>
        </w:tc>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https://huborganoids.nl/</w:t>
            </w:r>
          </w:p>
        </w:tc>
        <w:tc>
          <w:tcPr>
            <w:tcW w:type="dxa" w:w="1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 HUB Foundation MTA</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L3</w:t>
            </w:r>
          </w:p>
        </w:tc>
        <w:tc>
          <w:tcPr>
            <w:tcW w:type="dxa" w:w="3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hPSCreg</w:t>
            </w:r>
          </w:p>
        </w:tc>
        <w:tc>
          <w:tcPr>
            <w:tcW w:type="dxa" w:w="4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https://hpscreg.eu/</w:t>
            </w:r>
          </w:p>
        </w:tc>
        <w:tc>
          <w:tcPr>
            <w:tcW w:type="dxa" w:w="12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CC-BY metadata</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L3</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Tabula Sapiens</w:t>
            </w:r>
          </w:p>
        </w:tc>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https://tabula-sapiens-portal.ds.czbiohub.org/</w:t>
            </w:r>
          </w:p>
        </w:tc>
        <w:tc>
          <w:tcPr>
            <w:tcW w:type="dxa" w:w="1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CC-BY 4.0</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L3</w:t>
            </w:r>
          </w:p>
        </w:tc>
        <w:tc>
          <w:tcPr>
            <w:tcW w:type="dxa" w:w="3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Human Cell Atlas / CELLxGENE</w:t>
            </w:r>
          </w:p>
        </w:tc>
        <w:tc>
          <w:tcPr>
            <w:tcW w:type="dxa" w:w="4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https://cellxgene.cziscience.com/</w:t>
            </w:r>
          </w:p>
        </w:tc>
        <w:tc>
          <w:tcPr>
            <w:tcW w:type="dxa" w:w="12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CC-BY (per dataset)</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L3</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GTEx v10</w:t>
            </w:r>
          </w:p>
        </w:tc>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https://gtexportal.org/</w:t>
            </w:r>
          </w:p>
        </w:tc>
        <w:tc>
          <w:tcPr>
            <w:tcW w:type="dxa" w:w="1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Open + dbGaP for genotypes</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L3</w:t>
            </w:r>
          </w:p>
        </w:tc>
        <w:tc>
          <w:tcPr>
            <w:tcW w:type="dxa" w:w="3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Allen Brain Atlas</w:t>
            </w:r>
          </w:p>
        </w:tc>
        <w:tc>
          <w:tcPr>
            <w:tcW w:type="dxa" w:w="4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https://portal.brain-map.org/</w:t>
            </w:r>
          </w:p>
        </w:tc>
        <w:tc>
          <w:tcPr>
            <w:tcW w:type="dxa" w:w="12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Allen Institute Terms</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L3</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CFDE</w:t>
            </w:r>
          </w:p>
        </w:tc>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https://www.nih-cfde.org/</w:t>
            </w:r>
          </w:p>
        </w:tc>
        <w:tc>
          <w:tcPr>
            <w:tcW w:type="dxa" w:w="1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Federated open</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L3</w:t>
            </w:r>
          </w:p>
        </w:tc>
        <w:tc>
          <w:tcPr>
            <w:tcW w:type="dxa" w:w="3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MPS-Database (Pitt)</w:t>
            </w:r>
          </w:p>
        </w:tc>
        <w:tc>
          <w:tcPr>
            <w:tcW w:type="dxa" w:w="4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https://mps.csb.pitt.edu/</w:t>
            </w:r>
          </w:p>
        </w:tc>
        <w:tc>
          <w:tcPr>
            <w:tcW w:type="dxa" w:w="12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Registration; CC-BY</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L3</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NCATS Tissue Chip</w:t>
            </w:r>
          </w:p>
        </w:tc>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https://ncats.nih.gov/tissuechip</w:t>
            </w:r>
          </w:p>
        </w:tc>
        <w:tc>
          <w:tcPr>
            <w:tcW w:type="dxa" w:w="1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Open with attribution</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L3</w:t>
            </w:r>
          </w:p>
        </w:tc>
        <w:tc>
          <w:tcPr>
            <w:tcW w:type="dxa" w:w="3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EU-ToxRisk / ONTOX</w:t>
            </w:r>
          </w:p>
        </w:tc>
        <w:tc>
          <w:tcPr>
            <w:tcW w:type="dxa" w:w="4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https://ontox-project.eu/</w:t>
            </w:r>
          </w:p>
        </w:tc>
        <w:tc>
          <w:tcPr>
            <w:tcW w:type="dxa" w:w="12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Open per Horizon Europe</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L3</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IQ-MPS</w:t>
            </w:r>
          </w:p>
        </w:tc>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https://www.iqmps.org/</w:t>
            </w:r>
          </w:p>
        </w:tc>
        <w:tc>
          <w:tcPr>
            <w:tcW w:type="dxa" w:w="1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 Members only</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L4</w:t>
            </w:r>
          </w:p>
        </w:tc>
        <w:tc>
          <w:tcPr>
            <w:tcW w:type="dxa" w:w="3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eTRANSAFE / IHI continuum</w:t>
            </w:r>
          </w:p>
        </w:tc>
        <w:tc>
          <w:tcPr>
            <w:tcW w:type="dxa" w:w="4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https://etransafe.eu/</w:t>
            </w:r>
          </w:p>
        </w:tc>
        <w:tc>
          <w:tcPr>
            <w:tcW w:type="dxa" w:w="12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Tiered DTUA</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L4</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ToxRefDB / CEBS</w:t>
            </w:r>
          </w:p>
        </w:tc>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https://cebs.niehs.nih.gov/cebs/</w:t>
            </w:r>
          </w:p>
        </w:tc>
        <w:tc>
          <w:tcPr>
            <w:tcW w:type="dxa" w:w="1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Open</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L4</w:t>
            </w:r>
          </w:p>
        </w:tc>
        <w:tc>
          <w:tcPr>
            <w:tcW w:type="dxa" w:w="3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EPA ToxValDB</w:t>
            </w:r>
          </w:p>
        </w:tc>
        <w:tc>
          <w:tcPr>
            <w:tcW w:type="dxa" w:w="4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https://comptox.epa.gov/dashboard/</w:t>
            </w:r>
          </w:p>
        </w:tc>
        <w:tc>
          <w:tcPr>
            <w:tcW w:type="dxa" w:w="12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Open, CC0</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L4</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NCATS ICE</w:t>
            </w:r>
          </w:p>
        </w:tc>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https://ice.ntp.niehs.nih.gov/</w:t>
            </w:r>
          </w:p>
        </w:tc>
        <w:tc>
          <w:tcPr>
            <w:tcW w:type="dxa" w:w="1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Open</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L4</w:t>
            </w:r>
          </w:p>
        </w:tc>
        <w:tc>
          <w:tcPr>
            <w:tcW w:type="dxa" w:w="3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EURL ECVAM TSAR</w:t>
            </w:r>
          </w:p>
        </w:tc>
        <w:tc>
          <w:tcPr>
            <w:tcW w:type="dxa" w:w="4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https://tsar.jrc.ec.europa.eu/</w:t>
            </w:r>
          </w:p>
        </w:tc>
        <w:tc>
          <w:tcPr>
            <w:tcW w:type="dxa" w:w="12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Open</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L4</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OECD eChemPortal</w:t>
            </w:r>
          </w:p>
        </w:tc>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https://www.echemportal.org/</w:t>
            </w:r>
          </w:p>
        </w:tc>
        <w:tc>
          <w:tcPr>
            <w:tcW w:type="dxa" w:w="1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Open</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L4</w:t>
            </w:r>
          </w:p>
        </w:tc>
        <w:tc>
          <w:tcPr>
            <w:tcW w:type="dxa" w:w="3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ECHA REACH</w:t>
            </w:r>
          </w:p>
        </w:tc>
        <w:tc>
          <w:tcPr>
            <w:tcW w:type="dxa" w:w="4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https://echa.europa.eu/</w:t>
            </w:r>
          </w:p>
        </w:tc>
        <w:tc>
          <w:tcPr>
            <w:tcW w:type="dxa" w:w="12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Open</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L4</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Mouse Phenome Database</w:t>
            </w:r>
          </w:p>
        </w:tc>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https://phenome.jax.org/</w:t>
            </w:r>
          </w:p>
        </w:tc>
        <w:tc>
          <w:tcPr>
            <w:tcW w:type="dxa" w:w="1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Open</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L4</w:t>
            </w:r>
          </w:p>
        </w:tc>
        <w:tc>
          <w:tcPr>
            <w:tcW w:type="dxa" w:w="3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Rat Genome Database</w:t>
            </w:r>
          </w:p>
        </w:tc>
        <w:tc>
          <w:tcPr>
            <w:tcW w:type="dxa" w:w="4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https://rgd.mcw.edu/</w:t>
            </w:r>
          </w:p>
        </w:tc>
        <w:tc>
          <w:tcPr>
            <w:tcW w:type="dxa" w:w="12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Open</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L4</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CTD</w:t>
            </w:r>
          </w:p>
        </w:tc>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https://ctdbase.org/</w:t>
            </w:r>
          </w:p>
        </w:tc>
        <w:tc>
          <w:tcPr>
            <w:tcW w:type="dxa" w:w="1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Open</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L4</w:t>
            </w:r>
          </w:p>
        </w:tc>
        <w:tc>
          <w:tcPr>
            <w:tcW w:type="dxa" w:w="3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EPA CvTdb</w:t>
            </w:r>
          </w:p>
        </w:tc>
        <w:tc>
          <w:tcPr>
            <w:tcW w:type="dxa" w:w="4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https://github.com/USEPA/CompTox-CvTdb</w:t>
            </w:r>
          </w:p>
        </w:tc>
        <w:tc>
          <w:tcPr>
            <w:tcW w:type="dxa" w:w="12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Open</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L4</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PHUSE Nonclinical WG</w:t>
            </w:r>
          </w:p>
        </w:tc>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https://github.com/phuse-org/phuse-scripts</w:t>
            </w:r>
          </w:p>
        </w:tc>
        <w:tc>
          <w:tcPr>
            <w:tcW w:type="dxa" w:w="1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Open</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L4</w:t>
            </w:r>
          </w:p>
        </w:tc>
        <w:tc>
          <w:tcPr>
            <w:tcW w:type="dxa" w:w="3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INHAND nomenclature</w:t>
            </w:r>
          </w:p>
        </w:tc>
        <w:tc>
          <w:tcPr>
            <w:tcW w:type="dxa" w:w="45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https://www.goreni.org/</w:t>
            </w:r>
          </w:p>
        </w:tc>
        <w:tc>
          <w:tcPr>
            <w:tcW w:type="dxa" w:w="12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Open</w:t>
            </w:r>
          </w:p>
        </w:tc>
      </w:tr>
    </w:tbl>
    <w:p>
      <w:pPr>
        <w:spacing w:after="100"/>
      </w:pPr>
      <w:r>
        <w:t xml:space="preserve"/>
      </w:r>
    </w:p>
    <w:p>
      <w:pPr>
        <w:pStyle w:val="Heading1"/>
        <w:pageBreakBefore/>
      </w:pPr>
      <w:r>
        <w:t xml:space="preserve">Appendix B — Master Models / Tools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900"/>
        <w:gridCol w:w="4460"/>
      </w:tblGrid>
      <w:tr>
        <w:trPr>
          <w:tblHeader/>
        </w:trPr>
        <w:tc>
          <w:tcPr>
            <w:tcW w:type="dxa" w:w="6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40"/>
            </w:pPr>
            <w:r>
              <w:rPr>
                <w:b/>
                <w:bCs/>
                <w:sz w:val="18"/>
                <w:szCs w:val="18"/>
              </w:rPr>
              <w:t xml:space="preserve">Layer</w:t>
            </w:r>
          </w:p>
        </w:tc>
        <w:tc>
          <w:tcPr>
            <w:tcW w:type="dxa" w:w="24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40"/>
            </w:pPr>
            <w:r>
              <w:rPr>
                <w:b/>
                <w:bCs/>
                <w:sz w:val="18"/>
                <w:szCs w:val="18"/>
              </w:rPr>
              <w:t xml:space="preserve">Tool</w:t>
            </w:r>
          </w:p>
        </w:tc>
        <w:tc>
          <w:tcPr>
            <w:tcW w:type="dxa" w:w="19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40"/>
            </w:pPr>
            <w:r>
              <w:rPr>
                <w:b/>
                <w:bCs/>
                <w:sz w:val="18"/>
                <w:szCs w:val="18"/>
              </w:rPr>
              <w:t xml:space="preserve">License</w:t>
            </w:r>
          </w:p>
        </w:tc>
        <w:tc>
          <w:tcPr>
            <w:tcW w:type="dxa" w:w="446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40"/>
            </w:pPr>
            <w:r>
              <w:rPr>
                <w:b/>
                <w:bCs/>
                <w:sz w:val="18"/>
                <w:szCs w:val="18"/>
              </w:rPr>
              <w:t xml:space="preserve">Function</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L1</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ADMET-AI</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MIT</w:t>
            </w:r>
          </w:p>
        </w:tc>
        <w:tc>
          <w:tcPr>
            <w:tcW w:type="dxa" w:w="4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Multi-endpoint ADMET (TDC suite)</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L1</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Chemprop</w:t>
            </w:r>
          </w:p>
        </w:tc>
        <w:tc>
          <w:tcPr>
            <w:tcW w:type="dxa" w:w="19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MIT</w:t>
            </w:r>
          </w:p>
        </w:tc>
        <w:tc>
          <w:tcPr>
            <w:tcW w:type="dxa" w:w="44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D-MPNN property prediction</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L1</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DeepChem</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MIT</w:t>
            </w:r>
          </w:p>
        </w:tc>
        <w:tc>
          <w:tcPr>
            <w:tcW w:type="dxa" w:w="4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ML chem framework</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L1</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FP-ADMET</w:t>
            </w:r>
          </w:p>
        </w:tc>
        <w:tc>
          <w:tcPr>
            <w:tcW w:type="dxa" w:w="19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GPL/open</w:t>
            </w:r>
          </w:p>
        </w:tc>
        <w:tc>
          <w:tcPr>
            <w:tcW w:type="dxa" w:w="44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Fingerprint + RF/XGBoost ADMET</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L1</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ADMETlab 3.0</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Academic web</w:t>
            </w:r>
          </w:p>
        </w:tc>
        <w:tc>
          <w:tcPr>
            <w:tcW w:type="dxa" w:w="4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Reference benchmark</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L1</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SwissADME</w:t>
            </w:r>
          </w:p>
        </w:tc>
        <w:tc>
          <w:tcPr>
            <w:tcW w:type="dxa" w:w="19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Free web</w:t>
            </w:r>
          </w:p>
        </w:tc>
        <w:tc>
          <w:tcPr>
            <w:tcW w:type="dxa" w:w="44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Spot-check</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L1</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pkCSM</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Academic web</w:t>
            </w:r>
          </w:p>
        </w:tc>
        <w:tc>
          <w:tcPr>
            <w:tcW w:type="dxa" w:w="4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Graph-signature PK + tox</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L1</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ProTox-3.0</w:t>
            </w:r>
          </w:p>
        </w:tc>
        <w:tc>
          <w:tcPr>
            <w:tcW w:type="dxa" w:w="19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Academic web</w:t>
            </w:r>
          </w:p>
        </w:tc>
        <w:tc>
          <w:tcPr>
            <w:tcW w:type="dxa" w:w="44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LD50 + organ tox</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L1</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CToxPred</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Open</w:t>
            </w:r>
          </w:p>
        </w:tc>
        <w:tc>
          <w:tcPr>
            <w:tcW w:type="dxa" w:w="4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Multi-channel cardiotox</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L1</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CardioTox</w:t>
            </w:r>
          </w:p>
        </w:tc>
        <w:tc>
          <w:tcPr>
            <w:tcW w:type="dxa" w:w="19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Open</w:t>
            </w:r>
          </w:p>
        </w:tc>
        <w:tc>
          <w:tcPr>
            <w:tcW w:type="dxa" w:w="44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hERG classifier</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L1</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PLAPT</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MIT (verify)</w:t>
            </w:r>
          </w:p>
        </w:tc>
        <w:tc>
          <w:tcPr>
            <w:tcW w:type="dxa" w:w="4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Sequence-only affinity</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L1</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DiffDock / DiffDock-L</w:t>
            </w:r>
          </w:p>
        </w:tc>
        <w:tc>
          <w:tcPr>
            <w:tcW w:type="dxa" w:w="19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MIT</w:t>
            </w:r>
          </w:p>
        </w:tc>
        <w:tc>
          <w:tcPr>
            <w:tcW w:type="dxa" w:w="44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Diffusion docking — PoseBusters mandatory</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L1</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EquiBind</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MIT</w:t>
            </w:r>
          </w:p>
        </w:tc>
        <w:tc>
          <w:tcPr>
            <w:tcW w:type="dxa" w:w="4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Equivariant docking</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L1</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MoLFormer-XL</w:t>
            </w:r>
          </w:p>
        </w:tc>
        <w:tc>
          <w:tcPr>
            <w:tcW w:type="dxa" w:w="19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Apache 2.0</w:t>
            </w:r>
          </w:p>
        </w:tc>
        <w:tc>
          <w:tcPr>
            <w:tcW w:type="dxa" w:w="44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Foundation embedding</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L1</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Uni-Mol / Uni-Mol2</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MIT</w:t>
            </w:r>
          </w:p>
        </w:tc>
        <w:tc>
          <w:tcPr>
            <w:tcW w:type="dxa" w:w="4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3D-aware foundation</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L1</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ChemBERTa-2</w:t>
            </w:r>
          </w:p>
        </w:tc>
        <w:tc>
          <w:tcPr>
            <w:tcW w:type="dxa" w:w="19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MIT</w:t>
            </w:r>
          </w:p>
        </w:tc>
        <w:tc>
          <w:tcPr>
            <w:tcW w:type="dxa" w:w="44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SMILES transformer</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L1</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ChemGPT</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Open</w:t>
            </w:r>
          </w:p>
        </w:tc>
        <w:tc>
          <w:tcPr>
            <w:tcW w:type="dxa" w:w="4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Generative SMILES</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L1</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MolMIM (BioNeMo)</w:t>
            </w:r>
          </w:p>
        </w:tc>
        <w:tc>
          <w:tcPr>
            <w:tcW w:type="dxa" w:w="19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NVIDIA terms</w:t>
            </w:r>
          </w:p>
        </w:tc>
        <w:tc>
          <w:tcPr>
            <w:tcW w:type="dxa" w:w="44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Generative; tied to NVIDIA stack</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L1</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SAFE-GPT</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Apache 2.0</w:t>
            </w:r>
          </w:p>
        </w:tc>
        <w:tc>
          <w:tcPr>
            <w:tcW w:type="dxa" w:w="4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Fragment-aware generative</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L1</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MolSkill</w:t>
            </w:r>
          </w:p>
        </w:tc>
        <w:tc>
          <w:tcPr>
            <w:tcW w:type="dxa" w:w="19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MIT</w:t>
            </w:r>
          </w:p>
        </w:tc>
        <w:tc>
          <w:tcPr>
            <w:tcW w:type="dxa" w:w="44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Med-chemist preference scoring</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L2</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PK-Sim / MoBi</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GPL-2</w:t>
            </w:r>
          </w:p>
        </w:tc>
        <w:tc>
          <w:tcPr>
            <w:tcW w:type="dxa" w:w="4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Whole-body PBPK</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L2</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GastroPlus</w:t>
            </w:r>
          </w:p>
        </w:tc>
        <w:tc>
          <w:tcPr>
            <w:tcW w:type="dxa" w:w="19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 Commercial</w:t>
            </w:r>
          </w:p>
        </w:tc>
        <w:tc>
          <w:tcPr>
            <w:tcW w:type="dxa" w:w="44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Industry-standard oral absorption</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L2</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Simcyp</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 Commercial</w:t>
            </w:r>
          </w:p>
        </w:tc>
        <w:tc>
          <w:tcPr>
            <w:tcW w:type="dxa" w:w="4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PBPK + DDI prediction</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L2</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Pumas.jl</w:t>
            </w:r>
          </w:p>
        </w:tc>
        <w:tc>
          <w:tcPr>
            <w:tcW w:type="dxa" w:w="19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Free academic</w:t>
            </w:r>
          </w:p>
        </w:tc>
        <w:tc>
          <w:tcPr>
            <w:tcW w:type="dxa" w:w="44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Julia NLME</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L2</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mrgsolve</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GPL-2</w:t>
            </w:r>
          </w:p>
        </w:tc>
        <w:tc>
          <w:tcPr>
            <w:tcW w:type="dxa" w:w="4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ODE PK at scale</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L2</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BioGears</w:t>
            </w:r>
          </w:p>
        </w:tc>
        <w:tc>
          <w:tcPr>
            <w:tcW w:type="dxa" w:w="19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Apache 2.0</w:t>
            </w:r>
          </w:p>
        </w:tc>
        <w:tc>
          <w:tcPr>
            <w:tcW w:type="dxa" w:w="44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Whole-body physiology</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L2</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OpenCOR</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GPL</w:t>
            </w:r>
          </w:p>
        </w:tc>
        <w:tc>
          <w:tcPr>
            <w:tcW w:type="dxa" w:w="4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CellML simulator</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L2</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AutoDock Vina</w:t>
            </w:r>
          </w:p>
        </w:tc>
        <w:tc>
          <w:tcPr>
            <w:tcW w:type="dxa" w:w="19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Apache 2.0</w:t>
            </w:r>
          </w:p>
        </w:tc>
        <w:tc>
          <w:tcPr>
            <w:tcW w:type="dxa" w:w="44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Classical docking</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L2</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GNINA</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GPL-2</w:t>
            </w:r>
          </w:p>
        </w:tc>
        <w:tc>
          <w:tcPr>
            <w:tcW w:type="dxa" w:w="4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CNN-rescored docking</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L2</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Boltz-1 / Boltz-2</w:t>
            </w:r>
          </w:p>
        </w:tc>
        <w:tc>
          <w:tcPr>
            <w:tcW w:type="dxa" w:w="19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MIT</w:t>
            </w:r>
          </w:p>
        </w:tc>
        <w:tc>
          <w:tcPr>
            <w:tcW w:type="dxa" w:w="44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Co-folding (AF3 OSS substitute)</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L2</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Chai-1</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Research license</w:t>
            </w:r>
          </w:p>
        </w:tc>
        <w:tc>
          <w:tcPr>
            <w:tcW w:type="dxa" w:w="4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AF3-equivalent</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L2</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AlphaFold 3</w:t>
            </w:r>
          </w:p>
        </w:tc>
        <w:tc>
          <w:tcPr>
            <w:tcW w:type="dxa" w:w="19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Non-commercial</w:t>
            </w:r>
          </w:p>
        </w:tc>
        <w:tc>
          <w:tcPr>
            <w:tcW w:type="dxa" w:w="44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Reference only</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L2</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Glide / FEP+</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 Commercial</w:t>
            </w:r>
          </w:p>
        </w:tc>
        <w:tc>
          <w:tcPr>
            <w:tcW w:type="dxa" w:w="4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Benchmark</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L2</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OpenMM</w:t>
            </w:r>
          </w:p>
        </w:tc>
        <w:tc>
          <w:tcPr>
            <w:tcW w:type="dxa" w:w="19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MIT</w:t>
            </w:r>
          </w:p>
        </w:tc>
        <w:tc>
          <w:tcPr>
            <w:tcW w:type="dxa" w:w="44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MD; recommended programmatic backbone</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L2</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GROMACS</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LGPL-2.1</w:t>
            </w:r>
          </w:p>
        </w:tc>
        <w:tc>
          <w:tcPr>
            <w:tcW w:type="dxa" w:w="4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MD</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L2</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AMBER (AmberTools)</w:t>
            </w:r>
          </w:p>
        </w:tc>
        <w:tc>
          <w:tcPr>
            <w:tcW w:type="dxa" w:w="19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Open</w:t>
            </w:r>
          </w:p>
        </w:tc>
        <w:tc>
          <w:tcPr>
            <w:tcW w:type="dxa" w:w="44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MD</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L2</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TIES</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Open</w:t>
            </w:r>
          </w:p>
        </w:tc>
        <w:tc>
          <w:tcPr>
            <w:tcW w:type="dxa" w:w="4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OSS RBFE</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L2</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OpenFF Toolkit</w:t>
            </w:r>
          </w:p>
        </w:tc>
        <w:tc>
          <w:tcPr>
            <w:tcW w:type="dxa" w:w="19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MIT</w:t>
            </w:r>
          </w:p>
        </w:tc>
        <w:tc>
          <w:tcPr>
            <w:tcW w:type="dxa" w:w="44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Force field assignment</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L2</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COPASI</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Artistic 2.0</w:t>
            </w:r>
          </w:p>
        </w:tc>
        <w:tc>
          <w:tcPr>
            <w:tcW w:type="dxa" w:w="4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SBML simulator</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L2</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Tellurium / libRoadRunner</w:t>
            </w:r>
          </w:p>
        </w:tc>
        <w:tc>
          <w:tcPr>
            <w:tcW w:type="dxa" w:w="19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Apache 2.0</w:t>
            </w:r>
          </w:p>
        </w:tc>
        <w:tc>
          <w:tcPr>
            <w:tcW w:type="dxa" w:w="44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Python SBML at scale</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L2</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DeepPurpose</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BSD-3</w:t>
            </w:r>
          </w:p>
        </w:tc>
        <w:tc>
          <w:tcPr>
            <w:tcW w:type="dxa" w:w="4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DTI architectures</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L2</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GraphDTA</w:t>
            </w:r>
          </w:p>
        </w:tc>
        <w:tc>
          <w:tcPr>
            <w:tcW w:type="dxa" w:w="19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Open</w:t>
            </w:r>
          </w:p>
        </w:tc>
        <w:tc>
          <w:tcPr>
            <w:tcW w:type="dxa" w:w="44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GCN affinity baseline</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L2</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PoseBusters</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BSD-3</w:t>
            </w:r>
          </w:p>
        </w:tc>
        <w:tc>
          <w:tcPr>
            <w:tcW w:type="dxa" w:w="4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Pose physical-validity QC — mandatory</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L3</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httk</w:t>
            </w:r>
          </w:p>
        </w:tc>
        <w:tc>
          <w:tcPr>
            <w:tcW w:type="dxa" w:w="19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GPL-3</w:t>
            </w:r>
          </w:p>
        </w:tc>
        <w:tc>
          <w:tcPr>
            <w:tcW w:type="dxa" w:w="44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IVIVE engine</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L3</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CellProfiler 4.x</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BSD</w:t>
            </w:r>
          </w:p>
        </w:tc>
        <w:tc>
          <w:tcPr>
            <w:tcW w:type="dxa" w:w="4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Image pipeline</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L3</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Cellpose 3</w:t>
            </w:r>
          </w:p>
        </w:tc>
        <w:tc>
          <w:tcPr>
            <w:tcW w:type="dxa" w:w="19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BSD-3</w:t>
            </w:r>
          </w:p>
        </w:tc>
        <w:tc>
          <w:tcPr>
            <w:tcW w:type="dxa" w:w="44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Default segmentation</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L3</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OrganoidTracker</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MIT</w:t>
            </w:r>
          </w:p>
        </w:tc>
        <w:tc>
          <w:tcPr>
            <w:tcW w:type="dxa" w:w="4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4D lineage</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L3</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MOrgAna / OrganoSeg</w:t>
            </w:r>
          </w:p>
        </w:tc>
        <w:tc>
          <w:tcPr>
            <w:tcW w:type="dxa" w:w="19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Open</w:t>
            </w:r>
          </w:p>
        </w:tc>
        <w:tc>
          <w:tcPr>
            <w:tcW w:type="dxa" w:w="44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Brightfield organoid morphometry</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L3</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PhysiCell + BioFVM</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BSD-3</w:t>
            </w:r>
          </w:p>
        </w:tc>
        <w:tc>
          <w:tcPr>
            <w:tcW w:type="dxa" w:w="4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Tumour / organoid agent-based</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L3</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Chaste</w:t>
            </w:r>
          </w:p>
        </w:tc>
        <w:tc>
          <w:tcPr>
            <w:tcW w:type="dxa" w:w="19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BSD</w:t>
            </w:r>
          </w:p>
        </w:tc>
        <w:tc>
          <w:tcPr>
            <w:tcW w:type="dxa" w:w="44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Cardiac, colorectal crypt</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L3</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CompuCell3D</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MIT</w:t>
            </w:r>
          </w:p>
        </w:tc>
        <w:tc>
          <w:tcPr>
            <w:tcW w:type="dxa" w:w="4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Cellular Potts</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L3</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Tissue Forge</w:t>
            </w:r>
          </w:p>
        </w:tc>
        <w:tc>
          <w:tcPr>
            <w:tcW w:type="dxa" w:w="19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BSD</w:t>
            </w:r>
          </w:p>
        </w:tc>
        <w:tc>
          <w:tcPr>
            <w:tcW w:type="dxa" w:w="44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Particle-based</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L3</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Drug2cell</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MIT</w:t>
            </w:r>
          </w:p>
        </w:tc>
        <w:tc>
          <w:tcPr>
            <w:tcW w:type="dxa" w:w="4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Cell-type drug effect</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L3</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scDrug</w:t>
            </w:r>
          </w:p>
        </w:tc>
        <w:tc>
          <w:tcPr>
            <w:tcW w:type="dxa" w:w="19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MIT</w:t>
            </w:r>
          </w:p>
        </w:tc>
        <w:tc>
          <w:tcPr>
            <w:tcW w:type="dxa" w:w="44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scRNA → drug response</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L3</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CellOracle</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Apache 2.0</w:t>
            </w:r>
          </w:p>
        </w:tc>
        <w:tc>
          <w:tcPr>
            <w:tcW w:type="dxa" w:w="4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GRN perturbation</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L3</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decoupleR</w:t>
            </w:r>
          </w:p>
        </w:tc>
        <w:tc>
          <w:tcPr>
            <w:tcW w:type="dxa" w:w="19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GPL-3</w:t>
            </w:r>
          </w:p>
        </w:tc>
        <w:tc>
          <w:tcPr>
            <w:tcW w:type="dxa" w:w="44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Pathway scoring</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L4</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BMDS 3.3.2</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Open</w:t>
            </w:r>
          </w:p>
        </w:tc>
        <w:tc>
          <w:tcPr>
            <w:tcW w:type="dxa" w:w="4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Benchmark dose</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L4</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PROAST 72.0</w:t>
            </w:r>
          </w:p>
        </w:tc>
        <w:tc>
          <w:tcPr>
            <w:tcW w:type="dxa" w:w="19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Open</w:t>
            </w:r>
          </w:p>
        </w:tc>
        <w:tc>
          <w:tcPr>
            <w:tcW w:type="dxa" w:w="44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BMD analysis</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L4</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lifelines</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MIT</w:t>
            </w:r>
          </w:p>
        </w:tc>
        <w:tc>
          <w:tcPr>
            <w:tcW w:type="dxa" w:w="4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Survival modelling</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L4</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flexsurv (R)</w:t>
            </w:r>
          </w:p>
        </w:tc>
        <w:tc>
          <w:tcPr>
            <w:tcW w:type="dxa" w:w="19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GPL-2</w:t>
            </w:r>
          </w:p>
        </w:tc>
        <w:tc>
          <w:tcPr>
            <w:tcW w:type="dxa" w:w="44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Parametric survival</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L4</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Stan / brms / PyMC</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BSD-style</w:t>
            </w:r>
          </w:p>
        </w:tc>
        <w:tc>
          <w:tcPr>
            <w:tcW w:type="dxa" w:w="4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Bayesian dose-response</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L4</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NC3Rs EDA</w:t>
            </w:r>
          </w:p>
        </w:tc>
        <w:tc>
          <w:tcPr>
            <w:tcW w:type="dxa" w:w="19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Free</w:t>
            </w:r>
          </w:p>
        </w:tc>
        <w:tc>
          <w:tcPr>
            <w:tcW w:type="dxa" w:w="44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Study-design generator</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L4</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ARRIVE 2.0</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Free</w:t>
            </w:r>
          </w:p>
        </w:tc>
        <w:tc>
          <w:tcPr>
            <w:tcW w:type="dxa" w:w="4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Reporting</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L4</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Aiforia 6 / Visiopharm 2025.1</w:t>
            </w:r>
          </w:p>
        </w:tc>
        <w:tc>
          <w:tcPr>
            <w:tcW w:type="dxa" w:w="19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 Commercial</w:t>
            </w:r>
          </w:p>
        </w:tc>
        <w:tc>
          <w:tcPr>
            <w:tcW w:type="dxa" w:w="44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GLP-grade histopath inference</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L4</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UNI / Virchow / PathChat</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Research</w:t>
            </w:r>
          </w:p>
        </w:tc>
        <w:tc>
          <w:tcPr>
            <w:tcW w:type="dxa" w:w="4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Foundation histopath; second-reader assist</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L4</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Derek Nexus / Sarah Nexus / Leadscope</w:t>
            </w:r>
          </w:p>
        </w:tc>
        <w:tc>
          <w:tcPr>
            <w:tcW w:type="dxa" w:w="19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 Commercial</w:t>
            </w:r>
          </w:p>
        </w:tc>
        <w:tc>
          <w:tcPr>
            <w:tcW w:type="dxa" w:w="44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ICH M7 (Q)SAR ensemble</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L4</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OECD QSAR Toolbox</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Free</w:t>
            </w:r>
          </w:p>
        </w:tc>
        <w:tc>
          <w:tcPr>
            <w:tcW w:type="dxa" w:w="4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Read-across, OECD-aligned</w:t>
            </w:r>
          </w:p>
        </w:tc>
      </w:tr>
      <w:tr>
        <w:tc>
          <w:tcPr>
            <w:tcW w:type="dxa" w:w="6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All</w:t>
            </w:r>
          </w:p>
        </w:tc>
        <w:tc>
          <w:tcPr>
            <w:tcW w:type="dxa" w:w="24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OECD QMRF</w:t>
            </w:r>
          </w:p>
        </w:tc>
        <w:tc>
          <w:tcPr>
            <w:tcW w:type="dxa" w:w="19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Standard</w:t>
            </w:r>
          </w:p>
        </w:tc>
        <w:tc>
          <w:tcPr>
            <w:tcW w:type="dxa" w:w="446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40"/>
            </w:pPr>
            <w:r>
              <w:rPr>
                <w:b w:val="false"/>
                <w:bCs w:val="false"/>
                <w:sz w:val="18"/>
                <w:szCs w:val="18"/>
              </w:rPr>
              <w:t xml:space="preserve">QSAR Model Reporting Format</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All</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Pinnacle 21</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Community / Enterprise</w:t>
            </w:r>
          </w:p>
        </w:tc>
        <w:tc>
          <w:tcPr>
            <w:tcW w:type="dxa" w:w="4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rPr>
                <w:b w:val="false"/>
                <w:bCs w:val="false"/>
                <w:sz w:val="18"/>
                <w:szCs w:val="18"/>
              </w:rPr>
              <w:t xml:space="preserve">SEND validation</w:t>
            </w:r>
          </w:p>
        </w:tc>
      </w:tr>
    </w:tbl>
    <w:p>
      <w:pPr>
        <w:spacing w:after="100"/>
      </w:pPr>
      <w:r>
        <w:t xml:space="preserve"/>
      </w:r>
    </w:p>
    <w:p>
      <w:pPr>
        <w:pStyle w:val="Heading1"/>
        <w:pageBreakBefore/>
      </w:pPr>
      <w:r>
        <w:t xml:space="preserve">Appendix C — Verification Checklist</w:t>
      </w:r>
    </w:p>
    <w:p>
      <w:pPr>
        <w:spacing w:after="120"/>
        <w:jc w:val="left"/>
      </w:pPr>
      <w:r>
        <w:t xml:space="preserve">Items flagged by the research streams as worth a live re-check before this document is circulated externally:</w:t>
      </w:r>
    </w:p>
    <w:p>
      <w:pPr>
        <w:pStyle w:val="ListParagraph"/>
        <w:numPr>
          <w:ilvl w:val="0"/>
          <w:numId w:val="2"/>
        </w:numPr>
        <w:spacing w:after="60"/>
      </w:pPr>
      <w:r>
        <w:t xml:space="preserve">ChEMBL release number; ToxCast invitrodb version; DepMap quarterly tag; Open Targets Platform release.</w:t>
      </w:r>
    </w:p>
    <w:p>
      <w:pPr>
        <w:pStyle w:val="ListParagraph"/>
        <w:numPr>
          <w:ilvl w:val="0"/>
          <w:numId w:val="2"/>
        </w:numPr>
        <w:spacing w:after="60"/>
      </w:pPr>
      <w:r>
        <w:t xml:space="preserve">ADMETlab 3.0 commercial reuse terms; ProTox-3.0 commercial terms; TOXRIC license.</w:t>
      </w:r>
    </w:p>
    <w:p>
      <w:pPr>
        <w:pStyle w:val="ListParagraph"/>
        <w:numPr>
          <w:ilvl w:val="0"/>
          <w:numId w:val="2"/>
        </w:numPr>
        <w:spacing w:after="60"/>
      </w:pPr>
      <w:r>
        <w:t xml:space="preserve">hERG Central active mirror and provenance.</w:t>
      </w:r>
    </w:p>
    <w:p>
      <w:pPr>
        <w:pStyle w:val="ListParagraph"/>
        <w:numPr>
          <w:ilvl w:val="0"/>
          <w:numId w:val="2"/>
        </w:numPr>
        <w:spacing w:after="60"/>
      </w:pPr>
      <w:r>
        <w:t xml:space="preserve">PLAPT and CToxPred license files.</w:t>
      </w:r>
    </w:p>
    <w:p>
      <w:pPr>
        <w:pStyle w:val="ListParagraph"/>
        <w:numPr>
          <w:ilvl w:val="0"/>
          <w:numId w:val="2"/>
        </w:numPr>
        <w:spacing w:after="60"/>
      </w:pPr>
      <w:r>
        <w:t xml:space="preserve">CDISC SEND IG version currently mandatory in the FDA Data Standards Catalog.</w:t>
      </w:r>
    </w:p>
    <w:p>
      <w:pPr>
        <w:pStyle w:val="ListParagraph"/>
        <w:numPr>
          <w:ilvl w:val="0"/>
          <w:numId w:val="2"/>
        </w:numPr>
        <w:spacing w:after="60"/>
      </w:pPr>
      <w:r>
        <w:t xml:space="preserve">FDA AI draft guidance exact publication date and any 2026 revisions.</w:t>
      </w:r>
    </w:p>
    <w:p>
      <w:pPr>
        <w:pStyle w:val="ListParagraph"/>
        <w:numPr>
          <w:ilvl w:val="0"/>
          <w:numId w:val="2"/>
        </w:numPr>
        <w:spacing w:after="60"/>
      </w:pPr>
      <w:r>
        <w:t xml:space="preserve">Status of the Modernization Act 3.0 legislation.</w:t>
      </w:r>
    </w:p>
    <w:p>
      <w:pPr>
        <w:pStyle w:val="ListParagraph"/>
        <w:numPr>
          <w:ilvl w:val="0"/>
          <w:numId w:val="2"/>
        </w:numPr>
        <w:spacing w:after="60"/>
      </w:pPr>
      <w:r>
        <w:t xml:space="preserve">EMA AI Reflection Paper finalisation date.</w:t>
      </w:r>
    </w:p>
    <w:p>
      <w:pPr>
        <w:pStyle w:val="ListParagraph"/>
        <w:numPr>
          <w:ilvl w:val="0"/>
          <w:numId w:val="2"/>
        </w:numPr>
        <w:spacing w:after="60"/>
      </w:pPr>
      <w:r>
        <w:t xml:space="preserve">Health Canada NAMs guidance exact title and issue date.</w:t>
      </w:r>
    </w:p>
    <w:p>
      <w:pPr>
        <w:pStyle w:val="ListParagraph"/>
        <w:numPr>
          <w:ilvl w:val="0"/>
          <w:numId w:val="2"/>
        </w:numPr>
        <w:spacing w:after="60"/>
      </w:pPr>
      <w:r>
        <w:t xml:space="preserve">OECD GD 286 vs TG 497 numbering for skin-sensitisation defined approaches.</w:t>
      </w:r>
    </w:p>
    <w:p>
      <w:pPr>
        <w:pStyle w:val="ListParagraph"/>
        <w:numPr>
          <w:ilvl w:val="0"/>
          <w:numId w:val="2"/>
        </w:numPr>
        <w:spacing w:after="60"/>
      </w:pPr>
      <w:r>
        <w:t xml:space="preserve">2024 GMLP supplementary principles publication date.</w:t>
      </w:r>
    </w:p>
    <w:p>
      <w:pPr>
        <w:pStyle w:val="ListParagraph"/>
        <w:numPr>
          <w:ilvl w:val="0"/>
          <w:numId w:val="2"/>
        </w:numPr>
        <w:spacing w:after="60"/>
      </w:pPr>
      <w:r>
        <w:t xml:space="preserve">FHIR R6 ballot status and target finalisation.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AKTHealth · Pre-Build Reference · April 2026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Pr>
      <w:t xml:space="preserve">Hakase BioDigital Twin — 4-Layer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404040"/>
      <w:sz w:val="24"/>
      <w:szCs w:val="24"/>
    </w:rPr>
  </w:style>
  <w:style w:type="paragraph" w:styleId="Hyperlink">
    <w:name w:val="Hyperlink"/>
    <w:basedOn w:val="Normal"/>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Hakase BioDigital Twin — 4-Layer Pre-Clinical Architecture</dc:title>
  <dc:creator>AKTHealth — HakaseAI</dc:creator>
  <dc:description>Comprehensive research and pre-build reference. April 2026.</dc:description>
  <cp:lastModifiedBy>Un-named</cp:lastModifiedBy>
  <cp:revision>1</cp:revision>
  <dcterms:created xsi:type="dcterms:W3CDTF">2026-04-30T07:49:15.664Z</dcterms:created>
  <dcterms:modified xsi:type="dcterms:W3CDTF">2026-04-30T07:49:15.666Z</dcterms:modified>
</cp:coreProperties>
</file>

<file path=docProps/custom.xml><?xml version="1.0" encoding="utf-8"?>
<Properties xmlns="http://schemas.openxmlformats.org/officeDocument/2006/custom-properties" xmlns:vt="http://schemas.openxmlformats.org/officeDocument/2006/docPropsVTypes"/>
</file>