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160"/>
        <w:jc w:val="center"/>
      </w:pPr>
      <w:r>
        <w:rPr>
          <w:b/>
          <w:bCs/>
          <w:color w:val="1F3864"/>
          <w:sz w:val="48"/>
          <w:szCs w:val="48"/>
        </w:rPr>
        <w:t xml:space="preserve">Hakase Bio · Layer 3 Ex-Vivo</w:t>
      </w:r>
    </w:p>
    <w:p>
      <w:pPr>
        <w:spacing w:after="240"/>
        <w:jc w:val="center"/>
      </w:pPr>
      <w:r>
        <w:rPr>
          <w:b/>
          <w:bCs/>
          <w:color w:val="2E75B6"/>
          <w:sz w:val="40"/>
          <w:szCs w:val="40"/>
        </w:rPr>
        <w:t xml:space="preserve">In-Silico Surrogate Strategy</w:t>
      </w:r>
    </w:p>
    <w:p>
      <w:pPr>
        <w:spacing w:after="1000"/>
        <w:jc w:val="center"/>
      </w:pPr>
      <w:r>
        <w:rPr>
          <w:i/>
          <w:iCs/>
          <w:color w:val="595959"/>
          <w:sz w:val="24"/>
          <w:szCs w:val="24"/>
        </w:rPr>
        <w:t xml:space="preserve">A Direction Pivot — From Vendor-First to Heuristic + ML, Mirroring L1</w:t>
      </w:r>
    </w:p>
    <w:p>
      <w:pPr>
        <w:spacing w:after="1200"/>
        <w:jc w:val="center"/>
      </w:pPr>
      <w:r>
        <w:rPr>
          <w:color w:val="404040"/>
          <w:sz w:val="22"/>
          <w:szCs w:val="22"/>
        </w:rPr>
        <w:t xml:space="preserve">Build Specification, Module Interfaces, and Migration Plan</w:t>
      </w:r>
    </w:p>
    <w:p>
      <w:pPr>
        <w:spacing w:after="60"/>
        <w:jc w:val="center"/>
      </w:pPr>
      <w:r>
        <w:rPr>
          <w:i/>
          <w:iCs/>
          <w:color w:val="595959"/>
          <w:sz w:val="22"/>
          <w:szCs w:val="22"/>
        </w:rPr>
        <w:t xml:space="preserve">Supersedes the vendor-partnership-first L3 model in HakaseBio_4Layer_Architecture_Research.docx §5</w:t>
      </w:r>
    </w:p>
    <w:p>
      <w:pPr>
        <w:spacing w:after="600"/>
        <w:jc w:val="center"/>
      </w:pPr>
      <w:r>
        <w:rPr>
          <w:i/>
          <w:iCs/>
          <w:color w:val="595959"/>
          <w:sz w:val="22"/>
          <w:szCs w:val="22"/>
        </w:rPr>
        <w:t xml:space="preserve">Companion to the HAIOps Bio 4-Layer Implementation Playbook</w:t>
      </w:r>
    </w:p>
    <w:p>
      <w:pPr>
        <w:spacing w:after="60"/>
        <w:jc w:val="center"/>
      </w:pPr>
      <w:r>
        <w:rPr>
          <w:b/>
          <w:bCs/>
          <w:sz w:val="24"/>
          <w:szCs w:val="24"/>
        </w:rPr>
        <w:t xml:space="preserve">AKTHealth · HakaseAI</w:t>
      </w:r>
    </w:p>
    <w:p>
      <w:pPr>
        <w:spacing w:after="60"/>
        <w:jc w:val="center"/>
      </w:pPr>
      <w:r>
        <w:rPr>
          <w:color w:val="595959"/>
          <w:sz w:val="22"/>
          <w:szCs w:val="22"/>
        </w:rPr>
        <w:t xml:space="preserve">May 2026 · v1.0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Executive Summary</w:t>
      </w:r>
    </w:p>
    <w:p>
      <w:pPr>
        <w:spacing w:after="140"/>
        <w:jc w:val="left"/>
      </w:pPr>
      <w:r>
        <w:t xml:space="preserve">This document changes the implementation direction for L3 Ex-Vivo. The original architecture treated L3 as a vendor-orchestration layer — Emulate Liver-Chip, CN Bio multi-organ, Mimetas OrganoPlate, TissUse HUMIMIC, InSphero Akura, plus HUB Foundation organoid lines — with one of those vendor partnerships gating L3 maturity. That model produced an honest stub in code (the Run button was disabled with "no L3 wet vendor or compute engine is wired") because there was nothing in-house to call until a partnership landed.</w:t>
      </w:r>
    </w:p>
    <w:p>
      <w:pPr>
        <w:spacing w:after="140"/>
        <w:jc w:val="left"/>
      </w:pPr>
      <w:r>
        <w:t xml:space="preserve">The new direction inverts the dependency. L3 is built first as an in-silico surrogate that mirrors the pattern that already works at L1: deterministic heuristic engines anchored on real chemistry / biology + trained ML models on real public datasets + cascade-gated outputs with honestly-labelled confidence intervals. Vendor adapters and CRO panels become opt-in upgrades for programs that need wet measurements, not gating dependencies for the layer to be runnable.</w:t>
      </w:r>
    </w:p>
    <w:p>
      <w:pPr>
        <w:spacing w:after="140"/>
        <w:jc w:val="left"/>
      </w:pPr>
      <w:r>
        <w:t xml:space="preserve">The honesty rule from L1 and L2 carries forward unchanged. Every T0 output ships with its computation method, its training-cohort hash where ML is involved, its applicability-domain score, and an explicit fold-error band. We do not produce a number we cannot defend. We do not fabricate organoid IC50s. What we produce is "predicted organoid response" with the predicted confidence the prediction warrants, and the L3 → L4 envelope carries the prediction-vs-measurement distinction explicitly.</w:t>
      </w:r>
    </w:p>
    <w:p>
      <w:pPr>
        <w:spacing w:after="140"/>
        <w:jc w:val="left"/>
      </w:pPr>
      <w:r>
        <w:t xml:space="preserve">The build is small. Six new modules in `lib/`, three trained ML models, and one external service ingestion (CELLxGENE Census API). All inputs come from L1 (already real) and L2 (8 of 10 stages real). All outputs feed L4 through the propagation envelope already specified in the HAIOps playbook. Vendor adapters, when added later, plug into the same envelope as additional input sources without changing the surrogate itself.</w:t>
      </w:r>
    </w:p>
    <w:p>
      <w:pPr>
        <w:pStyle w:val="Heading2"/>
      </w:pPr>
      <w:r>
        <w:t xml:space="preserve">Key shifts captured in this document</w:t>
      </w:r>
    </w:p>
    <w:p>
      <w:pPr>
        <w:pStyle w:val="ListParagraph"/>
        <w:numPr>
          <w:ilvl w:val="0"/>
          <w:numId w:val="2"/>
        </w:numPr>
        <w:spacing w:after="70"/>
      </w:pPr>
      <w:r>
        <w:t xml:space="preserve">L3 default path is now the in-silico surrogate (T0). Runnable from day one of the build. No vendor required.</w:t>
      </w:r>
    </w:p>
    <w:p>
      <w:pPr>
        <w:pStyle w:val="ListParagraph"/>
        <w:numPr>
          <w:ilvl w:val="0"/>
          <w:numId w:val="2"/>
        </w:numPr>
        <w:spacing w:after="70"/>
      </w:pPr>
      <w:r>
        <w:t xml:space="preserve">Vendor adapters move from "primary" to "opt-in tier 3 upgrade." Programs that need Emulate Liver-Chip data still get it; the layer no longer waits for the partnership to be runnable.</w:t>
      </w:r>
    </w:p>
    <w:p>
      <w:pPr>
        <w:pStyle w:val="ListParagraph"/>
        <w:numPr>
          <w:ilvl w:val="0"/>
          <w:numId w:val="2"/>
        </w:numPr>
        <w:spacing w:after="70"/>
      </w:pPr>
      <w:r>
        <w:t xml:space="preserve">CRO partnerships (Charles River, Eurofins, Inotiv, WuXi AppTec, Pharmaron) replace chip-vendor partnerships as the wet-lab fallback. Fee-for-service, no data lock-in, vendor-neutral output shape.</w:t>
      </w:r>
    </w:p>
    <w:p>
      <w:pPr>
        <w:pStyle w:val="ListParagraph"/>
        <w:numPr>
          <w:ilvl w:val="0"/>
          <w:numId w:val="2"/>
        </w:numPr>
        <w:spacing w:after="70"/>
      </w:pPr>
      <w:r>
        <w:t xml:space="preserve">Six new lib modules + three ML models + one external API ingest. The build is roughly 1,500–2,200 lines of TypeScript and a small ML training pipeline — comparable in size to the existing L1 build.</w:t>
      </w:r>
    </w:p>
    <w:p>
      <w:pPr>
        <w:pStyle w:val="ListParagraph"/>
        <w:numPr>
          <w:ilvl w:val="0"/>
          <w:numId w:val="2"/>
        </w:numPr>
        <w:spacing w:after="70"/>
      </w:pPr>
      <w:r>
        <w:t xml:space="preserve">The L2 → L3 contract is unchanged. The L3 → L4 contract gains a `tier` field that distinguishes T0 (in-silico surrogate) from T2 (CRO wet) from T3 (vendor wet); the L4 layer reads the tier and decides downstream weighting.</w:t>
      </w:r>
    </w:p>
    <w:p>
      <w:pPr>
        <w:pStyle w:val="ListParagraph"/>
        <w:numPr>
          <w:ilvl w:val="0"/>
          <w:numId w:val="2"/>
        </w:numPr>
        <w:spacing w:after="70"/>
      </w:pPr>
      <w:r>
        <w:t xml:space="preserve">The HAIOps cascade is enforced unchanged at L3. Cascade flag 1 (Data Quality) explicitly carries a `prediction_only` state for T0 outputs; flag 6 (Drift) tracks fold-error against any wet readouts we receive over time.</w:t>
      </w:r>
    </w:p>
    <w:p>
      <w:pPr>
        <w:pStyle w:val="ListParagraph"/>
        <w:numPr>
          <w:ilvl w:val="0"/>
          <w:numId w:val="2"/>
        </w:numPr>
        <w:spacing w:after="70"/>
      </w:pPr>
      <w:r>
        <w:t xml:space="preserve">No fabrication. The honesty rule from L1 and L2 stands. Every T0 number ships with its method, its confidence, and its applicability domain.</w:t>
      </w:r>
    </w:p>
    <w:p>
      <w:pPr>
        <w:pStyle w:val="Heading1"/>
        <w:pageBreakBefore/>
      </w:pPr>
      <w:r>
        <w:t xml:space="preserve">1. What Changed and Why</w:t>
      </w:r>
    </w:p>
    <w:p>
      <w:pPr>
        <w:pStyle w:val="Heading2"/>
      </w:pPr>
      <w:r>
        <w:t xml:space="preserve">1.1 The original L3 strategy and where it broke</w:t>
      </w:r>
    </w:p>
    <w:p>
      <w:pPr>
        <w:spacing w:after="140"/>
        <w:jc w:val="left"/>
      </w:pPr>
      <w:r>
        <w:t xml:space="preserve">The architecture research document committed the L3 layer to a vendor-orchestration model: a partnership with one of Emulate, CN Bio, Mimetas, TissUse, or InSphero would be the calibration backbone, an HUB sublicense would unlock non-cancer organoid lines, and a recommended Tier-1 / Tier-2 / Tier-3 wet pipeline would run real assays at $15k–$250k per compound. Top-three priority partnerships were called out as Year-1 commitments.</w:t>
      </w:r>
    </w:p>
    <w:p>
      <w:pPr>
        <w:spacing w:after="140"/>
        <w:jc w:val="left"/>
      </w:pPr>
      <w:r>
        <w:t xml:space="preserve">That strategy is internally consistent and would produce excellent L3 data. It also has three structural problems that surfaced once we started building:</w:t>
      </w:r>
    </w:p>
    <w:p>
      <w:pPr>
        <w:spacing w:after="60"/>
      </w:pPr>
      <w:r>
        <w:t xml:space="preserve"/>
      </w:r>
    </w:p>
    <w:p>
      <w:pPr>
        <w:spacing w:after="140"/>
      </w:pPr>
      <w:r>
        <w:rPr>
          <w:b/>
          <w:bCs/>
        </w:rPr>
        <w:t xml:space="preserve">Vendor partnerships gate the build. </w:t>
      </w:r>
      <w:r>
        <w:t xml:space="preserve">Until at least one partnership lands, there is nothing for the L3 service to call. Result: the Run button gets disabled with an honest "no engine wired" message, and the layer cannot exercise the cascade, the L2→L3 contract, or the L3→L4 envelope. The surrounding HAIOps machinery has nothing to govern.</w:t>
      </w:r>
    </w:p>
    <w:p>
      <w:pPr>
        <w:spacing w:after="140"/>
      </w:pPr>
      <w:r>
        <w:rPr>
          <w:b/>
          <w:bCs/>
        </w:rPr>
        <w:t xml:space="preserve">The data the vendors hold is not what the predictor needs anyway. </w:t>
      </w:r>
      <w:r>
        <w:t xml:space="preserve">What an organoid measures — IC50, viability, hepatic clearance, tissue selectivity — can be approximated to useful (though wider) confidence from the L1 + L2 outputs we already produce, cross-referenced against open tissue / cell atlases. The vendor data is calibration, not foundation.</w:t>
      </w:r>
    </w:p>
    <w:p>
      <w:pPr>
        <w:spacing w:after="140"/>
      </w:pPr>
      <w:r>
        <w:rPr>
          <w:b/>
          <w:bCs/>
        </w:rPr>
        <w:t xml:space="preserve">Vendor lock-in is hard to reverse. </w:t>
      </w:r>
      <w:r>
        <w:t xml:space="preserve">Once a programme is built around Emulate-specific protocols, switching to CN Bio or Mimetas later requires re-validation of every predictor. The defensive posture in the architecture doc reflected the field, but it also propagated the field's lock-in into our own roadmap.</w:t>
      </w:r>
    </w:p>
    <w:p>
      <w:pPr>
        <w:pStyle w:val="Heading2"/>
      </w:pPr>
      <w:r>
        <w:t xml:space="preserve">1.2 The L1 pattern is the model</w:t>
      </w:r>
    </w:p>
    <w:p>
      <w:pPr>
        <w:spacing w:after="140"/>
        <w:jc w:val="left"/>
      </w:pPr>
      <w:r>
        <w:t xml:space="preserve">Layer 1 is fully real today: 389 lines in `lib/admet.ts`, 579 lines in `lib/inVitroSim.ts`, deterministic numerical models computing IC50, Caco-2 permeability, CYP panel, hERG, selectivity, ADMET, and bioactivation all from RDKit descriptors. Live API calls reach ChEMBL (similar-targets v2 with provenance), UniProt, AlphaFold. Four AI services run real trained models — `binding-ml` DeepDTA-GBM, `admet-ml` Chemprop, `cardiotox` Morgan-FP RF, `protein-ml` ESM2 — loaded at startup, not mocked. The cascade gate enforces safety quality before L1 → L2 advance.</w:t>
      </w:r>
    </w:p>
    <w:p>
      <w:pPr>
        <w:spacing w:after="140"/>
        <w:jc w:val="left"/>
      </w:pPr>
      <w:r>
        <w:t xml:space="preserve">That is the pattern to apply at L3. Heuristic numerical engines anchored on real biology + trained ML models on real public datasets + a cascade gate + honestly-labelled confidence intervals. No fabricated numbers, no vendor required, every output traceable to its method and training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The honesty rule (unchanged from L1 and L2)</w:t>
            </w:r>
          </w:p>
          <w:p>
            <w:pPr>
              <w:spacing w:after="0"/>
            </w:pPr>
            <w:r>
              <w:rPr>
                <w:sz w:val="21"/>
                <w:szCs w:val="21"/>
              </w:rPr>
              <w:t xml:space="preserve">We do not produce a number we cannot defend. T0 outputs are explicitly labelled "in-silico surrogate, not a wet measurement," with applicability domain and fold-error bands attached. Where the surrogate cannot reach a defensible answer, the output is honestly absent — same pattern L2 uses for the GPU-only docking and free-energy stages. We do not fake organoid IC50s.</w:t>
            </w:r>
          </w:p>
        </w:tc>
      </w:tr>
    </w:tbl>
    <w:p>
      <w:pPr>
        <w:spacing w:after="140"/>
      </w:pPr>
      <w:r>
        <w:t xml:space="preserve"/>
      </w:r>
    </w:p>
    <w:p>
      <w:pPr>
        <w:pStyle w:val="Heading2"/>
      </w:pPr>
      <w:r>
        <w:t xml:space="preserve">1.3 What L2 already gives us</w:t>
      </w:r>
    </w:p>
    <w:p>
      <w:pPr>
        <w:spacing w:after="140"/>
        <w:jc w:val="left"/>
      </w:pPr>
      <w:r>
        <w:t xml:space="preserve">Eight of L2's ten stages are real today: RDKit, ESM2 druggability, ML affinity cross-check, ML cardiotox cross-check, in-house PBPK ODE solver, in-house Hill-equation PD, therapeutic-index margins, and handoff JSON. The two that are out-of-scope (Docking S2 and Free-energy S5) are honestly absent rather than faked.</w:t>
      </w:r>
    </w:p>
    <w:p>
      <w:pPr>
        <w:spacing w:after="140"/>
        <w:jc w:val="left"/>
      </w:pPr>
      <w:r>
        <w:t xml:space="preserve">Per compound, L2 emits to L3:</w:t>
      </w:r>
    </w:p>
    <w:p>
      <w:pPr>
        <w:spacing w:after="60"/>
      </w:pPr>
      <w:r>
        <w:t xml:space="preserve"/>
      </w:r>
    </w:p>
    <w:p>
      <w:pPr>
        <w:pStyle w:val="ListParagraph"/>
        <w:numPr>
          <w:ilvl w:val="0"/>
          <w:numId w:val="2"/>
        </w:numPr>
        <w:spacing w:after="70"/>
      </w:pPr>
      <w:r>
        <w:t xml:space="preserve">Predicted human plasma Cmax and AUC at the projected starting dose (PBPK)</w:t>
      </w:r>
    </w:p>
    <w:p>
      <w:pPr>
        <w:pStyle w:val="ListParagraph"/>
        <w:numPr>
          <w:ilvl w:val="0"/>
          <w:numId w:val="2"/>
        </w:numPr>
        <w:spacing w:after="70"/>
      </w:pPr>
      <w:r>
        <w:t xml:space="preserve">Predicted unbound Cmax (PBPK + L1 plasma protein binding)</w:t>
      </w:r>
    </w:p>
    <w:p>
      <w:pPr>
        <w:pStyle w:val="ListParagraph"/>
        <w:numPr>
          <w:ilvl w:val="0"/>
          <w:numId w:val="2"/>
        </w:numPr>
        <w:spacing w:after="70"/>
      </w:pPr>
      <w:r>
        <w:t xml:space="preserve">Per-organ predicted concentrations via PBPK compartments (gut, liver, kidney, brain, heart, fat)</w:t>
      </w:r>
    </w:p>
    <w:p>
      <w:pPr>
        <w:pStyle w:val="ListParagraph"/>
        <w:numPr>
          <w:ilvl w:val="0"/>
          <w:numId w:val="2"/>
        </w:numPr>
        <w:spacing w:after="70"/>
      </w:pPr>
      <w:r>
        <w:t xml:space="preserve">Predicted half-life, volume of distribution, clearance per species</w:t>
      </w:r>
    </w:p>
    <w:p>
      <w:pPr>
        <w:pStyle w:val="ListParagraph"/>
        <w:numPr>
          <w:ilvl w:val="0"/>
          <w:numId w:val="2"/>
        </w:numPr>
        <w:spacing w:after="70"/>
      </w:pPr>
      <w:r>
        <w:t xml:space="preserve">Therapeutic-index margins (Cmax / hERG IC50, Cmax / CYP IC50, etc.)</w:t>
      </w:r>
    </w:p>
    <w:p>
      <w:pPr>
        <w:pStyle w:val="ListParagraph"/>
        <w:numPr>
          <w:ilvl w:val="0"/>
          <w:numId w:val="2"/>
        </w:numPr>
        <w:spacing w:after="70"/>
      </w:pPr>
      <w:r>
        <w:t xml:space="preserve">ML affinity prediction with confidence band</w:t>
      </w:r>
    </w:p>
    <w:p>
      <w:pPr>
        <w:pStyle w:val="ListParagraph"/>
        <w:numPr>
          <w:ilvl w:val="0"/>
          <w:numId w:val="2"/>
        </w:numPr>
        <w:spacing w:after="70"/>
      </w:pPr>
      <w:r>
        <w:t xml:space="preserve">ML cardiotox prediction with confidence band</w:t>
      </w:r>
    </w:p>
    <w:p>
      <w:pPr>
        <w:spacing w:after="140"/>
        <w:jc w:val="left"/>
      </w:pPr>
      <w:r>
        <w:t xml:space="preserve">That is a rich enough input set to drive a meaningful L3 in-silico surrogate. The pieces missing — cell-type expression context, organoid composition, DILI mechanism classification, patient-line genomics — can be filled from open public sources.</w:t>
      </w:r>
    </w:p>
    <w:p>
      <w:pPr>
        <w:pStyle w:val="Heading1"/>
        <w:pageBreakBefore/>
      </w:pPr>
      <w:r>
        <w:t xml:space="preserve">2. The Tiered L3 Architecture</w:t>
      </w:r>
    </w:p>
    <w:p>
      <w:pPr>
        <w:spacing w:after="140"/>
        <w:jc w:val="left"/>
      </w:pPr>
      <w:r>
        <w:t xml:space="preserve">L3 is now four tiers, each runnable independently. T0 is the default and ships first; T1–T3 are progressive upgrades for programmes that need wet anchoring.</w:t>
      </w:r>
    </w:p>
    <w:p>
      <w:pPr>
        <w:pStyle w:val="Heading2"/>
      </w:pPr>
      <w:r>
        <w:t xml:space="preserve">2.1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000"/>
        <w:gridCol w:w="960"/>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Tier</w:t>
            </w:r>
          </w:p>
        </w:tc>
        <w:tc>
          <w:tcPr>
            <w:tcW w:type="dxa" w:w="4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What it is</w:t>
            </w:r>
          </w:p>
        </w:tc>
        <w:tc>
          <w:tcPr>
            <w:tcW w:type="dxa" w:w="2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Default for</w:t>
            </w:r>
          </w:p>
        </w:tc>
        <w:tc>
          <w:tcPr>
            <w:tcW w:type="dxa" w:w="9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Vendor / CRO required?</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T0 — In-silico surrogate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Heuristic + ML predictions of organoid response from L1 + L2 + public atlases. The default L3 path. Always runnable.</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Every compound that reaches L3</w:t>
            </w:r>
          </w:p>
        </w:tc>
        <w:tc>
          <w:tcPr>
            <w:tcW w:type="dxa" w:w="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No</w:t>
            </w:r>
          </w:p>
        </w:tc>
      </w:tr>
      <w:tr>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T1 — Public-data anchored</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T0 plus a retrieval step: pull existing wet readouts for the compound or its near analogs from HCMI, MPS-Database, ONTOX, JUMP-CP, NCATS Tissue Chip, ToxRefDB. Surface the matches.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Compounds with known analogs in public datasets</w:t>
            </w:r>
          </w:p>
        </w:tc>
        <w:tc>
          <w:tcPr>
            <w:tcW w:type="dxa" w:w="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No</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T2 — CRO wet panel</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Independent CRO (Charles River, Eurofins Discovery, Inotiv, WuXi AppTec, Pharmaron) runs an organoid / PCLS / hepatocyte spheroid panel as work-for-hire. Fee-for-service. Data is yours.</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Compounds entering IND-enabling work</w:t>
            </w:r>
          </w:p>
        </w:tc>
        <w:tc>
          <w:tcPr>
            <w:tcW w:type="dxa" w:w="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CRO; no chip-vendor lock-in</w:t>
            </w:r>
          </w:p>
        </w:tc>
      </w:tr>
      <w:tr>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T3 — Vendor adapter</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Direct integration with a chip vendor (Emulate, CN Bio, Mimetas, TissUse, InSphero) where the programme has chosen that vendor. Plug-in, not architectural.</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Programs that have chosen a specific vendor for a specific reason</w:t>
            </w:r>
          </w:p>
        </w:tc>
        <w:tc>
          <w:tcPr>
            <w:tcW w:type="dxa" w:w="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Vendor; per-program decision</w:t>
            </w:r>
          </w:p>
        </w:tc>
      </w:tr>
    </w:tbl>
    <w:p>
      <w:pPr>
        <w:spacing w:after="140"/>
      </w:pPr>
      <w:r>
        <w:t xml:space="preserve"/>
      </w:r>
    </w:p>
    <w:p>
      <w:pPr>
        <w:pStyle w:val="Heading2"/>
      </w:pPr>
      <w:r>
        <w:t xml:space="preserve">2.2 What the user sees</w:t>
      </w:r>
    </w:p>
    <w:p>
      <w:pPr>
        <w:spacing w:after="140"/>
        <w:jc w:val="left"/>
      </w:pPr>
      <w:r>
        <w:t xml:space="preserve">In the L3 UI, the default Run button executes T0 and surfaces T1 retrieval matches inline. T2 and T3 are exposed as "request wet panel" / "send to vendor adapter" buttons that route to procurement / vendor APIs respectively. A programme leader sees the T0 prediction immediately, and decides whether the prediction is confident enough on its own (triage call) or warrants T2 / T3 confirmation (regulatory call).</w:t>
      </w:r>
    </w:p>
    <w:p>
      <w:pPr>
        <w:spacing w:after="140"/>
        <w:jc w:val="left"/>
      </w:pPr>
      <w:r>
        <w:t xml:space="preserve">Every output card carries its tier badge. T0 cards say "In-silico surrogate · predicted, not measured." T1 cards say "Public-data analog · [source / snapshot date]." T2 cards say "Wet panel · [CRO] · [date]." T3 cards say "Vendor measurement · [vendor / chip] · [date]." This labelling is enforced by the cascade emitter and is non-removable from the UI.</w:t>
      </w:r>
    </w:p>
    <w:p>
      <w:pPr>
        <w:pStyle w:val="Heading2"/>
      </w:pPr>
      <w:r>
        <w:t xml:space="preserve">2.3 Tier and the L3 → L4 envelope</w:t>
      </w:r>
    </w:p>
    <w:p>
      <w:pPr>
        <w:spacing w:after="140"/>
        <w:jc w:val="left"/>
      </w:pPr>
      <w:r>
        <w:t xml:space="preserve">The propagation envelope already specified in the HAIOps playbook gains a `tier` field per readout:</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"value":         { ... },</w:t>
      </w:r>
    </w:p>
    <w:p>
      <w:pPr>
        <w:shd w:fill="F5F5F5" w:val="clear"/>
        <w:spacing w:after="0" w:line="240"/>
        <w:ind w:left="240"/>
      </w:pPr>
      <w:r>
        <w:rPr>
          <w:rFonts w:ascii="Consolas" w:cs="Consolas" w:eastAsia="Consolas" w:hAnsi="Consolas"/>
          <w:sz w:val="18"/>
          <w:szCs w:val="18"/>
        </w:rPr>
        <w:t xml:space="preserve">  "tier":          "t0" | "t1" | "t2" | "t3",</w:t>
      </w:r>
    </w:p>
    <w:p>
      <w:pPr>
        <w:shd w:fill="F5F5F5" w:val="clear"/>
        <w:spacing w:after="0" w:line="240"/>
        <w:ind w:left="240"/>
      </w:pPr>
      <w:r>
        <w:rPr>
          <w:rFonts w:ascii="Consolas" w:cs="Consolas" w:eastAsia="Consolas" w:hAnsi="Consolas"/>
          <w:sz w:val="18"/>
          <w:szCs w:val="18"/>
        </w:rPr>
        <w:t xml:space="preserve">  "uncertainty":   { "ci_95": [lo, hi], "method": "..." },</w:t>
      </w:r>
    </w:p>
    <w:p>
      <w:pPr>
        <w:shd w:fill="F5F5F5" w:val="clear"/>
        <w:spacing w:after="0" w:line="240"/>
        <w:ind w:left="240"/>
      </w:pPr>
      <w:r>
        <w:rPr>
          <w:rFonts w:ascii="Consolas" w:cs="Consolas" w:eastAsia="Consolas" w:hAnsi="Consolas"/>
          <w:sz w:val="18"/>
          <w:szCs w:val="18"/>
        </w:rPr>
        <w:t xml:space="preserve">  "fold_error_vs_wet": { "median": 3.2, "p90": 5.8 },  // T0 only; calibration cohort</w:t>
      </w:r>
    </w:p>
    <w:p>
      <w:pPr>
        <w:shd w:fill="F5F5F5" w:val="clear"/>
        <w:spacing w:after="0" w:line="240"/>
        <w:ind w:left="240"/>
      </w:pPr>
      <w:r>
        <w:rPr>
          <w:rFonts w:ascii="Consolas" w:cs="Consolas" w:eastAsia="Consolas" w:hAnsi="Consolas"/>
          <w:sz w:val="18"/>
          <w:szCs w:val="18"/>
        </w:rPr>
        <w:t xml:space="preserve">  "applicability": { "in_domain": true, "domain_score": 0.84 },</w:t>
      </w:r>
    </w:p>
    <w:p>
      <w:pPr>
        <w:shd w:fill="F5F5F5" w:val="clear"/>
        <w:spacing w:after="0" w:line="240"/>
        <w:ind w:left="240"/>
      </w:pPr>
      <w:r>
        <w:rPr>
          <w:rFonts w:ascii="Consolas" w:cs="Consolas" w:eastAsia="Consolas" w:hAnsi="Consolas"/>
          <w:sz w:val="18"/>
          <w:szCs w:val="18"/>
        </w:rPr>
        <w:t xml:space="preserve">  "cascade_flags": { ... },</w:t>
      </w:r>
    </w:p>
    <w:p>
      <w:pPr>
        <w:shd w:fill="F5F5F5" w:val="clear"/>
        <w:spacing w:after="0" w:line="240"/>
        <w:ind w:left="240"/>
      </w:pPr>
      <w:r>
        <w:rPr>
          <w:rFonts w:ascii="Consolas" w:cs="Consolas" w:eastAsia="Consolas" w:hAnsi="Consolas"/>
          <w:sz w:val="18"/>
          <w:szCs w:val="18"/>
        </w:rPr>
        <w:t xml:space="preserve">  "provenance":    { "model_id": "...", "model_version": "...",</w:t>
      </w:r>
    </w:p>
    <w:p>
      <w:pPr>
        <w:shd w:fill="F5F5F5" w:val="clear"/>
        <w:spacing w:after="0" w:line="240"/>
        <w:ind w:left="240"/>
      </w:pPr>
      <w:r>
        <w:rPr>
          <w:rFonts w:ascii="Consolas" w:cs="Consolas" w:eastAsia="Consolas" w:hAnsi="Consolas"/>
          <w:sz w:val="18"/>
          <w:szCs w:val="18"/>
        </w:rPr>
        <w:t xml:space="preserve">                     "training_cohort_hash": "sha256:...", "computed_at": "..." }</w:t>
      </w:r>
    </w:p>
    <w:p>
      <w:pPr>
        <w:shd w:fill="F5F5F5" w:val="clear"/>
        <w:spacing w:after="0" w:line="240"/>
        <w:ind w:left="240"/>
      </w:pPr>
      <w:r>
        <w:rPr>
          <w:rFonts w:ascii="Consolas" w:cs="Consolas" w:eastAsia="Consolas" w:hAnsi="Consolas"/>
          <w:sz w:val="18"/>
          <w:szCs w:val="18"/>
        </w:rPr>
        <w:t xml:space="preserve">}</w:t>
      </w:r>
    </w:p>
    <w:p>
      <w:pPr>
        <w:spacing w:after="140"/>
      </w:pPr>
      <w:r>
        <w:t xml:space="preserve"/>
      </w:r>
    </w:p>
    <w:p>
      <w:pPr>
        <w:spacing w:after="140"/>
        <w:jc w:val="left"/>
      </w:pPr>
      <w:r>
        <w:t xml:space="preserve">L4 reads the tier field and weights the input accordingly. T0 outputs are appropriate for triage decisions and study-design priors; T2 / T3 outputs are appropriate for regulatory-relevant claims. The Amber Curator at L4 refuses to sign a clinical-handoff package whose load-bearing claims rest only on T0 — wet anchoring is required somewhere in the chain.</w:t>
      </w:r>
    </w:p>
    <w:p>
      <w:pPr>
        <w:pStyle w:val="Heading1"/>
        <w:pageBreakBefore/>
      </w:pPr>
      <w:r>
        <w:t xml:space="preserve">3. T0 Surrogate — What It Computes</w:t>
      </w:r>
    </w:p>
    <w:p>
      <w:pPr>
        <w:spacing w:after="140"/>
        <w:jc w:val="left"/>
      </w:pPr>
      <w:r>
        <w:t xml:space="preserve">Six concrete predictions per compound, each from a defined input set, each with its own confidence band. These are the surrogate equivalents of what an actual L3 wet panel would measure.</w:t>
      </w:r>
    </w:p>
    <w:p>
      <w:pPr>
        <w:pStyle w:val="Heading2"/>
      </w:pPr>
      <w:r>
        <w:t xml:space="preserve">3.1 Tissue-selectivity matrix (54 organs)</w:t>
      </w:r>
    </w:p>
    <w:p>
      <w:pPr>
        <w:spacing w:after="140"/>
        <w:jc w:val="left"/>
      </w:pPr>
      <w:r>
        <w:t xml:space="preserve">Per organ, predicted exposure margin = unbound concentration in tissue ÷ IC50 against the target. Inputs: L2 PBPK per-compartment concentrations, L1 IC50, GTEx v10 tissue mRNA expression for the target gene. Method: deterministic — no ML required for the headline number; ML used only for tissue partitioning where PBPK does not have an explicit compartment. Output: 54-row table of margins, with confidence intervals propagated from L1 IC50 SE and L2 PBPK posterior.</w:t>
      </w:r>
    </w:p>
    <w:p>
      <w:pPr>
        <w:spacing w:after="140"/>
        <w:jc w:val="left"/>
      </w:pPr>
      <w:r>
        <w:t xml:space="preserve">Confidence: high. This is mostly an integration of already-real L1 and L2 outputs against an open atlas. Fold-error against wet measurement (where comparable) is typically within 2–3× for tissues PBPK has compartments for, wider for tissues without explicit compartments.</w:t>
      </w:r>
    </w:p>
    <w:p>
      <w:pPr>
        <w:pStyle w:val="Heading2"/>
      </w:pPr>
      <w:r>
        <w:t xml:space="preserve">3.2 Cell-type efficacy (Drug2cell pattern)</w:t>
      </w:r>
    </w:p>
    <w:p>
      <w:pPr>
        <w:spacing w:after="140"/>
        <w:jc w:val="left"/>
      </w:pPr>
      <w:r>
        <w:t xml:space="preserve">For each cell type in Tabula Sapiens v2 (~480 cell types across 28 organs): score = target_gene_expression × predicted_drug_affinity. Inputs: Tabula Sapiens v2 expression matrix (CELLxGENE Census API), L1 affinity, L2 unbound concentration in the relevant tissue. Method: published Drug2cell algorithm (Kanemaru, Nature 2023), reimplemented; deterministic given the inputs. Output: per-cell-type predicted response score with confidence.</w:t>
      </w:r>
    </w:p>
    <w:p>
      <w:pPr>
        <w:spacing w:after="140"/>
        <w:jc w:val="left"/>
      </w:pPr>
      <w:r>
        <w:t xml:space="preserve">Confidence: medium. Method is published and reproducible but it does not capture pathway-level effects, only target-direct effects. Useful for off-target cell-type liability ranking; less useful as a quantitative IC50 substitute.</w:t>
      </w:r>
    </w:p>
    <w:p>
      <w:pPr>
        <w:pStyle w:val="Heading2"/>
      </w:pPr>
      <w:r>
        <w:t xml:space="preserve">3.3 Predicted organoid efficacy (cell-type aggregation)</w:t>
      </w:r>
    </w:p>
    <w:p>
      <w:pPr>
        <w:spacing w:after="140"/>
        <w:jc w:val="left"/>
      </w:pPr>
      <w:r>
        <w:t xml:space="preserve">For a given organoid type (liver organoid = hepatocytes + cholangiocytes + Kupffer + stellate, in published proportions; intestinal organoid = enterocytes + goblet + Paneth + EEC + stem; etc.): aggregate the Drug2cell per-cell-type response weighted by relative cell-type abundance, project to a predicted organoid IC50. Inputs: §3.2 outputs + organoid composition table (curated from HCA / Tabula Sapiens / published organoid composition papers). Method: weighted aggregation + Hill-equation fit; deterministic. Output: predicted organoid IC50 with confidence band.</w:t>
      </w:r>
    </w:p>
    <w:p>
      <w:pPr>
        <w:spacing w:after="140"/>
        <w:jc w:val="left"/>
      </w:pPr>
      <w:r>
        <w:t xml:space="preserve">Confidence: medium-low. Composition tables are approximate, organoid biology has heterogeneity the surrogate does not capture. Honest fold-error: typically 3–5× vs. wet organoid measurement on retrospective benchmarks. Output is explicitly labelled "T0 prediction, fold-error 3–5× expected."</w:t>
      </w:r>
    </w:p>
    <w:p>
      <w:pPr>
        <w:pStyle w:val="Heading2"/>
      </w:pPr>
      <w:r>
        <w:t xml:space="preserve">3.4 Predicted organoid hepatotoxicity (DILI mechanism classifier)</w:t>
      </w:r>
    </w:p>
    <w:p>
      <w:pPr>
        <w:spacing w:after="140"/>
        <w:jc w:val="left"/>
      </w:pPr>
      <w:r>
        <w:t xml:space="preserve">Inputs: L1 cytotoxicity (CC50), L1 ADMET descriptors (MW, logP, plasma protein binding, metabolic stability), L2 predicted hepatic concentration, transporter substrate flags from QSAR (BSEP, OATP, MRP). Method: trained Random Forest (or gradient-boosted ensemble) on DILIrank — the open ~700-compound dataset with adjudicated DILI severity annotations. Same model shape as the existing `cardiotox` ML service. Output: predicted DILI severity class (most-DILI / less-DILI / no-DILI) with calibrated probability, plus mechanism flags (mitochondrial / BSEP / ROS / immune).</w:t>
      </w:r>
    </w:p>
    <w:p>
      <w:pPr>
        <w:spacing w:after="140"/>
        <w:jc w:val="left"/>
      </w:pPr>
      <w:r>
        <w:t xml:space="preserve">Confidence: medium. DILIrank is the gold-standard open hepatotox label set; the model is bounded by what 700 compounds can teach. Useful as a triage flag; not a substitute for a wet hepatotox panel for IND-supporting claims. Output explicitly labelled.</w:t>
      </w:r>
    </w:p>
    <w:p>
      <w:pPr>
        <w:pStyle w:val="Heading2"/>
      </w:pPr>
      <w:r>
        <w:t xml:space="preserve">3.5 Predicted patient-line variance (HCMI projection)</w:t>
      </w:r>
    </w:p>
    <w:p>
      <w:pPr>
        <w:spacing w:after="140"/>
        <w:jc w:val="left"/>
      </w:pPr>
      <w:r>
        <w:t xml:space="preserve">For oncology programmes only. Inputs: target gene + indication; L1 affinity; HCMI catalogue (~700 cancer organoid models with paired genomics + drug response where available); DepMap PRISM cell-line response data. Method: pull HCMI lines matching the indication; project response from (target_expression × affinity × line-specific genomic context); calibrate against any available DepMap PRISM matches. Output: predicted IC50 distribution across patient-line genomics, with predicted variance.</w:t>
      </w:r>
    </w:p>
    <w:p>
      <w:pPr>
        <w:spacing w:after="140"/>
        <w:jc w:val="left"/>
      </w:pPr>
      <w:r>
        <w:t xml:space="preserve">Confidence: medium for indications well-covered by HCMI / DepMap (most major oncology), low for rare cancers. Honest about the limits — explicitly labels indications outside the applicability domain.</w:t>
      </w:r>
    </w:p>
    <w:p>
      <w:pPr>
        <w:pStyle w:val="Heading2"/>
      </w:pPr>
      <w:r>
        <w:t xml:space="preserve">3.6 Predicted DILI biomarker proxy</w:t>
      </w:r>
    </w:p>
    <w:p>
      <w:pPr>
        <w:spacing w:after="140"/>
        <w:jc w:val="left"/>
      </w:pPr>
      <w:r>
        <w:t xml:space="preserve">Inputs: §3.4 mechanism flags + L1 CC50 + L2 hepatic exposure margin. Method: rule-based mapping from mechanism flags to expected biomarker pattern (mitochondrial → GLDH; cholestatic → ALP; hepatocellular → ALT, miR-122; immune → eosinophilia priors). Output: predicted biomarker pattern likelihood, not actual biomarker concentrations.</w:t>
      </w:r>
    </w:p>
    <w:p>
      <w:pPr>
        <w:spacing w:after="140"/>
        <w:jc w:val="left"/>
      </w:pPr>
      <w:r>
        <w:t xml:space="preserve">Confidence: low. This is explicitly tagged as triage-grade — useful for prioritising which biomarkers a wet panel should focus on, not as a substitute for measuring them.</w:t>
      </w:r>
    </w:p>
    <w:p>
      <w:pPr>
        <w:pStyle w:val="Heading2"/>
      </w:pPr>
      <w:r>
        <w:t xml:space="preserve">3.7 Predicted permeability and Kp,uu</w:t>
      </w:r>
    </w:p>
    <w:p>
      <w:pPr>
        <w:spacing w:after="140"/>
        <w:jc w:val="left"/>
      </w:pPr>
      <w:r>
        <w:t xml:space="preserve">Inputs: L1 Caco-2 permeability + L2 PBPK gut and brain compartments + transporter flags. Method: deterministic mapping. Output: predicted oral bioavailability (F_oral), predicted brain Kp,uu where CNS-relevant. Confidence: high for non-transporter substrates; medium for substrates of efflux pumps. This piece is largely already in scope through existing L1 + L2 outputs; T0 surfaces it as an L3 card.</w:t>
      </w:r>
    </w:p>
    <w:p>
      <w:pPr>
        <w:pStyle w:val="Heading2"/>
      </w:pPr>
      <w:r>
        <w:t xml:space="preserve">3.8 What T0 deliberately does NOT predict</w:t>
      </w:r>
    </w:p>
    <w:p>
      <w:pPr>
        <w:spacing w:after="60"/>
      </w:pPr>
      <w:r>
        <w:t xml:space="preserve"/>
      </w:r>
    </w:p>
    <w:p>
      <w:pPr>
        <w:pStyle w:val="ListParagraph"/>
        <w:numPr>
          <w:ilvl w:val="0"/>
          <w:numId w:val="2"/>
        </w:numPr>
        <w:spacing w:after="70"/>
      </w:pPr>
      <w:r>
        <w:t xml:space="preserve">Real-time perfusion kinetics in coupled multi-organ chips. (TissUse / CN Bio multi-organ territory; honest absence — surrogate is not a substitute.)</w:t>
      </w:r>
    </w:p>
    <w:p>
      <w:pPr>
        <w:pStyle w:val="ListParagraph"/>
        <w:numPr>
          <w:ilvl w:val="0"/>
          <w:numId w:val="2"/>
        </w:numPr>
        <w:spacing w:after="70"/>
      </w:pPr>
      <w:r>
        <w:t xml:space="preserve">Patient-derived non-cancer organoid efficacy. (HUB Foundation territory; HCMI covers cancer; non-cancer non-organoid prediction relies on cell-type aggregation with wider error bars and is labelled as such.)</w:t>
      </w:r>
    </w:p>
    <w:p>
      <w:pPr>
        <w:pStyle w:val="ListParagraph"/>
        <w:numPr>
          <w:ilvl w:val="0"/>
          <w:numId w:val="2"/>
        </w:numPr>
        <w:spacing w:after="70"/>
      </w:pPr>
      <w:r>
        <w:t xml:space="preserve">Specific adaptive immune responses. (No public dataset of meaningful size; not in scope.)</w:t>
      </w:r>
    </w:p>
    <w:p>
      <w:pPr>
        <w:pStyle w:val="ListParagraph"/>
        <w:numPr>
          <w:ilvl w:val="0"/>
          <w:numId w:val="2"/>
        </w:numPr>
        <w:spacing w:after="70"/>
      </w:pPr>
      <w:r>
        <w:t xml:space="preserve">Microbiome interactions. (Out of scope for the surrogate; out of scope for chip vendors too.)</w:t>
      </w:r>
    </w:p>
    <w:p>
      <w:pPr>
        <w:pStyle w:val="Heading1"/>
        <w:pageBreakBefore/>
      </w:pPr>
      <w:r>
        <w:t xml:space="preserve">4. Module Decomposition (Mirroring L1)</w:t>
      </w:r>
    </w:p>
    <w:p>
      <w:pPr>
        <w:spacing w:after="140"/>
        <w:jc w:val="left"/>
      </w:pPr>
      <w:r>
        <w:t xml:space="preserve">The build mirrors the existing L1 layout. Six new modules in `lib/`, three new ML services. Module sizes are estimates against the L1 reference (`admet.ts` 389 lines, `inVitroSim.ts` 579 lines).</w:t>
      </w:r>
    </w:p>
    <w:p>
      <w:pPr>
        <w:pStyle w:val="Heading2"/>
      </w:pPr>
      <w:r>
        <w:t xml:space="preserve">4.1 New `lib/`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400"/>
        <w:gridCol w:w="1900"/>
        <w:gridCol w:w="13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Module</w:t>
            </w:r>
          </w:p>
        </w:tc>
        <w:tc>
          <w:tcPr>
            <w:tcW w:type="dxa" w:w="1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Estimated size</w:t>
            </w:r>
          </w:p>
        </w:tc>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Purpose</w:t>
            </w:r>
          </w:p>
        </w:tc>
        <w:tc>
          <w:tcPr>
            <w:tcW w:type="dxa" w:w="1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Inputs</w:t>
            </w:r>
          </w:p>
        </w:tc>
        <w:tc>
          <w:tcPr>
            <w:tcW w:type="dxa" w:w="13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Outputs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lib/exVivoSurrogate.ts</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~500–650 lines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Top-level orchestrator. Same role as inVitroSim.ts at L1.</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L2 propagation envelope (predicted PBPK + affinities)</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L3 → L4 envelope per readout</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lib/tissueSelectivity.ts</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~250–350 lines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54-organ margin matrix.</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L2 PBPK per-compartment Cmax/Cu, L1 IC50, GTEx expression</w:t>
            </w:r>
          </w:p>
        </w:tc>
        <w:tc>
          <w:tcPr>
            <w:tcW w:type="dxa" w:w="1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54-row matrix with CIs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lib/cellTypeAggregator.ts</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~300–400 lines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Drug2cell-pattern per-cell-type response + organoid composition aggregation.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Tabula Sapiens expression (CELLxGENE Census), L1 affinity, organoid composition table</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Per-cell-type response, predicted organoid IC50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lib/hepatotoxPredictor.ts</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~250–350 lines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DILI severity + mechanism classifier wrapper.</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L1 CC50, L1 ADMET descriptors, L2 hepatic Cu, transporter flags</w:t>
            </w:r>
          </w:p>
        </w:tc>
        <w:tc>
          <w:tcPr>
            <w:tcW w:type="dxa" w:w="1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DILI class probability + mechanism flags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lib/patientLineProjection.ts</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~200–300 lines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HCMI line-genomics + L2 affinity for oncology programs.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Indication, target, L1 affinity, HCMI catalogue</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Per-line predicted IC50 distribution</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lib/transporterFlags.ts</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~150–200 lines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BSEP / OAT / OCT / MRP / OATP substrate and inhibitor flagging from QSAR + L1 ADMET.</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L1 ADMET descriptors + RDKit features</w:t>
            </w:r>
          </w:p>
        </w:tc>
        <w:tc>
          <w:tcPr>
            <w:tcW w:type="dxa" w:w="1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Transporter substrate / inhibitor flags with confidence</w:t>
            </w:r>
          </w:p>
        </w:tc>
      </w:tr>
    </w:tbl>
    <w:p>
      <w:pPr>
        <w:spacing w:after="140"/>
      </w:pPr>
      <w:r>
        <w:t xml:space="preserve"/>
      </w:r>
    </w:p>
    <w:p>
      <w:pPr>
        <w:pStyle w:val="Heading2"/>
      </w:pPr>
      <w:r>
        <w:t xml:space="preserve">4.2 New ML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400"/>
        <w:gridCol w:w="146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Service</w:t>
            </w:r>
          </w:p>
        </w:tc>
        <w:tc>
          <w:tcPr>
            <w:tcW w:type="dxa" w:w="4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Model shape</w:t>
            </w:r>
          </w:p>
        </w:tc>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Training data</w:t>
            </w:r>
          </w:p>
        </w:tc>
        <w:tc>
          <w:tcPr>
            <w:tcW w:type="dxa" w:w="14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Compute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dili-ml</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Random Forest (or LightGBM) on Morgan fingerprints + L1 ADMET features. Same shape as the existing cardiotox-ml model.</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DILIrank (~700 compounds with adjudicated DILI severity); FDA Liver Toxicity Knowledge Base (LTKB) for cross-validation</w:t>
            </w:r>
          </w:p>
        </w:tc>
        <w:tc>
          <w:tcPr>
            <w:tcW w:type="dxa" w:w="1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CPU. Trains in minutes, inference in milliseconds.</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tissue-deconv-ml</w:t>
            </w:r>
          </w:p>
        </w:tc>
        <w:tc>
          <w:tcPr>
            <w:tcW w:type="dxa" w:w="4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Cell-type expression weighting model. Lightweight regression over Tabula Sapiens.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Tabula Sapiens v2 + Human Cell Atlas v2 cell-type-by-organoid composition tables; published organoid characterisation papers.</w:t>
            </w:r>
          </w:p>
        </w:tc>
        <w:tc>
          <w:tcPr>
            <w:tcW w:type="dxa" w:w="1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CPU. Inference is a vector dot product; precompute embeddings for the 480 cell types.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organoid-response-ml</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Optional fine-tuning step: gradient-boosted regressor that calibrates §3.3 predictions against any wet readouts that arrive over time.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Bootstrap on HCMI organoid drug response (where available), JUMP-CP cell-painting; calibrate continuously against incoming T2/T3 wet data.</w:t>
            </w:r>
          </w:p>
        </w:tc>
        <w:tc>
          <w:tcPr>
            <w:tcW w:type="dxa" w:w="1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CPU. Online retraining triggered by Performance &amp; Lineage Swarm drift events.</w:t>
            </w:r>
          </w:p>
        </w:tc>
      </w:tr>
    </w:tbl>
    <w:p>
      <w:pPr>
        <w:spacing w:after="140"/>
      </w:pPr>
      <w:r>
        <w:t xml:space="preserve"/>
      </w:r>
    </w:p>
    <w:p>
      <w:pPr>
        <w:pStyle w:val="Heading2"/>
      </w:pPr>
      <w:r>
        <w:t xml:space="preserve">4.3 External API ingestion</w:t>
      </w:r>
    </w:p>
    <w:p>
      <w:pPr>
        <w:spacing w:after="140"/>
        <w:jc w:val="left"/>
      </w:pPr>
      <w:r>
        <w:t xml:space="preserve">One new external service ingestion. Everything else is open data files.</w:t>
      </w:r>
    </w:p>
    <w:p>
      <w:pPr>
        <w:spacing w:after="60"/>
      </w:pPr>
      <w:r>
        <w:t xml:space="preserve"/>
      </w:r>
    </w:p>
    <w:p>
      <w:pPr>
        <w:spacing w:after="140"/>
      </w:pPr>
      <w:r>
        <w:rPr>
          <w:b/>
          <w:bCs/>
        </w:rPr>
        <w:t xml:space="preserve">CELLxGENE Census API</w:t>
      </w:r>
      <w:r>
        <w:t xml:space="preserve"> (CZI, free) — primary route to Tabula Sapiens v2 + Human Cell Atlas v2 cell-type expression. Python and R clients exist; we wrap a thin TypeScript client mirroring the pattern used for ChEMBL similar-targets v2.</w:t>
      </w:r>
    </w:p>
    <w:p>
      <w:pPr>
        <w:spacing w:after="140"/>
        <w:jc w:val="left"/>
      </w:pPr>
      <w:r>
        <w:t xml:space="preserve">Other public datasets used in T0 are bulk-downloaded snapshots cached locally with a refresh schedule:</w:t>
      </w:r>
    </w:p>
    <w:p>
      <w:pPr>
        <w:spacing w:after="60"/>
      </w:pPr>
      <w:r>
        <w:t xml:space="preserve"/>
      </w:r>
    </w:p>
    <w:p>
      <w:pPr>
        <w:pStyle w:val="ListParagraph"/>
        <w:numPr>
          <w:ilvl w:val="0"/>
          <w:numId w:val="2"/>
        </w:numPr>
        <w:spacing w:after="70"/>
      </w:pPr>
      <w:r>
        <w:t xml:space="preserve">GTEx v10 — bulk download (median expression per tissue per gene), refresh quarterly.</w:t>
      </w:r>
    </w:p>
    <w:p>
      <w:pPr>
        <w:pStyle w:val="ListParagraph"/>
        <w:numPr>
          <w:ilvl w:val="0"/>
          <w:numId w:val="2"/>
        </w:numPr>
        <w:spacing w:after="70"/>
      </w:pPr>
      <w:r>
        <w:t xml:space="preserve">HCMI catalogue — REST API with caching, refresh monthly.</w:t>
      </w:r>
    </w:p>
    <w:p>
      <w:pPr>
        <w:pStyle w:val="ListParagraph"/>
        <w:numPr>
          <w:ilvl w:val="0"/>
          <w:numId w:val="2"/>
        </w:numPr>
        <w:spacing w:after="70"/>
      </w:pPr>
      <w:r>
        <w:t xml:space="preserve">DILIrank — static dataset, snapshot once, refresh on FDA update (rare).</w:t>
      </w:r>
    </w:p>
    <w:p>
      <w:pPr>
        <w:pStyle w:val="ListParagraph"/>
        <w:numPr>
          <w:ilvl w:val="0"/>
          <w:numId w:val="2"/>
        </w:numPr>
        <w:spacing w:after="70"/>
      </w:pPr>
      <w:r>
        <w:t xml:space="preserve">JUMP-CP — Cell Painting profiles for ~120K compounds, used as the optional anchoring set for `organoid-response-ml`.</w:t>
      </w:r>
    </w:p>
    <w:p>
      <w:pPr>
        <w:pStyle w:val="ListParagraph"/>
        <w:numPr>
          <w:ilvl w:val="0"/>
          <w:numId w:val="2"/>
        </w:numPr>
        <w:spacing w:after="70"/>
      </w:pPr>
      <w:r>
        <w:t xml:space="preserve">DepMap PRISM — quarterly release; cell-line drug response cross-reference for `patientLineProjection`.</w:t>
      </w:r>
    </w:p>
    <w:p>
      <w:pPr>
        <w:pStyle w:val="ListParagraph"/>
        <w:numPr>
          <w:ilvl w:val="0"/>
          <w:numId w:val="2"/>
        </w:numPr>
        <w:spacing w:after="70"/>
      </w:pPr>
      <w:r>
        <w:t xml:space="preserve">ToxRefDB / ToxValDB — for Tier-1 retrieval of wet readouts on near-analog compounds.</w:t>
      </w:r>
    </w:p>
    <w:p>
      <w:pPr>
        <w:pStyle w:val="Heading1"/>
        <w:pageBreakBefore/>
      </w:pPr>
      <w:r>
        <w:t xml:space="preserve">5. Module Interface Sketches</w:t>
      </w:r>
    </w:p>
    <w:p>
      <w:pPr>
        <w:spacing w:after="140"/>
        <w:jc w:val="left"/>
      </w:pPr>
      <w:r>
        <w:t xml:space="preserve">TypeScript signatures for the six new `lib/` modules. These match the existing pattern in `admet.ts` and `inVitroSim.ts` — pure functions where possible, async where external APIs or model inference is involved, structured return types with confidence and provenance fields.</w:t>
      </w:r>
    </w:p>
    <w:p>
      <w:pPr>
        <w:pStyle w:val="Heading2"/>
      </w:pPr>
      <w:r>
        <w:t xml:space="preserve">5.1 lib/exVivoSurrogate.ts (orchestrator)</w:t>
      </w:r>
    </w:p>
    <w:p>
      <w:pPr>
        <w:shd w:fill="F5F5F5" w:val="clear"/>
        <w:spacing w:after="0" w:line="240"/>
        <w:ind w:left="240"/>
      </w:pPr>
      <w:r>
        <w:rPr>
          <w:rFonts w:ascii="Consolas" w:cs="Consolas" w:eastAsia="Consolas" w:hAnsi="Consolas"/>
          <w:sz w:val="18"/>
          <w:szCs w:val="18"/>
        </w:rPr>
        <w:t xml:space="preserve">export interface L3SurrogateInput {</w:t>
      </w:r>
    </w:p>
    <w:p>
      <w:pPr>
        <w:shd w:fill="F5F5F5" w:val="clear"/>
        <w:spacing w:after="0" w:line="240"/>
        <w:ind w:left="240"/>
      </w:pPr>
      <w:r>
        <w:rPr>
          <w:rFonts w:ascii="Consolas" w:cs="Consolas" w:eastAsia="Consolas" w:hAnsi="Consolas"/>
          <w:sz w:val="18"/>
          <w:szCs w:val="18"/>
        </w:rPr>
        <w:t xml:space="preserve">  compoundId: string;</w:t>
      </w:r>
    </w:p>
    <w:p>
      <w:pPr>
        <w:shd w:fill="F5F5F5" w:val="clear"/>
        <w:spacing w:after="0" w:line="240"/>
        <w:ind w:left="240"/>
      </w:pPr>
      <w:r>
        <w:rPr>
          <w:rFonts w:ascii="Consolas" w:cs="Consolas" w:eastAsia="Consolas" w:hAnsi="Consolas"/>
          <w:sz w:val="18"/>
          <w:szCs w:val="18"/>
        </w:rPr>
        <w:t xml:space="preserve">  smiles: string;</w:t>
      </w:r>
    </w:p>
    <w:p>
      <w:pPr>
        <w:shd w:fill="F5F5F5" w:val="clear"/>
        <w:spacing w:after="0" w:line="240"/>
        <w:ind w:left="240"/>
      </w:pPr>
      <w:r>
        <w:rPr>
          <w:rFonts w:ascii="Consolas" w:cs="Consolas" w:eastAsia="Consolas" w:hAnsi="Consolas"/>
          <w:sz w:val="18"/>
          <w:szCs w:val="18"/>
        </w:rPr>
        <w:t xml:space="preserve">  inchiKey: string;</w:t>
      </w:r>
    </w:p>
    <w:p>
      <w:pPr>
        <w:shd w:fill="F5F5F5" w:val="clear"/>
        <w:spacing w:after="0" w:line="240"/>
        <w:ind w:left="240"/>
      </w:pPr>
      <w:r>
        <w:rPr>
          <w:rFonts w:ascii="Consolas" w:cs="Consolas" w:eastAsia="Consolas" w:hAnsi="Consolas"/>
          <w:sz w:val="18"/>
          <w:szCs w:val="18"/>
        </w:rPr>
        <w:t xml:space="preserve">  l1Outputs: L1Envelope;       // existing L1 contract</w:t>
      </w:r>
    </w:p>
    <w:p>
      <w:pPr>
        <w:shd w:fill="F5F5F5" w:val="clear"/>
        <w:spacing w:after="0" w:line="240"/>
        <w:ind w:left="240"/>
      </w:pPr>
      <w:r>
        <w:rPr>
          <w:rFonts w:ascii="Consolas" w:cs="Consolas" w:eastAsia="Consolas" w:hAnsi="Consolas"/>
          <w:sz w:val="18"/>
          <w:szCs w:val="18"/>
        </w:rPr>
        <w:t xml:space="preserve">  l2Outputs: L2Envelope;       // existing L2 contract</w:t>
      </w:r>
    </w:p>
    <w:p>
      <w:pPr>
        <w:shd w:fill="F5F5F5" w:val="clear"/>
        <w:spacing w:after="0" w:line="240"/>
        <w:ind w:left="240"/>
      </w:pPr>
      <w:r>
        <w:rPr>
          <w:rFonts w:ascii="Consolas" w:cs="Consolas" w:eastAsia="Consolas" w:hAnsi="Consolas"/>
          <w:sz w:val="18"/>
          <w:szCs w:val="18"/>
        </w:rPr>
        <w:t xml:space="preserve">  context: {</w:t>
      </w:r>
    </w:p>
    <w:p>
      <w:pPr>
        <w:shd w:fill="F5F5F5" w:val="clear"/>
        <w:spacing w:after="0" w:line="240"/>
        <w:ind w:left="240"/>
      </w:pPr>
      <w:r>
        <w:rPr>
          <w:rFonts w:ascii="Consolas" w:cs="Consolas" w:eastAsia="Consolas" w:hAnsi="Consolas"/>
          <w:sz w:val="18"/>
          <w:szCs w:val="18"/>
        </w:rPr>
        <w:t xml:space="preserve">    indication?: string;       // optional, drives oncology branch</w:t>
      </w:r>
    </w:p>
    <w:p>
      <w:pPr>
        <w:shd w:fill="F5F5F5" w:val="clear"/>
        <w:spacing w:after="0" w:line="240"/>
        <w:ind w:left="240"/>
      </w:pPr>
      <w:r>
        <w:rPr>
          <w:rFonts w:ascii="Consolas" w:cs="Consolas" w:eastAsia="Consolas" w:hAnsi="Consolas"/>
          <w:sz w:val="18"/>
          <w:szCs w:val="18"/>
        </w:rPr>
        <w:t xml:space="preserve">    targetUniprotId: string;</w:t>
      </w:r>
    </w:p>
    <w:p>
      <w:pPr>
        <w:shd w:fill="F5F5F5" w:val="clear"/>
        <w:spacing w:after="0" w:line="240"/>
        <w:ind w:left="240"/>
      </w:pPr>
      <w:r>
        <w:rPr>
          <w:rFonts w:ascii="Consolas" w:cs="Consolas" w:eastAsia="Consolas" w:hAnsi="Consolas"/>
          <w:sz w:val="18"/>
          <w:szCs w:val="18"/>
        </w:rPr>
        <w:t xml:space="preserve">    organoidTypes: OrganoidType[];   // ["liver", "intestine", "kidney", ...]</w:t>
      </w:r>
    </w:p>
    <w:p>
      <w:pPr>
        <w:shd w:fill="F5F5F5" w:val="clear"/>
        <w:spacing w:after="0" w:line="240"/>
        <w:ind w:left="240"/>
      </w:pPr>
      <w:r>
        <w:rPr>
          <w:rFonts w:ascii="Consolas" w:cs="Consolas" w:eastAsia="Consolas" w:hAnsi="Consolas"/>
          <w:sz w:val="18"/>
          <w:szCs w:val="18"/>
        </w:rPr>
        <w:t xml:space="preserve">    cnsRelevant: boolean;</w:t>
      </w:r>
    </w:p>
    <w:p>
      <w:pPr>
        <w:shd w:fill="F5F5F5" w:val="clear"/>
        <w:spacing w:after="0" w:line="240"/>
        <w:ind w:left="240"/>
      </w:pPr>
      <w:r>
        <w:rPr>
          <w:rFonts w:ascii="Consolas" w:cs="Consolas" w:eastAsia="Consolas" w:hAnsi="Consolas"/>
          <w:sz w:val="18"/>
          <w:szCs w:val="18"/>
        </w:rPr>
        <w:t xml:space="preserve">  };</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interface L3SurrogateOutput {</w:t>
      </w:r>
    </w:p>
    <w:p>
      <w:pPr>
        <w:shd w:fill="F5F5F5" w:val="clear"/>
        <w:spacing w:after="0" w:line="240"/>
        <w:ind w:left="240"/>
      </w:pPr>
      <w:r>
        <w:rPr>
          <w:rFonts w:ascii="Consolas" w:cs="Consolas" w:eastAsia="Consolas" w:hAnsi="Consolas"/>
          <w:sz w:val="18"/>
          <w:szCs w:val="18"/>
        </w:rPr>
        <w:t xml:space="preserve">  tier: "t0";</w:t>
      </w:r>
    </w:p>
    <w:p>
      <w:pPr>
        <w:shd w:fill="F5F5F5" w:val="clear"/>
        <w:spacing w:after="0" w:line="240"/>
        <w:ind w:left="240"/>
      </w:pPr>
      <w:r>
        <w:rPr>
          <w:rFonts w:ascii="Consolas" w:cs="Consolas" w:eastAsia="Consolas" w:hAnsi="Consolas"/>
          <w:sz w:val="18"/>
          <w:szCs w:val="18"/>
        </w:rPr>
        <w:t xml:space="preserve">  tissueSelectivity:    TissueSelectivityMatrix;     // 54-row</w:t>
      </w:r>
    </w:p>
    <w:p>
      <w:pPr>
        <w:shd w:fill="F5F5F5" w:val="clear"/>
        <w:spacing w:after="0" w:line="240"/>
        <w:ind w:left="240"/>
      </w:pPr>
      <w:r>
        <w:rPr>
          <w:rFonts w:ascii="Consolas" w:cs="Consolas" w:eastAsia="Consolas" w:hAnsi="Consolas"/>
          <w:sz w:val="18"/>
          <w:szCs w:val="18"/>
        </w:rPr>
        <w:t xml:space="preserve">  cellTypeResponse:     CellTypeResponseMatrix;      // ~480-row</w:t>
      </w:r>
    </w:p>
    <w:p>
      <w:pPr>
        <w:shd w:fill="F5F5F5" w:val="clear"/>
        <w:spacing w:after="0" w:line="240"/>
        <w:ind w:left="240"/>
      </w:pPr>
      <w:r>
        <w:rPr>
          <w:rFonts w:ascii="Consolas" w:cs="Consolas" w:eastAsia="Consolas" w:hAnsi="Consolas"/>
          <w:sz w:val="18"/>
          <w:szCs w:val="18"/>
        </w:rPr>
        <w:t xml:space="preserve">  organoidEfficacy:     OrganoidEfficacyPrediction;  // per organoid type</w:t>
      </w:r>
    </w:p>
    <w:p>
      <w:pPr>
        <w:shd w:fill="F5F5F5" w:val="clear"/>
        <w:spacing w:after="0" w:line="240"/>
        <w:ind w:left="240"/>
      </w:pPr>
      <w:r>
        <w:rPr>
          <w:rFonts w:ascii="Consolas" w:cs="Consolas" w:eastAsia="Consolas" w:hAnsi="Consolas"/>
          <w:sz w:val="18"/>
          <w:szCs w:val="18"/>
        </w:rPr>
        <w:t xml:space="preserve">  hepatotoxClassification: DILIPrediction;</w:t>
      </w:r>
    </w:p>
    <w:p>
      <w:pPr>
        <w:shd w:fill="F5F5F5" w:val="clear"/>
        <w:spacing w:after="0" w:line="240"/>
        <w:ind w:left="240"/>
      </w:pPr>
      <w:r>
        <w:rPr>
          <w:rFonts w:ascii="Consolas" w:cs="Consolas" w:eastAsia="Consolas" w:hAnsi="Consolas"/>
          <w:sz w:val="18"/>
          <w:szCs w:val="18"/>
        </w:rPr>
        <w:t xml:space="preserve">  patientLineVariance?: PatientLinePrediction;       // oncology only</w:t>
      </w:r>
    </w:p>
    <w:p>
      <w:pPr>
        <w:shd w:fill="F5F5F5" w:val="clear"/>
        <w:spacing w:after="0" w:line="240"/>
        <w:ind w:left="240"/>
      </w:pPr>
      <w:r>
        <w:rPr>
          <w:rFonts w:ascii="Consolas" w:cs="Consolas" w:eastAsia="Consolas" w:hAnsi="Consolas"/>
          <w:sz w:val="18"/>
          <w:szCs w:val="18"/>
        </w:rPr>
        <w:t xml:space="preserve">  diliBiomarkerProxy:   BiomarkerPattern;</w:t>
      </w:r>
    </w:p>
    <w:p>
      <w:pPr>
        <w:shd w:fill="F5F5F5" w:val="clear"/>
        <w:spacing w:after="0" w:line="240"/>
        <w:ind w:left="240"/>
      </w:pPr>
      <w:r>
        <w:rPr>
          <w:rFonts w:ascii="Consolas" w:cs="Consolas" w:eastAsia="Consolas" w:hAnsi="Consolas"/>
          <w:sz w:val="18"/>
          <w:szCs w:val="18"/>
        </w:rPr>
        <w:t xml:space="preserve">  permeability:         PermeabilityPrediction;</w:t>
      </w:r>
    </w:p>
    <w:p>
      <w:pPr>
        <w:shd w:fill="F5F5F5" w:val="clear"/>
        <w:spacing w:after="0" w:line="240"/>
        <w:ind w:left="240"/>
      </w:pPr>
      <w:r>
        <w:rPr>
          <w:rFonts w:ascii="Consolas" w:cs="Consolas" w:eastAsia="Consolas" w:hAnsi="Consolas"/>
          <w:sz w:val="18"/>
          <w:szCs w:val="18"/>
        </w:rPr>
        <w:t xml:space="preserve">  cascadeEvaluation:    CascadeEval;                 // six-flag</w:t>
      </w:r>
    </w:p>
    <w:p>
      <w:pPr>
        <w:shd w:fill="F5F5F5" w:val="clear"/>
        <w:spacing w:after="0" w:line="240"/>
        <w:ind w:left="240"/>
      </w:pPr>
      <w:r>
        <w:rPr>
          <w:rFonts w:ascii="Consolas" w:cs="Consolas" w:eastAsia="Consolas" w:hAnsi="Consolas"/>
          <w:sz w:val="18"/>
          <w:szCs w:val="18"/>
        </w:rPr>
        <w:t xml:space="preserve">  provenance:           ProvenanceEnvelope;</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async function runL3Surrogate(</w:t>
      </w:r>
    </w:p>
    <w:p>
      <w:pPr>
        <w:shd w:fill="F5F5F5" w:val="clear"/>
        <w:spacing w:after="0" w:line="240"/>
        <w:ind w:left="240"/>
      </w:pPr>
      <w:r>
        <w:rPr>
          <w:rFonts w:ascii="Consolas" w:cs="Consolas" w:eastAsia="Consolas" w:hAnsi="Consolas"/>
          <w:sz w:val="18"/>
          <w:szCs w:val="18"/>
        </w:rPr>
        <w:t xml:space="preserve">  input: L3SurrogateInput</w:t>
      </w:r>
    </w:p>
    <w:p>
      <w:pPr>
        <w:shd w:fill="F5F5F5" w:val="clear"/>
        <w:spacing w:after="0" w:line="240"/>
        <w:ind w:left="240"/>
      </w:pPr>
      <w:r>
        <w:rPr>
          <w:rFonts w:ascii="Consolas" w:cs="Consolas" w:eastAsia="Consolas" w:hAnsi="Consolas"/>
          <w:sz w:val="18"/>
          <w:szCs w:val="18"/>
        </w:rPr>
        <w:t xml:space="preserve">): Promise&lt;L3SurrogateOutput&gt;;</w:t>
      </w:r>
    </w:p>
    <w:p>
      <w:pPr>
        <w:spacing w:after="140"/>
      </w:pPr>
      <w:r>
        <w:t xml:space="preserve"/>
      </w:r>
    </w:p>
    <w:p>
      <w:pPr>
        <w:pStyle w:val="Heading2"/>
      </w:pPr>
      <w:r>
        <w:t xml:space="preserve">5.2 lib/tissueSelectivity.ts</w:t>
      </w:r>
    </w:p>
    <w:p>
      <w:pPr>
        <w:shd w:fill="F5F5F5" w:val="clear"/>
        <w:spacing w:after="0" w:line="240"/>
        <w:ind w:left="240"/>
      </w:pPr>
      <w:r>
        <w:rPr>
          <w:rFonts w:ascii="Consolas" w:cs="Consolas" w:eastAsia="Consolas" w:hAnsi="Consolas"/>
          <w:sz w:val="18"/>
          <w:szCs w:val="18"/>
        </w:rPr>
        <w:t xml:space="preserve">export interface TissueSelectivityRow {</w:t>
      </w:r>
    </w:p>
    <w:p>
      <w:pPr>
        <w:shd w:fill="F5F5F5" w:val="clear"/>
        <w:spacing w:after="0" w:line="240"/>
        <w:ind w:left="240"/>
      </w:pPr>
      <w:r>
        <w:rPr>
          <w:rFonts w:ascii="Consolas" w:cs="Consolas" w:eastAsia="Consolas" w:hAnsi="Consolas"/>
          <w:sz w:val="18"/>
          <w:szCs w:val="18"/>
        </w:rPr>
        <w:t xml:space="preserve">  tissueId: string;            // GTEx tissue ID</w:t>
      </w:r>
    </w:p>
    <w:p>
      <w:pPr>
        <w:shd w:fill="F5F5F5" w:val="clear"/>
        <w:spacing w:after="0" w:line="240"/>
        <w:ind w:left="240"/>
      </w:pPr>
      <w:r>
        <w:rPr>
          <w:rFonts w:ascii="Consolas" w:cs="Consolas" w:eastAsia="Consolas" w:hAnsi="Consolas"/>
          <w:sz w:val="18"/>
          <w:szCs w:val="18"/>
        </w:rPr>
        <w:t xml:space="preserve">  tissueName: string;</w:t>
      </w:r>
    </w:p>
    <w:p>
      <w:pPr>
        <w:shd w:fill="F5F5F5" w:val="clear"/>
        <w:spacing w:after="0" w:line="240"/>
        <w:ind w:left="240"/>
      </w:pPr>
      <w:r>
        <w:rPr>
          <w:rFonts w:ascii="Consolas" w:cs="Consolas" w:eastAsia="Consolas" w:hAnsi="Consolas"/>
          <w:sz w:val="18"/>
          <w:szCs w:val="18"/>
        </w:rPr>
        <w:t xml:space="preserve">  predictedCu_uM: { mean: number; ci95: [number, number] };</w:t>
      </w:r>
    </w:p>
    <w:p>
      <w:pPr>
        <w:shd w:fill="F5F5F5" w:val="clear"/>
        <w:spacing w:after="0" w:line="240"/>
        <w:ind w:left="240"/>
      </w:pPr>
      <w:r>
        <w:rPr>
          <w:rFonts w:ascii="Consolas" w:cs="Consolas" w:eastAsia="Consolas" w:hAnsi="Consolas"/>
          <w:sz w:val="18"/>
          <w:szCs w:val="18"/>
        </w:rPr>
        <w:t xml:space="preserve">  ic50_uM: number;             // from L1</w:t>
      </w:r>
    </w:p>
    <w:p>
      <w:pPr>
        <w:shd w:fill="F5F5F5" w:val="clear"/>
        <w:spacing w:after="0" w:line="240"/>
        <w:ind w:left="240"/>
      </w:pPr>
      <w:r>
        <w:rPr>
          <w:rFonts w:ascii="Consolas" w:cs="Consolas" w:eastAsia="Consolas" w:hAnsi="Consolas"/>
          <w:sz w:val="18"/>
          <w:szCs w:val="18"/>
        </w:rPr>
        <w:t xml:space="preserve">  margin: { mean: number; ci95: [number, number] };</w:t>
      </w:r>
    </w:p>
    <w:p>
      <w:pPr>
        <w:shd w:fill="F5F5F5" w:val="clear"/>
        <w:spacing w:after="0" w:line="240"/>
        <w:ind w:left="240"/>
      </w:pPr>
      <w:r>
        <w:rPr>
          <w:rFonts w:ascii="Consolas" w:cs="Consolas" w:eastAsia="Consolas" w:hAnsi="Consolas"/>
          <w:sz w:val="18"/>
          <w:szCs w:val="18"/>
        </w:rPr>
        <w:t xml:space="preserve">  targetExpressionTpm: number; // GTEx</w:t>
      </w:r>
    </w:p>
    <w:p>
      <w:pPr>
        <w:shd w:fill="F5F5F5" w:val="clear"/>
        <w:spacing w:after="0" w:line="240"/>
        <w:ind w:left="240"/>
      </w:pPr>
      <w:r>
        <w:rPr>
          <w:rFonts w:ascii="Consolas" w:cs="Consolas" w:eastAsia="Consolas" w:hAnsi="Consolas"/>
          <w:sz w:val="18"/>
          <w:szCs w:val="18"/>
        </w:rPr>
        <w:t xml:space="preserve">  pbpkCompartment: string | null;  // null when surrogate-derived</w:t>
      </w:r>
    </w:p>
    <w:p>
      <w:pPr>
        <w:shd w:fill="F5F5F5" w:val="clear"/>
        <w:spacing w:after="0" w:line="240"/>
        <w:ind w:left="240"/>
      </w:pPr>
      <w:r>
        <w:rPr>
          <w:rFonts w:ascii="Consolas" w:cs="Consolas" w:eastAsia="Consolas" w:hAnsi="Consolas"/>
          <w:sz w:val="18"/>
          <w:szCs w:val="18"/>
        </w:rPr>
        <w:t xml:space="preserve">  confidence: "high" | "medium" | "low";</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export interface TissueSelectivityMatrix {</w:t>
      </w:r>
    </w:p>
    <w:p>
      <w:pPr>
        <w:shd w:fill="F5F5F5" w:val="clear"/>
        <w:spacing w:after="0" w:line="240"/>
        <w:ind w:left="240"/>
      </w:pPr>
      <w:r>
        <w:rPr>
          <w:rFonts w:ascii="Consolas" w:cs="Consolas" w:eastAsia="Consolas" w:hAnsi="Consolas"/>
          <w:sz w:val="18"/>
          <w:szCs w:val="18"/>
        </w:rPr>
        <w:t xml:space="preserve">  rows: TissueSelectivityRow[];     // 54 rows</w:t>
      </w:r>
    </w:p>
    <w:p>
      <w:pPr>
        <w:shd w:fill="F5F5F5" w:val="clear"/>
        <w:spacing w:after="0" w:line="240"/>
        <w:ind w:left="240"/>
      </w:pPr>
      <w:r>
        <w:rPr>
          <w:rFonts w:ascii="Consolas" w:cs="Consolas" w:eastAsia="Consolas" w:hAnsi="Consolas"/>
          <w:sz w:val="18"/>
          <w:szCs w:val="18"/>
        </w:rPr>
        <w:t xml:space="preserve">  generatedAt: string;</w:t>
      </w:r>
    </w:p>
    <w:p>
      <w:pPr>
        <w:shd w:fill="F5F5F5" w:val="clear"/>
        <w:spacing w:after="0" w:line="240"/>
        <w:ind w:left="240"/>
      </w:pPr>
      <w:r>
        <w:rPr>
          <w:rFonts w:ascii="Consolas" w:cs="Consolas" w:eastAsia="Consolas" w:hAnsi="Consolas"/>
          <w:sz w:val="18"/>
          <w:szCs w:val="18"/>
        </w:rPr>
        <w:t xml:space="preserve">  gtexSnapshot: string;</w:t>
      </w:r>
    </w:p>
    <w:p>
      <w:pPr>
        <w:shd w:fill="F5F5F5" w:val="clear"/>
        <w:spacing w:after="0" w:line="240"/>
        <w:ind w:left="240"/>
      </w:pPr>
      <w:r>
        <w:rPr>
          <w:rFonts w:ascii="Consolas" w:cs="Consolas" w:eastAsia="Consolas" w:hAnsi="Consolas"/>
          <w:sz w:val="18"/>
          <w:szCs w:val="18"/>
        </w:rPr>
        <w:t xml:space="preserve">  pbpkModelVersion: string;</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function computeTissueSelectivityMatrix(</w:t>
      </w:r>
    </w:p>
    <w:p>
      <w:pPr>
        <w:shd w:fill="F5F5F5" w:val="clear"/>
        <w:spacing w:after="0" w:line="240"/>
        <w:ind w:left="240"/>
      </w:pPr>
      <w:r>
        <w:rPr>
          <w:rFonts w:ascii="Consolas" w:cs="Consolas" w:eastAsia="Consolas" w:hAnsi="Consolas"/>
          <w:sz w:val="18"/>
          <w:szCs w:val="18"/>
        </w:rPr>
        <w:t xml:space="preserve">  l1: L1Envelope,</w:t>
      </w:r>
    </w:p>
    <w:p>
      <w:pPr>
        <w:shd w:fill="F5F5F5" w:val="clear"/>
        <w:spacing w:after="0" w:line="240"/>
        <w:ind w:left="240"/>
      </w:pPr>
      <w:r>
        <w:rPr>
          <w:rFonts w:ascii="Consolas" w:cs="Consolas" w:eastAsia="Consolas" w:hAnsi="Consolas"/>
          <w:sz w:val="18"/>
          <w:szCs w:val="18"/>
        </w:rPr>
        <w:t xml:space="preserve">  l2: L2Envelope,</w:t>
      </w:r>
    </w:p>
    <w:p>
      <w:pPr>
        <w:shd w:fill="F5F5F5" w:val="clear"/>
        <w:spacing w:after="0" w:line="240"/>
        <w:ind w:left="240"/>
      </w:pPr>
      <w:r>
        <w:rPr>
          <w:rFonts w:ascii="Consolas" w:cs="Consolas" w:eastAsia="Consolas" w:hAnsi="Consolas"/>
          <w:sz w:val="18"/>
          <w:szCs w:val="18"/>
        </w:rPr>
        <w:t xml:space="preserve">  gtex: GtexSnapshot</w:t>
      </w:r>
    </w:p>
    <w:p>
      <w:pPr>
        <w:shd w:fill="F5F5F5" w:val="clear"/>
        <w:spacing w:after="0" w:line="240"/>
        <w:ind w:left="240"/>
      </w:pPr>
      <w:r>
        <w:rPr>
          <w:rFonts w:ascii="Consolas" w:cs="Consolas" w:eastAsia="Consolas" w:hAnsi="Consolas"/>
          <w:sz w:val="18"/>
          <w:szCs w:val="18"/>
        </w:rPr>
        <w:t xml:space="preserve">): TissueSelectivityMatrix;</w:t>
      </w:r>
    </w:p>
    <w:p>
      <w:pPr>
        <w:spacing w:after="140"/>
      </w:pPr>
      <w:r>
        <w:t xml:space="preserve"/>
      </w:r>
    </w:p>
    <w:p>
      <w:pPr>
        <w:pStyle w:val="Heading2"/>
      </w:pPr>
      <w:r>
        <w:t xml:space="preserve">5.3 lib/cellTypeAggregator.ts</w:t>
      </w:r>
    </w:p>
    <w:p>
      <w:pPr>
        <w:shd w:fill="F5F5F5" w:val="clear"/>
        <w:spacing w:after="0" w:line="240"/>
        <w:ind w:left="240"/>
      </w:pPr>
      <w:r>
        <w:rPr>
          <w:rFonts w:ascii="Consolas" w:cs="Consolas" w:eastAsia="Consolas" w:hAnsi="Consolas"/>
          <w:sz w:val="18"/>
          <w:szCs w:val="18"/>
        </w:rPr>
        <w:t xml:space="preserve">export interface CellTypeResponse {</w:t>
      </w:r>
    </w:p>
    <w:p>
      <w:pPr>
        <w:shd w:fill="F5F5F5" w:val="clear"/>
        <w:spacing w:after="0" w:line="240"/>
        <w:ind w:left="240"/>
      </w:pPr>
      <w:r>
        <w:rPr>
          <w:rFonts w:ascii="Consolas" w:cs="Consolas" w:eastAsia="Consolas" w:hAnsi="Consolas"/>
          <w:sz w:val="18"/>
          <w:szCs w:val="18"/>
        </w:rPr>
        <w:t xml:space="preserve">  cellTypeId: string;          // CL ontology ID</w:t>
      </w:r>
    </w:p>
    <w:p>
      <w:pPr>
        <w:shd w:fill="F5F5F5" w:val="clear"/>
        <w:spacing w:after="0" w:line="240"/>
        <w:ind w:left="240"/>
      </w:pPr>
      <w:r>
        <w:rPr>
          <w:rFonts w:ascii="Consolas" w:cs="Consolas" w:eastAsia="Consolas" w:hAnsi="Consolas"/>
          <w:sz w:val="18"/>
          <w:szCs w:val="18"/>
        </w:rPr>
        <w:t xml:space="preserve">  cellTypeName: string;</w:t>
      </w:r>
    </w:p>
    <w:p>
      <w:pPr>
        <w:shd w:fill="F5F5F5" w:val="clear"/>
        <w:spacing w:after="0" w:line="240"/>
        <w:ind w:left="240"/>
      </w:pPr>
      <w:r>
        <w:rPr>
          <w:rFonts w:ascii="Consolas" w:cs="Consolas" w:eastAsia="Consolas" w:hAnsi="Consolas"/>
          <w:sz w:val="18"/>
          <w:szCs w:val="18"/>
        </w:rPr>
        <w:t xml:space="preserve">  parentTissue: string;</w:t>
      </w:r>
    </w:p>
    <w:p>
      <w:pPr>
        <w:shd w:fill="F5F5F5" w:val="clear"/>
        <w:spacing w:after="0" w:line="240"/>
        <w:ind w:left="240"/>
      </w:pPr>
      <w:r>
        <w:rPr>
          <w:rFonts w:ascii="Consolas" w:cs="Consolas" w:eastAsia="Consolas" w:hAnsi="Consolas"/>
          <w:sz w:val="18"/>
          <w:szCs w:val="18"/>
        </w:rPr>
        <w:t xml:space="preserve">  targetExpression: number;    // Tabula Sapiens TPM</w:t>
      </w:r>
    </w:p>
    <w:p>
      <w:pPr>
        <w:shd w:fill="F5F5F5" w:val="clear"/>
        <w:spacing w:after="0" w:line="240"/>
        <w:ind w:left="240"/>
      </w:pPr>
      <w:r>
        <w:rPr>
          <w:rFonts w:ascii="Consolas" w:cs="Consolas" w:eastAsia="Consolas" w:hAnsi="Consolas"/>
          <w:sz w:val="18"/>
          <w:szCs w:val="18"/>
        </w:rPr>
        <w:t xml:space="preserve">  affinityScore: number;       // L1 + ML projection</w:t>
      </w:r>
    </w:p>
    <w:p>
      <w:pPr>
        <w:shd w:fill="F5F5F5" w:val="clear"/>
        <w:spacing w:after="0" w:line="240"/>
        <w:ind w:left="240"/>
      </w:pPr>
      <w:r>
        <w:rPr>
          <w:rFonts w:ascii="Consolas" w:cs="Consolas" w:eastAsia="Consolas" w:hAnsi="Consolas"/>
          <w:sz w:val="18"/>
          <w:szCs w:val="18"/>
        </w:rPr>
        <w:t xml:space="preserve">  responseScore: number;       // Drug2cell pattern</w:t>
      </w:r>
    </w:p>
    <w:p>
      <w:pPr>
        <w:shd w:fill="F5F5F5" w:val="clear"/>
        <w:spacing w:after="0" w:line="240"/>
        <w:ind w:left="240"/>
      </w:pPr>
      <w:r>
        <w:rPr>
          <w:rFonts w:ascii="Consolas" w:cs="Consolas" w:eastAsia="Consolas" w:hAnsi="Consolas"/>
          <w:sz w:val="18"/>
          <w:szCs w:val="18"/>
        </w:rPr>
        <w:t xml:space="preserve">  confidence: "high" | "medium" | "low";</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export interface OrganoidComposition {</w:t>
      </w:r>
    </w:p>
    <w:p>
      <w:pPr>
        <w:shd w:fill="F5F5F5" w:val="clear"/>
        <w:spacing w:after="0" w:line="240"/>
        <w:ind w:left="240"/>
      </w:pPr>
      <w:r>
        <w:rPr>
          <w:rFonts w:ascii="Consolas" w:cs="Consolas" w:eastAsia="Consolas" w:hAnsi="Consolas"/>
          <w:sz w:val="18"/>
          <w:szCs w:val="18"/>
        </w:rPr>
        <w:t xml:space="preserve">  organoidType: OrganoidType;</w:t>
      </w:r>
    </w:p>
    <w:p>
      <w:pPr>
        <w:shd w:fill="F5F5F5" w:val="clear"/>
        <w:spacing w:after="0" w:line="240"/>
        <w:ind w:left="240"/>
      </w:pPr>
      <w:r>
        <w:rPr>
          <w:rFonts w:ascii="Consolas" w:cs="Consolas" w:eastAsia="Consolas" w:hAnsi="Consolas"/>
          <w:sz w:val="18"/>
          <w:szCs w:val="18"/>
        </w:rPr>
        <w:t xml:space="preserve">  cellTypeFractions: { cellTypeId: string; fraction: number }[];</w:t>
      </w:r>
    </w:p>
    <w:p>
      <w:pPr>
        <w:shd w:fill="F5F5F5" w:val="clear"/>
        <w:spacing w:after="0" w:line="240"/>
        <w:ind w:left="240"/>
      </w:pPr>
      <w:r>
        <w:rPr>
          <w:rFonts w:ascii="Consolas" w:cs="Consolas" w:eastAsia="Consolas" w:hAnsi="Consolas"/>
          <w:sz w:val="18"/>
          <w:szCs w:val="18"/>
        </w:rPr>
        <w:t xml:space="preserve">  source: string;              // citation for the composition table</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export interface OrganoidEfficacyPrediction {</w:t>
      </w:r>
    </w:p>
    <w:p>
      <w:pPr>
        <w:shd w:fill="F5F5F5" w:val="clear"/>
        <w:spacing w:after="0" w:line="240"/>
        <w:ind w:left="240"/>
      </w:pPr>
      <w:r>
        <w:rPr>
          <w:rFonts w:ascii="Consolas" w:cs="Consolas" w:eastAsia="Consolas" w:hAnsi="Consolas"/>
          <w:sz w:val="18"/>
          <w:szCs w:val="18"/>
        </w:rPr>
        <w:t xml:space="preserve">  organoidType: OrganoidType;</w:t>
      </w:r>
    </w:p>
    <w:p>
      <w:pPr>
        <w:shd w:fill="F5F5F5" w:val="clear"/>
        <w:spacing w:after="0" w:line="240"/>
        <w:ind w:left="240"/>
      </w:pPr>
      <w:r>
        <w:rPr>
          <w:rFonts w:ascii="Consolas" w:cs="Consolas" w:eastAsia="Consolas" w:hAnsi="Consolas"/>
          <w:sz w:val="18"/>
          <w:szCs w:val="18"/>
        </w:rPr>
        <w:t xml:space="preserve">  predictedIc50_uM: { median: number; ci95: [number, number] };</w:t>
      </w:r>
    </w:p>
    <w:p>
      <w:pPr>
        <w:shd w:fill="F5F5F5" w:val="clear"/>
        <w:spacing w:after="0" w:line="240"/>
        <w:ind w:left="240"/>
      </w:pPr>
      <w:r>
        <w:rPr>
          <w:rFonts w:ascii="Consolas" w:cs="Consolas" w:eastAsia="Consolas" w:hAnsi="Consolas"/>
          <w:sz w:val="18"/>
          <w:szCs w:val="18"/>
        </w:rPr>
        <w:t xml:space="preserve">  foldErrorVsWet: { median: number; p90: number };  // calibration cohort</w:t>
      </w:r>
    </w:p>
    <w:p>
      <w:pPr>
        <w:shd w:fill="F5F5F5" w:val="clear"/>
        <w:spacing w:after="0" w:line="240"/>
        <w:ind w:left="240"/>
      </w:pPr>
      <w:r>
        <w:rPr>
          <w:rFonts w:ascii="Consolas" w:cs="Consolas" w:eastAsia="Consolas" w:hAnsi="Consolas"/>
          <w:sz w:val="18"/>
          <w:szCs w:val="18"/>
        </w:rPr>
        <w:t xml:space="preserve">  applicabilityDomain: { inDomain: boolean; score: number };</w:t>
      </w:r>
    </w:p>
    <w:p>
      <w:pPr>
        <w:shd w:fill="F5F5F5" w:val="clear"/>
        <w:spacing w:after="0" w:line="240"/>
        <w:ind w:left="240"/>
      </w:pPr>
      <w:r>
        <w:rPr>
          <w:rFonts w:ascii="Consolas" w:cs="Consolas" w:eastAsia="Consolas" w:hAnsi="Consolas"/>
          <w:sz w:val="18"/>
          <w:szCs w:val="18"/>
        </w:rPr>
        <w:t xml:space="preserve">  composition: OrganoidComposition;</w:t>
      </w:r>
    </w:p>
    <w:p>
      <w:pPr>
        <w:shd w:fill="F5F5F5" w:val="clear"/>
        <w:spacing w:after="0" w:line="240"/>
        <w:ind w:left="240"/>
      </w:pPr>
      <w:r>
        <w:rPr>
          <w:rFonts w:ascii="Consolas" w:cs="Consolas" w:eastAsia="Consolas" w:hAnsi="Consolas"/>
          <w:sz w:val="18"/>
          <w:szCs w:val="18"/>
        </w:rPr>
        <w:t xml:space="preserve">  contributingCellTypes: CellTypeResponse[];</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async function computeCellTypeResponses(</w:t>
      </w:r>
    </w:p>
    <w:p>
      <w:pPr>
        <w:shd w:fill="F5F5F5" w:val="clear"/>
        <w:spacing w:after="0" w:line="240"/>
        <w:ind w:left="240"/>
      </w:pPr>
      <w:r>
        <w:rPr>
          <w:rFonts w:ascii="Consolas" w:cs="Consolas" w:eastAsia="Consolas" w:hAnsi="Consolas"/>
          <w:sz w:val="18"/>
          <w:szCs w:val="18"/>
        </w:rPr>
        <w:t xml:space="preserve">  l1: L1Envelope,</w:t>
      </w:r>
    </w:p>
    <w:p>
      <w:pPr>
        <w:shd w:fill="F5F5F5" w:val="clear"/>
        <w:spacing w:after="0" w:line="240"/>
        <w:ind w:left="240"/>
      </w:pPr>
      <w:r>
        <w:rPr>
          <w:rFonts w:ascii="Consolas" w:cs="Consolas" w:eastAsia="Consolas" w:hAnsi="Consolas"/>
          <w:sz w:val="18"/>
          <w:szCs w:val="18"/>
        </w:rPr>
        <w:t xml:space="preserve">  cellxgene: CellxGeneClient</w:t>
      </w:r>
    </w:p>
    <w:p>
      <w:pPr>
        <w:shd w:fill="F5F5F5" w:val="clear"/>
        <w:spacing w:after="0" w:line="240"/>
        <w:ind w:left="240"/>
      </w:pPr>
      <w:r>
        <w:rPr>
          <w:rFonts w:ascii="Consolas" w:cs="Consolas" w:eastAsia="Consolas" w:hAnsi="Consolas"/>
          <w:sz w:val="18"/>
          <w:szCs w:val="18"/>
        </w:rPr>
        <w:t xml:space="preserve">): Promise&lt;CellTypeResponse[]&gt;;</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function aggregateOrganoidEfficacy(</w:t>
      </w:r>
    </w:p>
    <w:p>
      <w:pPr>
        <w:shd w:fill="F5F5F5" w:val="clear"/>
        <w:spacing w:after="0" w:line="240"/>
        <w:ind w:left="240"/>
      </w:pPr>
      <w:r>
        <w:rPr>
          <w:rFonts w:ascii="Consolas" w:cs="Consolas" w:eastAsia="Consolas" w:hAnsi="Consolas"/>
          <w:sz w:val="18"/>
          <w:szCs w:val="18"/>
        </w:rPr>
        <w:t xml:space="preserve">  responses: CellTypeResponse[],</w:t>
      </w:r>
    </w:p>
    <w:p>
      <w:pPr>
        <w:shd w:fill="F5F5F5" w:val="clear"/>
        <w:spacing w:after="0" w:line="240"/>
        <w:ind w:left="240"/>
      </w:pPr>
      <w:r>
        <w:rPr>
          <w:rFonts w:ascii="Consolas" w:cs="Consolas" w:eastAsia="Consolas" w:hAnsi="Consolas"/>
          <w:sz w:val="18"/>
          <w:szCs w:val="18"/>
        </w:rPr>
        <w:t xml:space="preserve">  composition: OrganoidComposition</w:t>
      </w:r>
    </w:p>
    <w:p>
      <w:pPr>
        <w:shd w:fill="F5F5F5" w:val="clear"/>
        <w:spacing w:after="0" w:line="240"/>
        <w:ind w:left="240"/>
      </w:pPr>
      <w:r>
        <w:rPr>
          <w:rFonts w:ascii="Consolas" w:cs="Consolas" w:eastAsia="Consolas" w:hAnsi="Consolas"/>
          <w:sz w:val="18"/>
          <w:szCs w:val="18"/>
        </w:rPr>
        <w:t xml:space="preserve">): OrganoidEfficacyPrediction;</w:t>
      </w:r>
    </w:p>
    <w:p>
      <w:pPr>
        <w:spacing w:after="140"/>
      </w:pPr>
      <w:r>
        <w:t xml:space="preserve"/>
      </w:r>
    </w:p>
    <w:p>
      <w:pPr>
        <w:pStyle w:val="Heading2"/>
      </w:pPr>
      <w:r>
        <w:t xml:space="preserve">5.4 lib/hepatotoxPredictor.ts</w:t>
      </w:r>
    </w:p>
    <w:p>
      <w:pPr>
        <w:shd w:fill="F5F5F5" w:val="clear"/>
        <w:spacing w:after="0" w:line="240"/>
        <w:ind w:left="240"/>
      </w:pPr>
      <w:r>
        <w:rPr>
          <w:rFonts w:ascii="Consolas" w:cs="Consolas" w:eastAsia="Consolas" w:hAnsi="Consolas"/>
          <w:sz w:val="18"/>
          <w:szCs w:val="18"/>
        </w:rPr>
        <w:t xml:space="preserve">export interface DILIPrediction {</w:t>
      </w:r>
    </w:p>
    <w:p>
      <w:pPr>
        <w:shd w:fill="F5F5F5" w:val="clear"/>
        <w:spacing w:after="0" w:line="240"/>
        <w:ind w:left="240"/>
      </w:pPr>
      <w:r>
        <w:rPr>
          <w:rFonts w:ascii="Consolas" w:cs="Consolas" w:eastAsia="Consolas" w:hAnsi="Consolas"/>
          <w:sz w:val="18"/>
          <w:szCs w:val="18"/>
        </w:rPr>
        <w:t xml:space="preserve">  severityClass: "most-DILI" | "less-DILI" | "no-DILI";</w:t>
      </w:r>
    </w:p>
    <w:p>
      <w:pPr>
        <w:shd w:fill="F5F5F5" w:val="clear"/>
        <w:spacing w:after="0" w:line="240"/>
        <w:ind w:left="240"/>
      </w:pPr>
      <w:r>
        <w:rPr>
          <w:rFonts w:ascii="Consolas" w:cs="Consolas" w:eastAsia="Consolas" w:hAnsi="Consolas"/>
          <w:sz w:val="18"/>
          <w:szCs w:val="18"/>
        </w:rPr>
        <w:t xml:space="preserve">  classProbabilities: Record&lt;string, number&gt;;</w:t>
      </w:r>
    </w:p>
    <w:p>
      <w:pPr>
        <w:shd w:fill="F5F5F5" w:val="clear"/>
        <w:spacing w:after="0" w:line="240"/>
        <w:ind w:left="240"/>
      </w:pPr>
      <w:r>
        <w:rPr>
          <w:rFonts w:ascii="Consolas" w:cs="Consolas" w:eastAsia="Consolas" w:hAnsi="Consolas"/>
          <w:sz w:val="18"/>
          <w:szCs w:val="18"/>
        </w:rPr>
        <w:t xml:space="preserve">  mechanismFlags: {</w:t>
      </w:r>
    </w:p>
    <w:p>
      <w:pPr>
        <w:shd w:fill="F5F5F5" w:val="clear"/>
        <w:spacing w:after="0" w:line="240"/>
        <w:ind w:left="240"/>
      </w:pPr>
      <w:r>
        <w:rPr>
          <w:rFonts w:ascii="Consolas" w:cs="Consolas" w:eastAsia="Consolas" w:hAnsi="Consolas"/>
          <w:sz w:val="18"/>
          <w:szCs w:val="18"/>
        </w:rPr>
        <w:t xml:space="preserve">    mitochondrial: boolean;</w:t>
      </w:r>
    </w:p>
    <w:p>
      <w:pPr>
        <w:shd w:fill="F5F5F5" w:val="clear"/>
        <w:spacing w:after="0" w:line="240"/>
        <w:ind w:left="240"/>
      </w:pPr>
      <w:r>
        <w:rPr>
          <w:rFonts w:ascii="Consolas" w:cs="Consolas" w:eastAsia="Consolas" w:hAnsi="Consolas"/>
          <w:sz w:val="18"/>
          <w:szCs w:val="18"/>
        </w:rPr>
        <w:t xml:space="preserve">    bsepInhibition: boolean;</w:t>
      </w:r>
    </w:p>
    <w:p>
      <w:pPr>
        <w:shd w:fill="F5F5F5" w:val="clear"/>
        <w:spacing w:after="0" w:line="240"/>
        <w:ind w:left="240"/>
      </w:pPr>
      <w:r>
        <w:rPr>
          <w:rFonts w:ascii="Consolas" w:cs="Consolas" w:eastAsia="Consolas" w:hAnsi="Consolas"/>
          <w:sz w:val="18"/>
          <w:szCs w:val="18"/>
        </w:rPr>
        <w:t xml:space="preserve">    rosGeneration: boolean;</w:t>
      </w:r>
    </w:p>
    <w:p>
      <w:pPr>
        <w:shd w:fill="F5F5F5" w:val="clear"/>
        <w:spacing w:after="0" w:line="240"/>
        <w:ind w:left="240"/>
      </w:pPr>
      <w:r>
        <w:rPr>
          <w:rFonts w:ascii="Consolas" w:cs="Consolas" w:eastAsia="Consolas" w:hAnsi="Consolas"/>
          <w:sz w:val="18"/>
          <w:szCs w:val="18"/>
        </w:rPr>
        <w:t xml:space="preserve">    immuneMediated: boolean;</w:t>
      </w:r>
    </w:p>
    <w:p>
      <w:pPr>
        <w:shd w:fill="F5F5F5" w:val="clear"/>
        <w:spacing w:after="0" w:line="240"/>
        <w:ind w:left="240"/>
      </w:pPr>
      <w:r>
        <w:rPr>
          <w:rFonts w:ascii="Consolas" w:cs="Consolas" w:eastAsia="Consolas" w:hAnsi="Consolas"/>
          <w:sz w:val="18"/>
          <w:szCs w:val="18"/>
        </w:rPr>
        <w:t xml:space="preserve">  };</w:t>
      </w:r>
    </w:p>
    <w:p>
      <w:pPr>
        <w:shd w:fill="F5F5F5" w:val="clear"/>
        <w:spacing w:after="0" w:line="240"/>
        <w:ind w:left="240"/>
      </w:pPr>
      <w:r>
        <w:rPr>
          <w:rFonts w:ascii="Consolas" w:cs="Consolas" w:eastAsia="Consolas" w:hAnsi="Consolas"/>
          <w:sz w:val="18"/>
          <w:szCs w:val="18"/>
        </w:rPr>
        <w:t xml:space="preserve">  contributingFeatures: { feature: string; importance: number }[];</w:t>
      </w:r>
    </w:p>
    <w:p>
      <w:pPr>
        <w:shd w:fill="F5F5F5" w:val="clear"/>
        <w:spacing w:after="0" w:line="240"/>
        <w:ind w:left="240"/>
      </w:pPr>
      <w:r>
        <w:rPr>
          <w:rFonts w:ascii="Consolas" w:cs="Consolas" w:eastAsia="Consolas" w:hAnsi="Consolas"/>
          <w:sz w:val="18"/>
          <w:szCs w:val="18"/>
        </w:rPr>
        <w:t xml:space="preserve">  modelVersion: string;        // dili-ml version</w:t>
      </w:r>
    </w:p>
    <w:p>
      <w:pPr>
        <w:shd w:fill="F5F5F5" w:val="clear"/>
        <w:spacing w:after="0" w:line="240"/>
        <w:ind w:left="240"/>
      </w:pPr>
      <w:r>
        <w:rPr>
          <w:rFonts w:ascii="Consolas" w:cs="Consolas" w:eastAsia="Consolas" w:hAnsi="Consolas"/>
          <w:sz w:val="18"/>
          <w:szCs w:val="18"/>
        </w:rPr>
        <w:t xml:space="preserve">  trainingCohortHash: string;</w:t>
      </w:r>
    </w:p>
    <w:p>
      <w:pPr>
        <w:shd w:fill="F5F5F5" w:val="clear"/>
        <w:spacing w:after="0" w:line="240"/>
        <w:ind w:left="240"/>
      </w:pPr>
      <w:r>
        <w:rPr>
          <w:rFonts w:ascii="Consolas" w:cs="Consolas" w:eastAsia="Consolas" w:hAnsi="Consolas"/>
          <w:sz w:val="18"/>
          <w:szCs w:val="18"/>
        </w:rPr>
        <w:t xml:space="preserve">  confidence: "high" | "medium" | "low";</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async function predictHepatotox(</w:t>
      </w:r>
    </w:p>
    <w:p>
      <w:pPr>
        <w:shd w:fill="F5F5F5" w:val="clear"/>
        <w:spacing w:after="0" w:line="240"/>
        <w:ind w:left="240"/>
      </w:pPr>
      <w:r>
        <w:rPr>
          <w:rFonts w:ascii="Consolas" w:cs="Consolas" w:eastAsia="Consolas" w:hAnsi="Consolas"/>
          <w:sz w:val="18"/>
          <w:szCs w:val="18"/>
        </w:rPr>
        <w:t xml:space="preserve">  smiles: string,</w:t>
      </w:r>
    </w:p>
    <w:p>
      <w:pPr>
        <w:shd w:fill="F5F5F5" w:val="clear"/>
        <w:spacing w:after="0" w:line="240"/>
        <w:ind w:left="240"/>
      </w:pPr>
      <w:r>
        <w:rPr>
          <w:rFonts w:ascii="Consolas" w:cs="Consolas" w:eastAsia="Consolas" w:hAnsi="Consolas"/>
          <w:sz w:val="18"/>
          <w:szCs w:val="18"/>
        </w:rPr>
        <w:t xml:space="preserve">  l1Admet: L1AdmetPanel,</w:t>
      </w:r>
    </w:p>
    <w:p>
      <w:pPr>
        <w:shd w:fill="F5F5F5" w:val="clear"/>
        <w:spacing w:after="0" w:line="240"/>
        <w:ind w:left="240"/>
      </w:pPr>
      <w:r>
        <w:rPr>
          <w:rFonts w:ascii="Consolas" w:cs="Consolas" w:eastAsia="Consolas" w:hAnsi="Consolas"/>
          <w:sz w:val="18"/>
          <w:szCs w:val="18"/>
        </w:rPr>
        <w:t xml:space="preserve">  hepaticCu_uM: number,</w:t>
      </w:r>
    </w:p>
    <w:p>
      <w:pPr>
        <w:shd w:fill="F5F5F5" w:val="clear"/>
        <w:spacing w:after="0" w:line="240"/>
        <w:ind w:left="240"/>
      </w:pPr>
      <w:r>
        <w:rPr>
          <w:rFonts w:ascii="Consolas" w:cs="Consolas" w:eastAsia="Consolas" w:hAnsi="Consolas"/>
          <w:sz w:val="18"/>
          <w:szCs w:val="18"/>
        </w:rPr>
        <w:t xml:space="preserve">  transporterFlags: TransporterFlags,</w:t>
      </w:r>
    </w:p>
    <w:p>
      <w:pPr>
        <w:shd w:fill="F5F5F5" w:val="clear"/>
        <w:spacing w:after="0" w:line="240"/>
        <w:ind w:left="240"/>
      </w:pPr>
      <w:r>
        <w:rPr>
          <w:rFonts w:ascii="Consolas" w:cs="Consolas" w:eastAsia="Consolas" w:hAnsi="Consolas"/>
          <w:sz w:val="18"/>
          <w:szCs w:val="18"/>
        </w:rPr>
        <w:t xml:space="preserve">  diliMl: DiliMlClient</w:t>
      </w:r>
    </w:p>
    <w:p>
      <w:pPr>
        <w:shd w:fill="F5F5F5" w:val="clear"/>
        <w:spacing w:after="0" w:line="240"/>
        <w:ind w:left="240"/>
      </w:pPr>
      <w:r>
        <w:rPr>
          <w:rFonts w:ascii="Consolas" w:cs="Consolas" w:eastAsia="Consolas" w:hAnsi="Consolas"/>
          <w:sz w:val="18"/>
          <w:szCs w:val="18"/>
        </w:rPr>
        <w:t xml:space="preserve">): Promise&lt;DILIPrediction&gt;;</w:t>
      </w:r>
    </w:p>
    <w:p>
      <w:pPr>
        <w:spacing w:after="140"/>
      </w:pPr>
      <w:r>
        <w:t xml:space="preserve"/>
      </w:r>
    </w:p>
    <w:p>
      <w:pPr>
        <w:pStyle w:val="Heading2"/>
      </w:pPr>
      <w:r>
        <w:t xml:space="preserve">5.5 lib/patientLineProjection.ts</w:t>
      </w:r>
    </w:p>
    <w:p>
      <w:pPr>
        <w:shd w:fill="F5F5F5" w:val="clear"/>
        <w:spacing w:after="0" w:line="240"/>
        <w:ind w:left="240"/>
      </w:pPr>
      <w:r>
        <w:rPr>
          <w:rFonts w:ascii="Consolas" w:cs="Consolas" w:eastAsia="Consolas" w:hAnsi="Consolas"/>
          <w:sz w:val="18"/>
          <w:szCs w:val="18"/>
        </w:rPr>
        <w:t xml:space="preserve">export interface PatientLineProjection {</w:t>
      </w:r>
    </w:p>
    <w:p>
      <w:pPr>
        <w:shd w:fill="F5F5F5" w:val="clear"/>
        <w:spacing w:after="0" w:line="240"/>
        <w:ind w:left="240"/>
      </w:pPr>
      <w:r>
        <w:rPr>
          <w:rFonts w:ascii="Consolas" w:cs="Consolas" w:eastAsia="Consolas" w:hAnsi="Consolas"/>
          <w:sz w:val="18"/>
          <w:szCs w:val="18"/>
        </w:rPr>
        <w:t xml:space="preserve">  indication: string;</w:t>
      </w:r>
    </w:p>
    <w:p>
      <w:pPr>
        <w:shd w:fill="F5F5F5" w:val="clear"/>
        <w:spacing w:after="0" w:line="240"/>
        <w:ind w:left="240"/>
      </w:pPr>
      <w:r>
        <w:rPr>
          <w:rFonts w:ascii="Consolas" w:cs="Consolas" w:eastAsia="Consolas" w:hAnsi="Consolas"/>
          <w:sz w:val="18"/>
          <w:szCs w:val="18"/>
        </w:rPr>
        <w:t xml:space="preserve">  matchedLines: HcmiLineProjection[];</w:t>
      </w:r>
    </w:p>
    <w:p>
      <w:pPr>
        <w:shd w:fill="F5F5F5" w:val="clear"/>
        <w:spacing w:after="0" w:line="240"/>
        <w:ind w:left="240"/>
      </w:pPr>
      <w:r>
        <w:rPr>
          <w:rFonts w:ascii="Consolas" w:cs="Consolas" w:eastAsia="Consolas" w:hAnsi="Consolas"/>
          <w:sz w:val="18"/>
          <w:szCs w:val="18"/>
        </w:rPr>
        <w:t xml:space="preserve">  predictedIc50Distribution: {</w:t>
      </w:r>
    </w:p>
    <w:p>
      <w:pPr>
        <w:shd w:fill="F5F5F5" w:val="clear"/>
        <w:spacing w:after="0" w:line="240"/>
        <w:ind w:left="240"/>
      </w:pPr>
      <w:r>
        <w:rPr>
          <w:rFonts w:ascii="Consolas" w:cs="Consolas" w:eastAsia="Consolas" w:hAnsi="Consolas"/>
          <w:sz w:val="18"/>
          <w:szCs w:val="18"/>
        </w:rPr>
        <w:t xml:space="preserve">    median: number;</w:t>
      </w:r>
    </w:p>
    <w:p>
      <w:pPr>
        <w:shd w:fill="F5F5F5" w:val="clear"/>
        <w:spacing w:after="0" w:line="240"/>
        <w:ind w:left="240"/>
      </w:pPr>
      <w:r>
        <w:rPr>
          <w:rFonts w:ascii="Consolas" w:cs="Consolas" w:eastAsia="Consolas" w:hAnsi="Consolas"/>
          <w:sz w:val="18"/>
          <w:szCs w:val="18"/>
        </w:rPr>
        <w:t xml:space="preserve">    p25: number;</w:t>
      </w:r>
    </w:p>
    <w:p>
      <w:pPr>
        <w:shd w:fill="F5F5F5" w:val="clear"/>
        <w:spacing w:after="0" w:line="240"/>
        <w:ind w:left="240"/>
      </w:pPr>
      <w:r>
        <w:rPr>
          <w:rFonts w:ascii="Consolas" w:cs="Consolas" w:eastAsia="Consolas" w:hAnsi="Consolas"/>
          <w:sz w:val="18"/>
          <w:szCs w:val="18"/>
        </w:rPr>
        <w:t xml:space="preserve">    p75: number;</w:t>
      </w:r>
    </w:p>
    <w:p>
      <w:pPr>
        <w:shd w:fill="F5F5F5" w:val="clear"/>
        <w:spacing w:after="0" w:line="240"/>
        <w:ind w:left="240"/>
      </w:pPr>
      <w:r>
        <w:rPr>
          <w:rFonts w:ascii="Consolas" w:cs="Consolas" w:eastAsia="Consolas" w:hAnsi="Consolas"/>
          <w:sz w:val="18"/>
          <w:szCs w:val="18"/>
        </w:rPr>
        <w:t xml:space="preserve">    interLineVariance: number;</w:t>
      </w:r>
    </w:p>
    <w:p>
      <w:pPr>
        <w:shd w:fill="F5F5F5" w:val="clear"/>
        <w:spacing w:after="0" w:line="240"/>
        <w:ind w:left="240"/>
      </w:pPr>
      <w:r>
        <w:rPr>
          <w:rFonts w:ascii="Consolas" w:cs="Consolas" w:eastAsia="Consolas" w:hAnsi="Consolas"/>
          <w:sz w:val="18"/>
          <w:szCs w:val="18"/>
        </w:rPr>
        <w:t xml:space="preserve">  };</w:t>
      </w:r>
    </w:p>
    <w:p>
      <w:pPr>
        <w:shd w:fill="F5F5F5" w:val="clear"/>
        <w:spacing w:after="0" w:line="240"/>
        <w:ind w:left="240"/>
      </w:pPr>
      <w:r>
        <w:rPr>
          <w:rFonts w:ascii="Consolas" w:cs="Consolas" w:eastAsia="Consolas" w:hAnsi="Consolas"/>
          <w:sz w:val="18"/>
          <w:szCs w:val="18"/>
        </w:rPr>
        <w:t xml:space="preserve">  applicabilityDomain: { inDomain: boolean; score: number };</w:t>
      </w:r>
    </w:p>
    <w:p>
      <w:pPr>
        <w:shd w:fill="F5F5F5" w:val="clear"/>
        <w:spacing w:after="0" w:line="240"/>
        <w:ind w:left="240"/>
      </w:pPr>
      <w:r>
        <w:rPr>
          <w:rFonts w:ascii="Consolas" w:cs="Consolas" w:eastAsia="Consolas" w:hAnsi="Consolas"/>
          <w:sz w:val="18"/>
          <w:szCs w:val="18"/>
        </w:rPr>
        <w:t xml:space="preserve">  hcmiSnapshot: string;</w:t>
      </w:r>
    </w:p>
    <w:p>
      <w:pPr>
        <w:shd w:fill="F5F5F5" w:val="clear"/>
        <w:spacing w:after="0" w:line="240"/>
        <w:ind w:left="240"/>
      </w:pPr>
      <w:r>
        <w:rPr>
          <w:rFonts w:ascii="Consolas" w:cs="Consolas" w:eastAsia="Consolas" w:hAnsi="Consolas"/>
          <w:sz w:val="18"/>
          <w:szCs w:val="18"/>
        </w:rPr>
        <w:t xml:space="preserve">  depMapSnapshot: string;</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async function projectPatientLineResponse(</w:t>
      </w:r>
    </w:p>
    <w:p>
      <w:pPr>
        <w:shd w:fill="F5F5F5" w:val="clear"/>
        <w:spacing w:after="0" w:line="240"/>
        <w:ind w:left="240"/>
      </w:pPr>
      <w:r>
        <w:rPr>
          <w:rFonts w:ascii="Consolas" w:cs="Consolas" w:eastAsia="Consolas" w:hAnsi="Consolas"/>
          <w:sz w:val="18"/>
          <w:szCs w:val="18"/>
        </w:rPr>
        <w:t xml:space="preserve">  indication: string,</w:t>
      </w:r>
    </w:p>
    <w:p>
      <w:pPr>
        <w:shd w:fill="F5F5F5" w:val="clear"/>
        <w:spacing w:after="0" w:line="240"/>
        <w:ind w:left="240"/>
      </w:pPr>
      <w:r>
        <w:rPr>
          <w:rFonts w:ascii="Consolas" w:cs="Consolas" w:eastAsia="Consolas" w:hAnsi="Consolas"/>
          <w:sz w:val="18"/>
          <w:szCs w:val="18"/>
        </w:rPr>
        <w:t xml:space="preserve">  targetUniprotId: string,</w:t>
      </w:r>
    </w:p>
    <w:p>
      <w:pPr>
        <w:shd w:fill="F5F5F5" w:val="clear"/>
        <w:spacing w:after="0" w:line="240"/>
        <w:ind w:left="240"/>
      </w:pPr>
      <w:r>
        <w:rPr>
          <w:rFonts w:ascii="Consolas" w:cs="Consolas" w:eastAsia="Consolas" w:hAnsi="Consolas"/>
          <w:sz w:val="18"/>
          <w:szCs w:val="18"/>
        </w:rPr>
        <w:t xml:space="preserve">  l1Affinity: AffinityMeasurement,</w:t>
      </w:r>
    </w:p>
    <w:p>
      <w:pPr>
        <w:shd w:fill="F5F5F5" w:val="clear"/>
        <w:spacing w:after="0" w:line="240"/>
        <w:ind w:left="240"/>
      </w:pPr>
      <w:r>
        <w:rPr>
          <w:rFonts w:ascii="Consolas" w:cs="Consolas" w:eastAsia="Consolas" w:hAnsi="Consolas"/>
          <w:sz w:val="18"/>
          <w:szCs w:val="18"/>
        </w:rPr>
        <w:t xml:space="preserve">  hcmi: HcmiClient,</w:t>
      </w:r>
    </w:p>
    <w:p>
      <w:pPr>
        <w:shd w:fill="F5F5F5" w:val="clear"/>
        <w:spacing w:after="0" w:line="240"/>
        <w:ind w:left="240"/>
      </w:pPr>
      <w:r>
        <w:rPr>
          <w:rFonts w:ascii="Consolas" w:cs="Consolas" w:eastAsia="Consolas" w:hAnsi="Consolas"/>
          <w:sz w:val="18"/>
          <w:szCs w:val="18"/>
        </w:rPr>
        <w:t xml:space="preserve">  depmap: DepMapClient</w:t>
      </w:r>
    </w:p>
    <w:p>
      <w:pPr>
        <w:shd w:fill="F5F5F5" w:val="clear"/>
        <w:spacing w:after="0" w:line="240"/>
        <w:ind w:left="240"/>
      </w:pPr>
      <w:r>
        <w:rPr>
          <w:rFonts w:ascii="Consolas" w:cs="Consolas" w:eastAsia="Consolas" w:hAnsi="Consolas"/>
          <w:sz w:val="18"/>
          <w:szCs w:val="18"/>
        </w:rPr>
        <w:t xml:space="preserve">): Promise&lt;PatientLineProjection | null&gt;;  // null when out of applicability domain</w:t>
      </w:r>
    </w:p>
    <w:p>
      <w:pPr>
        <w:spacing w:after="140"/>
      </w:pPr>
      <w:r>
        <w:t xml:space="preserve"/>
      </w:r>
    </w:p>
    <w:p>
      <w:pPr>
        <w:pStyle w:val="Heading2"/>
      </w:pPr>
      <w:r>
        <w:t xml:space="preserve">5.6 lib/transporterFlags.ts</w:t>
      </w:r>
    </w:p>
    <w:p>
      <w:pPr>
        <w:shd w:fill="F5F5F5" w:val="clear"/>
        <w:spacing w:after="0" w:line="240"/>
        <w:ind w:left="240"/>
      </w:pPr>
      <w:r>
        <w:rPr>
          <w:rFonts w:ascii="Consolas" w:cs="Consolas" w:eastAsia="Consolas" w:hAnsi="Consolas"/>
          <w:sz w:val="18"/>
          <w:szCs w:val="18"/>
        </w:rPr>
        <w:t xml:space="preserve">export interface TransporterFlags {</w:t>
      </w:r>
    </w:p>
    <w:p>
      <w:pPr>
        <w:shd w:fill="F5F5F5" w:val="clear"/>
        <w:spacing w:after="0" w:line="240"/>
        <w:ind w:left="240"/>
      </w:pPr>
      <w:r>
        <w:rPr>
          <w:rFonts w:ascii="Consolas" w:cs="Consolas" w:eastAsia="Consolas" w:hAnsi="Consolas"/>
          <w:sz w:val="18"/>
          <w:szCs w:val="18"/>
        </w:rPr>
        <w:t xml:space="preserve">  bsep:  { substrate: boolean; inhibitor: boolean; confidence: number };</w:t>
      </w:r>
    </w:p>
    <w:p>
      <w:pPr>
        <w:shd w:fill="F5F5F5" w:val="clear"/>
        <w:spacing w:after="0" w:line="240"/>
        <w:ind w:left="240"/>
      </w:pPr>
      <w:r>
        <w:rPr>
          <w:rFonts w:ascii="Consolas" w:cs="Consolas" w:eastAsia="Consolas" w:hAnsi="Consolas"/>
          <w:sz w:val="18"/>
          <w:szCs w:val="18"/>
        </w:rPr>
        <w:t xml:space="preserve">  oat1:  { substrate: boolean; inhibitor: boolean; confidence: number };</w:t>
      </w:r>
    </w:p>
    <w:p>
      <w:pPr>
        <w:shd w:fill="F5F5F5" w:val="clear"/>
        <w:spacing w:after="0" w:line="240"/>
        <w:ind w:left="240"/>
      </w:pPr>
      <w:r>
        <w:rPr>
          <w:rFonts w:ascii="Consolas" w:cs="Consolas" w:eastAsia="Consolas" w:hAnsi="Consolas"/>
          <w:sz w:val="18"/>
          <w:szCs w:val="18"/>
        </w:rPr>
        <w:t xml:space="preserve">  oat3:  { substrate: boolean; inhibitor: boolean; confidence: number };</w:t>
      </w:r>
    </w:p>
    <w:p>
      <w:pPr>
        <w:shd w:fill="F5F5F5" w:val="clear"/>
        <w:spacing w:after="0" w:line="240"/>
        <w:ind w:left="240"/>
      </w:pPr>
      <w:r>
        <w:rPr>
          <w:rFonts w:ascii="Consolas" w:cs="Consolas" w:eastAsia="Consolas" w:hAnsi="Consolas"/>
          <w:sz w:val="18"/>
          <w:szCs w:val="18"/>
        </w:rPr>
        <w:t xml:space="preserve">  oct2:  { substrate: boolean; inhibitor: boolean; confidence: number };</w:t>
      </w:r>
    </w:p>
    <w:p>
      <w:pPr>
        <w:shd w:fill="F5F5F5" w:val="clear"/>
        <w:spacing w:after="0" w:line="240"/>
        <w:ind w:left="240"/>
      </w:pPr>
      <w:r>
        <w:rPr>
          <w:rFonts w:ascii="Consolas" w:cs="Consolas" w:eastAsia="Consolas" w:hAnsi="Consolas"/>
          <w:sz w:val="18"/>
          <w:szCs w:val="18"/>
        </w:rPr>
        <w:t xml:space="preserve">  oatp1b1: { substrate: boolean; inhibitor: boolean; confidence: number };</w:t>
      </w:r>
    </w:p>
    <w:p>
      <w:pPr>
        <w:shd w:fill="F5F5F5" w:val="clear"/>
        <w:spacing w:after="0" w:line="240"/>
        <w:ind w:left="240"/>
      </w:pPr>
      <w:r>
        <w:rPr>
          <w:rFonts w:ascii="Consolas" w:cs="Consolas" w:eastAsia="Consolas" w:hAnsi="Consolas"/>
          <w:sz w:val="18"/>
          <w:szCs w:val="18"/>
        </w:rPr>
        <w:t xml:space="preserve">  oatp1b3: { substrate: boolean; inhibitor: boolean; confidence: number };</w:t>
      </w:r>
    </w:p>
    <w:p>
      <w:pPr>
        <w:shd w:fill="F5F5F5" w:val="clear"/>
        <w:spacing w:after="0" w:line="240"/>
        <w:ind w:left="240"/>
      </w:pPr>
      <w:r>
        <w:rPr>
          <w:rFonts w:ascii="Consolas" w:cs="Consolas" w:eastAsia="Consolas" w:hAnsi="Consolas"/>
          <w:sz w:val="18"/>
          <w:szCs w:val="18"/>
        </w:rPr>
        <w:t xml:space="preserve">  pgp:   { substrate: boolean; inhibitor: boolean; confidence: number };</w:t>
      </w:r>
    </w:p>
    <w:p>
      <w:pPr>
        <w:shd w:fill="F5F5F5" w:val="clear"/>
        <w:spacing w:after="0" w:line="240"/>
        <w:ind w:left="240"/>
      </w:pPr>
      <w:r>
        <w:rPr>
          <w:rFonts w:ascii="Consolas" w:cs="Consolas" w:eastAsia="Consolas" w:hAnsi="Consolas"/>
          <w:sz w:val="18"/>
          <w:szCs w:val="18"/>
        </w:rPr>
        <w:t xml:space="preserve">  bcrp:  { substrate: boolean; inhibitor: boolean; confidence: number };</w:t>
      </w:r>
    </w:p>
    <w:p>
      <w:pPr>
        <w:shd w:fill="F5F5F5" w:val="clear"/>
        <w:spacing w:after="0" w:line="240"/>
        <w:ind w:left="240"/>
      </w:pPr>
      <w:r>
        <w:rPr>
          <w:rFonts w:ascii="Consolas" w:cs="Consolas" w:eastAsia="Consolas" w:hAnsi="Consolas"/>
          <w:sz w:val="18"/>
          <w:szCs w:val="18"/>
        </w:rPr>
        <w:t xml:space="preserve">  mrp2:  { substrate: boolean; inhibitor: boolean; confidence: number };</w:t>
      </w:r>
    </w:p>
    <w:p>
      <w:pPr>
        <w:shd w:fill="F5F5F5" w:val="clear"/>
        <w:spacing w:after="0" w:line="240"/>
        <w:ind w:left="240"/>
      </w:pPr>
      <w:r>
        <w:rPr>
          <w:rFonts w:ascii="Consolas" w:cs="Consolas" w:eastAsia="Consolas" w:hAnsi="Consolas"/>
          <w:sz w:val="18"/>
          <w:szCs w:val="18"/>
        </w:rPr>
        <w:t xml:space="preserve">}</w:t>
      </w:r>
    </w:p>
    <w:p>
      <w:pPr>
        <w:shd w:fill="F5F5F5" w:val="clear"/>
        <w:spacing w:after="0" w:line="240"/>
        <w:ind w:left="240"/>
      </w:pPr>
      <w:r>
        <w:rPr>
          <w:rFonts w:ascii="Consolas" w:cs="Consolas" w:eastAsia="Consolas" w:hAnsi="Consolas"/>
          <w:sz w:val="18"/>
          <w:szCs w:val="18"/>
        </w:rPr>
        <w:t xml:space="preserve"/>
      </w:r>
    </w:p>
    <w:p>
      <w:pPr>
        <w:shd w:fill="F5F5F5" w:val="clear"/>
        <w:spacing w:after="0" w:line="240"/>
        <w:ind w:left="240"/>
      </w:pPr>
      <w:r>
        <w:rPr>
          <w:rFonts w:ascii="Consolas" w:cs="Consolas" w:eastAsia="Consolas" w:hAnsi="Consolas"/>
          <w:sz w:val="18"/>
          <w:szCs w:val="18"/>
        </w:rPr>
        <w:t xml:space="preserve">export function predictTransporterFlags(</w:t>
      </w:r>
    </w:p>
    <w:p>
      <w:pPr>
        <w:shd w:fill="F5F5F5" w:val="clear"/>
        <w:spacing w:after="0" w:line="240"/>
        <w:ind w:left="240"/>
      </w:pPr>
      <w:r>
        <w:rPr>
          <w:rFonts w:ascii="Consolas" w:cs="Consolas" w:eastAsia="Consolas" w:hAnsi="Consolas"/>
          <w:sz w:val="18"/>
          <w:szCs w:val="18"/>
        </w:rPr>
        <w:t xml:space="preserve">  smiles: string,</w:t>
      </w:r>
    </w:p>
    <w:p>
      <w:pPr>
        <w:shd w:fill="F5F5F5" w:val="clear"/>
        <w:spacing w:after="0" w:line="240"/>
        <w:ind w:left="240"/>
      </w:pPr>
      <w:r>
        <w:rPr>
          <w:rFonts w:ascii="Consolas" w:cs="Consolas" w:eastAsia="Consolas" w:hAnsi="Consolas"/>
          <w:sz w:val="18"/>
          <w:szCs w:val="18"/>
        </w:rPr>
        <w:t xml:space="preserve">  l1Admet: L1AdmetPanel</w:t>
      </w:r>
    </w:p>
    <w:p>
      <w:pPr>
        <w:shd w:fill="F5F5F5" w:val="clear"/>
        <w:spacing w:after="0" w:line="240"/>
        <w:ind w:left="240"/>
      </w:pPr>
      <w:r>
        <w:rPr>
          <w:rFonts w:ascii="Consolas" w:cs="Consolas" w:eastAsia="Consolas" w:hAnsi="Consolas"/>
          <w:sz w:val="18"/>
          <w:szCs w:val="18"/>
        </w:rPr>
        <w:t xml:space="preserve">): TransporterFlags;</w:t>
      </w:r>
    </w:p>
    <w:p>
      <w:pPr>
        <w:spacing w:after="140"/>
      </w:pPr>
      <w:r>
        <w:t xml:space="preserve"/>
      </w:r>
    </w:p>
    <w:p>
      <w:pPr>
        <w:pStyle w:val="Heading1"/>
        <w:pageBreakBefore/>
      </w:pPr>
      <w:r>
        <w:t xml:space="preserve">6. Data Sources</w:t>
      </w:r>
    </w:p>
    <w:p>
      <w:pPr>
        <w:spacing w:after="140"/>
        <w:jc w:val="left"/>
      </w:pPr>
      <w:r>
        <w:t xml:space="preserve">Every dataset T0 uses is open or freely accessible with attribution. No proprietary data; no commercial licences required for the surrogate itself. Snapshots are versioned and content-addressed in DVC, mirroring the L1 pattern.</w:t>
      </w:r>
    </w:p>
    <w:p>
      <w:pPr>
        <w:pStyle w:val="Heading2"/>
      </w:pPr>
      <w:r>
        <w:t xml:space="preserve">6.1 Cell-type and tissue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00"/>
        <w:gridCol w:w="1700"/>
        <w:gridCol w:w="560"/>
      </w:tblGrid>
      <w:tr>
        <w:trPr>
          <w:tblHeader/>
        </w:trPr>
        <w:tc>
          <w:tcPr>
            <w:tcW w:type="dxa" w:w="3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Dataset</w:t>
            </w:r>
          </w:p>
        </w:tc>
        <w:tc>
          <w:tcPr>
            <w:tcW w:type="dxa" w:w="3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Use</w:t>
            </w:r>
          </w:p>
        </w:tc>
        <w:tc>
          <w:tcPr>
            <w:tcW w:type="dxa" w:w="1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Access</w:t>
            </w:r>
          </w:p>
        </w:tc>
        <w:tc>
          <w:tcPr>
            <w:tcW w:type="dxa" w:w="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Refresh cadence</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Tabula Sapiens v2 (CZ Biohub)</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Cell-type expression for Drug2cell aggregation</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CELLxGENE Census API + bulk</w:t>
            </w:r>
          </w:p>
        </w:tc>
        <w:tc>
          <w:tcPr>
            <w:tcW w:type="dxa" w:w="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Quarterly</w:t>
            </w:r>
          </w:p>
        </w:tc>
      </w:tr>
      <w:tr>
        <w:tc>
          <w:tcPr>
            <w:tcW w:type="dxa" w:w="3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Human Cell Atlas v2</w:t>
            </w:r>
          </w:p>
        </w:tc>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Cell-type expression cross-validation, broader coverage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CELLxGENE Census API</w:t>
            </w:r>
          </w:p>
        </w:tc>
        <w:tc>
          <w:tcPr>
            <w:tcW w:type="dxa" w:w="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Quarterly</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GTEx v10</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Bulk tissue expression for tissue-selectivity matrix</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GTEx Portal + dbGaP for genotypes</w:t>
            </w:r>
          </w:p>
        </w:tc>
        <w:tc>
          <w:tcPr>
            <w:tcW w:type="dxa" w:w="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Quarterly</w:t>
            </w:r>
          </w:p>
        </w:tc>
      </w:tr>
      <w:tr>
        <w:tc>
          <w:tcPr>
            <w:tcW w:type="dxa" w:w="3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Allen Brain Atlas</w:t>
            </w:r>
          </w:p>
        </w:tc>
        <w:tc>
          <w:tcPr>
            <w:tcW w:type="dxa" w:w="3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CNS organoid benchmarking when relevant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Allen API</w:t>
            </w:r>
          </w:p>
        </w:tc>
        <w:tc>
          <w:tcPr>
            <w:tcW w:type="dxa" w:w="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Annual</w:t>
            </w:r>
          </w:p>
        </w:tc>
      </w:tr>
    </w:tbl>
    <w:p>
      <w:pPr>
        <w:spacing w:after="140"/>
      </w:pPr>
      <w:r>
        <w:t xml:space="preserve"/>
      </w:r>
    </w:p>
    <w:p>
      <w:pPr>
        <w:pStyle w:val="Heading2"/>
      </w:pPr>
      <w:r>
        <w:t xml:space="preserve">6.2 Tox / DILI label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700"/>
        <w:gridCol w:w="16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Dataset</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Use</w:t>
            </w:r>
          </w:p>
        </w:tc>
        <w:tc>
          <w:tcPr>
            <w:tcW w:type="dxa" w:w="1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Access</w:t>
            </w:r>
          </w:p>
        </w:tc>
        <w:tc>
          <w:tcPr>
            <w:tcW w:type="dxa" w:w="16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Size</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DILIrank (FDA / NCTR)</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Primary training set for dili-ml</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Open, FDA</w:t>
            </w:r>
          </w:p>
        </w:tc>
        <w:tc>
          <w:tcPr>
            <w:tcW w:type="dxa" w:w="1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~700 compounds with adjudicated severity</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LTKB (FDA Liver Toxicity Knowledge Base)</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Cross-validation for dili-ml</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Open, FDA</w:t>
            </w:r>
          </w:p>
        </w:tc>
        <w:tc>
          <w:tcPr>
            <w:tcW w:type="dxa" w:w="1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~1,000+ compounds with hepatotox annotations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ToxRefDB / ToxValDB</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T1 retrieval for wet readouts on near analogs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Open, EPA</w:t>
            </w:r>
          </w:p>
        </w:tc>
        <w:tc>
          <w:tcPr>
            <w:tcW w:type="dxa" w:w="1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~5,900 in vivo studies; ~50,000 chemicals</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Tox21 / ToxCast</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Cross-reference for off-target liability</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Open, NIH/EPA/FDA/NCATS</w:t>
            </w:r>
          </w:p>
        </w:tc>
        <w:tc>
          <w:tcPr>
            <w:tcW w:type="dxa" w:w="1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~10,000 chemicals × ~1,800 assays</w:t>
            </w:r>
          </w:p>
        </w:tc>
      </w:tr>
    </w:tbl>
    <w:p>
      <w:pPr>
        <w:spacing w:after="140"/>
      </w:pPr>
      <w:r>
        <w:t xml:space="preserve"/>
      </w:r>
    </w:p>
    <w:p>
      <w:pPr>
        <w:pStyle w:val="Heading2"/>
      </w:pPr>
      <w:r>
        <w:t xml:space="preserve">6.3 Organoid / cell-line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700"/>
        <w:gridCol w:w="16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Dataset</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Use</w:t>
            </w:r>
          </w:p>
        </w:tc>
        <w:tc>
          <w:tcPr>
            <w:tcW w:type="dxa" w:w="1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Access</w:t>
            </w:r>
          </w:p>
        </w:tc>
        <w:tc>
          <w:tcPr>
            <w:tcW w:type="dxa" w:w="16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Size</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HCMI (NCI Human Cancer Models Initiative)</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Patient-line projection for oncology</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NIH open metadata + ATCC MTAs</w:t>
            </w:r>
          </w:p>
        </w:tc>
        <w:tc>
          <w:tcPr>
            <w:tcW w:type="dxa" w:w="1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~700 cancer organoid models with paired genomics</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DepMap PRISM (Broad)</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Cell-line drug response cross-reference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CC BY 4.0</w:t>
            </w:r>
          </w:p>
        </w:tc>
        <w:tc>
          <w:tcPr>
            <w:tcW w:type="dxa" w:w="1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~6,000 compounds × ~2,000 cell lines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JUMP-CP (Broad / JUMP-CP consortium)</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Optional anchoring for organoid-response-ml</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Open</w:t>
            </w:r>
          </w:p>
        </w:tc>
        <w:tc>
          <w:tcPr>
            <w:tcW w:type="dxa" w:w="1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~120,000 compounds × Cell Painting profiles</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MPS-Database (FDA / U. Pittsburgh)</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T1 retrieval for wet MPS readouts where they exist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Registration; CC-BY</w:t>
            </w:r>
          </w:p>
        </w:tc>
        <w:tc>
          <w:tcPr>
            <w:tcW w:type="dxa" w:w="1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Liver / kidney chip; small but growing</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NCATS Tissue Chip</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T1 retrieval; Tox21 organoid-mode expansions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Open</w:t>
            </w:r>
          </w:p>
        </w:tc>
        <w:tc>
          <w:tcPr>
            <w:tcW w:type="dxa" w:w="1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Cross-organ chip benchmarks</w:t>
            </w:r>
          </w:p>
        </w:tc>
      </w:tr>
    </w:tbl>
    <w:p>
      <w:pPr>
        <w:spacing w:after="140"/>
      </w:pPr>
      <w:r>
        <w:t xml:space="preserve"/>
      </w:r>
    </w:p>
    <w:p>
      <w:pPr>
        <w:pStyle w:val="Heading2"/>
      </w:pPr>
      <w:r>
        <w:t xml:space="preserve">6.4 Snapshot management</w:t>
      </w:r>
    </w:p>
    <w:p>
      <w:pPr>
        <w:spacing w:after="140"/>
        <w:jc w:val="left"/>
      </w:pPr>
      <w:r>
        <w:t xml:space="preserve">Every dataset is content-addressed in DVC. Each snapshot has a SHA-256 hash that travels in the provenance envelope of every L3 output. Refresh cadence is enforced by the Performance &amp; Lineage Swarm; stale snapshots trigger cascade flag 1 (Data Quality) at L3.</w:t>
      </w:r>
    </w:p>
    <w:p>
      <w:pPr>
        <w:pStyle w:val="Heading1"/>
        <w:pageBreakBefore/>
      </w:pPr>
      <w:r>
        <w:t xml:space="preserve">7. ML Models — Training and Calibration</w:t>
      </w:r>
    </w:p>
    <w:p>
      <w:pPr>
        <w:spacing w:after="140"/>
        <w:jc w:val="left"/>
      </w:pPr>
      <w:r>
        <w:t xml:space="preserve">Three new ML services. All small, all open-data-trained, all reproducible from the published training scripts. Every model has a QMRF document keyed to the OECD QSAR five validation principles, per the HAIOps L2 / L3 Compliance Swarm requirement.</w:t>
      </w:r>
    </w:p>
    <w:p>
      <w:pPr>
        <w:pStyle w:val="Heading2"/>
      </w:pPr>
      <w:r>
        <w:t xml:space="preserve">7.1 dili-ml — DILI severity + mechanism classifier</w:t>
      </w:r>
    </w:p>
    <w:p>
      <w:pPr>
        <w:spacing w:after="60"/>
      </w:pPr>
      <w:r>
        <w:t xml:space="preserve"/>
      </w:r>
    </w:p>
    <w:p>
      <w:pPr>
        <w:pStyle w:val="ListParagraph"/>
        <w:numPr>
          <w:ilvl w:val="0"/>
          <w:numId w:val="2"/>
        </w:numPr>
        <w:spacing w:after="70"/>
      </w:pPr>
      <w:r>
        <w:t xml:space="preserve">Architecture: gradient-boosted ensemble (LightGBM, XGBoost) on Morgan fingerprints (radius 2, 2048 bits) + L1 ADMET feature vector.</w:t>
      </w:r>
    </w:p>
    <w:p>
      <w:pPr>
        <w:pStyle w:val="ListParagraph"/>
        <w:numPr>
          <w:ilvl w:val="0"/>
          <w:numId w:val="2"/>
        </w:numPr>
        <w:spacing w:after="70"/>
      </w:pPr>
      <w:r>
        <w:t xml:space="preserve">Training data: DILIrank as primary (~700 compounds, three classes); LTKB as cross-validation set.</w:t>
      </w:r>
    </w:p>
    <w:p>
      <w:pPr>
        <w:pStyle w:val="ListParagraph"/>
        <w:numPr>
          <w:ilvl w:val="0"/>
          <w:numId w:val="2"/>
        </w:numPr>
        <w:spacing w:after="70"/>
      </w:pPr>
      <w:r>
        <w:t xml:space="preserve">Targets: (a) three-class severity prediction, (b) four-channel mechanism flag (mitochondrial / BSEP / ROS / immune-mediated).</w:t>
      </w:r>
    </w:p>
    <w:p>
      <w:pPr>
        <w:pStyle w:val="ListParagraph"/>
        <w:numPr>
          <w:ilvl w:val="0"/>
          <w:numId w:val="2"/>
        </w:numPr>
        <w:spacing w:after="70"/>
      </w:pPr>
      <w:r>
        <w:t xml:space="preserve">Cross-validation: stratified 5-fold by chemical scaffold to prevent scaffold leakage.</w:t>
      </w:r>
    </w:p>
    <w:p>
      <w:pPr>
        <w:pStyle w:val="ListParagraph"/>
        <w:numPr>
          <w:ilvl w:val="0"/>
          <w:numId w:val="2"/>
        </w:numPr>
        <w:spacing w:after="70"/>
      </w:pPr>
      <w:r>
        <w:t xml:space="preserve">Reported metrics: per-class AUC, calibration plot, scaffold-out generalisation gap.</w:t>
      </w:r>
    </w:p>
    <w:p>
      <w:pPr>
        <w:pStyle w:val="ListParagraph"/>
        <w:numPr>
          <w:ilvl w:val="0"/>
          <w:numId w:val="2"/>
        </w:numPr>
        <w:spacing w:after="70"/>
      </w:pPr>
      <w:r>
        <w:t xml:space="preserve">Calibration: temperature scaling on a held-out validation slice.</w:t>
      </w:r>
    </w:p>
    <w:p>
      <w:pPr>
        <w:pStyle w:val="ListParagraph"/>
        <w:numPr>
          <w:ilvl w:val="0"/>
          <w:numId w:val="2"/>
        </w:numPr>
        <w:spacing w:after="70"/>
      </w:pPr>
      <w:r>
        <w:t xml:space="preserve">Applicability domain: Tanimoto distance to nearest training compound; threshold tuned to maintain calibrated confidence.</w:t>
      </w:r>
    </w:p>
    <w:p>
      <w:pPr>
        <w:pStyle w:val="ListParagraph"/>
        <w:numPr>
          <w:ilvl w:val="0"/>
          <w:numId w:val="2"/>
        </w:numPr>
        <w:spacing w:after="70"/>
      </w:pPr>
      <w:r>
        <w:t xml:space="preserve">Same model shape as the existing cardiotox-ml service. ~300–500 lines of training code, runs on CPU, retrains in minutes.</w:t>
      </w:r>
    </w:p>
    <w:p>
      <w:pPr>
        <w:pStyle w:val="Heading2"/>
      </w:pPr>
      <w:r>
        <w:t xml:space="preserve">7.2 tissue-deconv-ml — cell-type expression weighting</w:t>
      </w:r>
    </w:p>
    <w:p>
      <w:pPr>
        <w:spacing w:after="60"/>
      </w:pPr>
      <w:r>
        <w:t xml:space="preserve"/>
      </w:r>
    </w:p>
    <w:p>
      <w:pPr>
        <w:pStyle w:val="ListParagraph"/>
        <w:numPr>
          <w:ilvl w:val="0"/>
          <w:numId w:val="2"/>
        </w:numPr>
        <w:spacing w:after="70"/>
      </w:pPr>
      <w:r>
        <w:t xml:space="preserve">Architecture: precomputed cell-type embedding matrix (one column per cell type in Tabula Sapiens v2) + lightweight regression head.</w:t>
      </w:r>
    </w:p>
    <w:p>
      <w:pPr>
        <w:pStyle w:val="ListParagraph"/>
        <w:numPr>
          <w:ilvl w:val="0"/>
          <w:numId w:val="2"/>
        </w:numPr>
        <w:spacing w:after="70"/>
      </w:pPr>
      <w:r>
        <w:t xml:space="preserve">Inputs: target gene + tissue context.</w:t>
      </w:r>
    </w:p>
    <w:p>
      <w:pPr>
        <w:pStyle w:val="ListParagraph"/>
        <w:numPr>
          <w:ilvl w:val="0"/>
          <w:numId w:val="2"/>
        </w:numPr>
        <w:spacing w:after="70"/>
      </w:pPr>
      <w:r>
        <w:t xml:space="preserve">Output: per-cell-type weight vector for organoid composition aggregation.</w:t>
      </w:r>
    </w:p>
    <w:p>
      <w:pPr>
        <w:pStyle w:val="ListParagraph"/>
        <w:numPr>
          <w:ilvl w:val="0"/>
          <w:numId w:val="2"/>
        </w:numPr>
        <w:spacing w:after="70"/>
      </w:pPr>
      <w:r>
        <w:t xml:space="preserve">Training: not strictly a learned model — primarily an embedding lookup + Drug2cell-style algorithmic scoring. The "ML" component is a small calibration regression that fits cell-type weights from any wet organoid composition data we acquire.</w:t>
      </w:r>
    </w:p>
    <w:p>
      <w:pPr>
        <w:pStyle w:val="ListParagraph"/>
        <w:numPr>
          <w:ilvl w:val="0"/>
          <w:numId w:val="2"/>
        </w:numPr>
        <w:spacing w:after="70"/>
      </w:pPr>
      <w:r>
        <w:t xml:space="preserve">Inference: vector dot product. Submillisecond.</w:t>
      </w:r>
    </w:p>
    <w:p>
      <w:pPr>
        <w:pStyle w:val="Heading2"/>
      </w:pPr>
      <w:r>
        <w:t xml:space="preserve">7.3 organoid-response-ml — calibration model (online retraining)</w:t>
      </w:r>
    </w:p>
    <w:p>
      <w:pPr>
        <w:spacing w:after="60"/>
      </w:pPr>
      <w:r>
        <w:t xml:space="preserve"/>
      </w:r>
    </w:p>
    <w:p>
      <w:pPr>
        <w:pStyle w:val="ListParagraph"/>
        <w:numPr>
          <w:ilvl w:val="0"/>
          <w:numId w:val="2"/>
        </w:numPr>
        <w:spacing w:after="70"/>
      </w:pPr>
      <w:r>
        <w:t xml:space="preserve">Architecture: gradient-boosted regressor (LightGBM) over T0 prediction features + chemical descriptors, with target = wet-measured organoid response.</w:t>
      </w:r>
    </w:p>
    <w:p>
      <w:pPr>
        <w:pStyle w:val="ListParagraph"/>
        <w:numPr>
          <w:ilvl w:val="0"/>
          <w:numId w:val="2"/>
        </w:numPr>
        <w:spacing w:after="70"/>
      </w:pPr>
      <w:r>
        <w:t xml:space="preserve">Training data: bootstrap on HCMI organoid drug response (where available, oncology-skewed); JUMP-CP cell-painting features as auxiliary; calibrate continuously against any T2 / T3 wet data we receive over time.</w:t>
      </w:r>
    </w:p>
    <w:p>
      <w:pPr>
        <w:pStyle w:val="ListParagraph"/>
        <w:numPr>
          <w:ilvl w:val="0"/>
          <w:numId w:val="2"/>
        </w:numPr>
        <w:spacing w:after="70"/>
      </w:pPr>
      <w:r>
        <w:t xml:space="preserve">Role: calibrates §3.3 predictions. The output of cellTypeAggregator is a "structural" prediction; organoid-response-ml shifts it toward observed wet behaviour as data accumulates.</w:t>
      </w:r>
    </w:p>
    <w:p>
      <w:pPr>
        <w:pStyle w:val="ListParagraph"/>
        <w:numPr>
          <w:ilvl w:val="0"/>
          <w:numId w:val="2"/>
        </w:numPr>
        <w:spacing w:after="70"/>
      </w:pPr>
      <w:r>
        <w:t xml:space="preserve">Online retraining: triggered by Performance &amp; Lineage Swarm drift events when fold-error against incoming wet data exceeds threshold. Retrained weekly initially, then less frequently as the calibration cohort stabilises.</w:t>
      </w:r>
    </w:p>
    <w:p>
      <w:pPr>
        <w:pStyle w:val="ListParagraph"/>
        <w:numPr>
          <w:ilvl w:val="0"/>
          <w:numId w:val="2"/>
        </w:numPr>
        <w:spacing w:after="70"/>
      </w:pPr>
      <w:r>
        <w:t xml:space="preserve">Versioning: every retrain bumps the model_version; the Cyan / Teal Curators emit cascade flag 6 events with the new fold-error band.</w:t>
      </w:r>
    </w:p>
    <w:p>
      <w:pPr>
        <w:pStyle w:val="Heading2"/>
      </w:pPr>
      <w:r>
        <w:t xml:space="preserve">7.4 Validation strategy</w:t>
      </w:r>
    </w:p>
    <w:p>
      <w:pPr>
        <w:spacing w:after="140"/>
        <w:jc w:val="left"/>
      </w:pPr>
      <w:r>
        <w:t xml:space="preserve">Every ML model ships with three reports:</w:t>
      </w:r>
    </w:p>
    <w:p>
      <w:pPr>
        <w:spacing w:after="60"/>
      </w:pPr>
      <w:r>
        <w:t xml:space="preserve"/>
      </w:r>
    </w:p>
    <w:p>
      <w:pPr>
        <w:pStyle w:val="ListParagraph"/>
        <w:numPr>
          <w:ilvl w:val="0"/>
          <w:numId w:val="2"/>
        </w:numPr>
        <w:spacing w:after="70"/>
      </w:pPr>
      <w:r>
        <w:t xml:space="preserve">A QMRF document keyed to the OECD QSAR five validation principles (defined endpoint, unambiguous algorithm, defined applicability domain, goodness-of-fit / robustness / predictivity, mechanistic interpretation).</w:t>
      </w:r>
    </w:p>
    <w:p>
      <w:pPr>
        <w:pStyle w:val="ListParagraph"/>
        <w:numPr>
          <w:ilvl w:val="0"/>
          <w:numId w:val="2"/>
        </w:numPr>
        <w:spacing w:after="70"/>
      </w:pPr>
      <w:r>
        <w:t xml:space="preserve">A V&amp;V40 credibility report at the rigor level matched to the model risk under the FDA 2024 AI draft guidance seven-step framework. T0 surrogate is typically low-to-medium model risk because it informs triage, not regulatory claims.</w:t>
      </w:r>
    </w:p>
    <w:p>
      <w:pPr>
        <w:pStyle w:val="ListParagraph"/>
        <w:numPr>
          <w:ilvl w:val="0"/>
          <w:numId w:val="2"/>
        </w:numPr>
        <w:spacing w:after="70"/>
      </w:pPr>
      <w:r>
        <w:t xml:space="preserve">A retrospective fold-error report against any wet data we have. This is the honest number we surface to users.</w:t>
      </w:r>
    </w:p>
    <w:p>
      <w:pPr>
        <w:spacing w:after="140"/>
        <w:jc w:val="left"/>
      </w:pPr>
      <w:r>
        <w:t xml:space="preserve">All three are required for cascade flag 4 (Regulatory) to pass at L3. Failure to produce them blocks the model from production.</w:t>
      </w:r>
    </w:p>
    <w:p>
      <w:pPr>
        <w:pStyle w:val="Heading1"/>
        <w:pageBreakBefore/>
      </w:pPr>
      <w:r>
        <w:t xml:space="preserve">8. Cascade Integration at L3</w:t>
      </w:r>
    </w:p>
    <w:p>
      <w:pPr>
        <w:spacing w:after="140"/>
        <w:jc w:val="left"/>
      </w:pPr>
      <w:r>
        <w:t xml:space="preserve">L3 hits the same six-flag HAIOps cascade as every other layer. The catch matrix from the playbook (§3.1) carries forward unchanged. What this section adds is the T0-specific behaviour of each flag.</w:t>
      </w:r>
    </w:p>
    <w:p>
      <w:pPr>
        <w:pStyle w:val="Heading2"/>
      </w:pPr>
      <w:r>
        <w:t xml:space="preserve">8.1 Flag-by-flag T0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Flag</w:t>
            </w:r>
          </w:p>
        </w:tc>
        <w:tc>
          <w:tcPr>
            <w:tcW w:type="dxa" w:w="78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T0-specific behaviour</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1. Data Quality</w:t>
            </w:r>
          </w:p>
        </w:tc>
        <w:tc>
          <w:tcPr>
            <w:tcW w:type="dxa" w:w="7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Validates dataset snapshots are within refresh cadence (Tabula Sapiens, GTEx, HCMI). Surfaces a `prediction_only` state in the envelope, distinct from "data missing." Rejects T0 outputs with stale snapshots beyond threshold.</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2. Bias &amp; Equity</w:t>
            </w:r>
          </w:p>
        </w:tc>
        <w:tc>
          <w:tcPr>
            <w:tcW w:type="dxa" w:w="7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Validates HCMI line-projection coverage for the indication; emits the demographic / subgroup applicability score. Flags T0 oncology projections where HCMI coverage is sparse for the specific cancer type. For non-cancer organoid predictions, flags the absence of patient-line variance entirely.</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3. Clinical Relevance</w:t>
            </w:r>
          </w:p>
        </w:tc>
        <w:tc>
          <w:tcPr>
            <w:tcW w:type="dxa" w:w="7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Validates that the requested organoid type is biologically representative of the indication-target organ. Mismatches (e.g. CNS-active compound predicted only against liver organoid) are flagged.</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4. Regulatory</w:t>
            </w:r>
          </w:p>
        </w:tc>
        <w:tc>
          <w:tcPr>
            <w:tcW w:type="dxa" w:w="7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Enforces QMRF + V&amp;V40 + fold-error report on every ML model. Tags T0 outputs as triage-grade, never IND-supporting on their own. Routes T2 / T3 wet anchoring requirements to the relevant procurement workflow when a regulatory-grade claim is needed.</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5. Safety Signal</w:t>
            </w:r>
          </w:p>
        </w:tc>
        <w:tc>
          <w:tcPr>
            <w:tcW w:type="dxa" w:w="7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Same as the playbook catch matrix — DILI mechanism classifier triggers, predicted iPSC-CM MEA arrhythmogenic phenotype carried forward from L1 + L2, hERG cross-check.</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6. Drift &amp; Stability</w:t>
            </w:r>
          </w:p>
        </w:tc>
        <w:tc>
          <w:tcPr>
            <w:tcW w:type="dxa" w:w="7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Tracks fold-error of T0 predictions against any T2 / T3 wet data we receive. Drift events trigger organoid-response-ml retraining. Snapshot freshness drift triggers Data Quality, not Drift &amp; Stability.</w:t>
            </w:r>
          </w:p>
        </w:tc>
      </w:tr>
    </w:tbl>
    <w:p>
      <w:pPr>
        <w:spacing w:after="140"/>
      </w:pPr>
      <w:r>
        <w:t xml:space="preserve"/>
      </w:r>
    </w:p>
    <w:p>
      <w:pPr>
        <w:pStyle w:val="Heading2"/>
      </w:pPr>
      <w:r>
        <w:t xml:space="preserve">8.2 The "prediction_only" envelope state</w:t>
      </w:r>
    </w:p>
    <w:p>
      <w:pPr>
        <w:spacing w:after="140"/>
        <w:jc w:val="left"/>
      </w:pPr>
      <w:r>
        <w:t xml:space="preserve">T0 introduces a distinct envelope state that is neither "pass" nor "fail" — it is "valid prediction, not a measurement." This is enforced in code:</w:t>
      </w:r>
    </w:p>
    <w:p>
      <w:pPr>
        <w:shd w:fill="F5F5F5" w:val="clear"/>
        <w:spacing w:after="0" w:line="240"/>
        <w:ind w:left="240"/>
      </w:pPr>
      <w:r>
        <w:rPr>
          <w:rFonts w:ascii="Consolas" w:cs="Consolas" w:eastAsia="Consolas" w:hAnsi="Consolas"/>
          <w:sz w:val="18"/>
          <w:szCs w:val="18"/>
        </w:rPr>
        <w:t xml:space="preserve">"cascade_flags": {</w:t>
      </w:r>
    </w:p>
    <w:p>
      <w:pPr>
        <w:shd w:fill="F5F5F5" w:val="clear"/>
        <w:spacing w:after="0" w:line="240"/>
        <w:ind w:left="240"/>
      </w:pPr>
      <w:r>
        <w:rPr>
          <w:rFonts w:ascii="Consolas" w:cs="Consolas" w:eastAsia="Consolas" w:hAnsi="Consolas"/>
          <w:sz w:val="18"/>
          <w:szCs w:val="18"/>
        </w:rPr>
        <w:t xml:space="preserve">  "data_quality": {</w:t>
      </w:r>
    </w:p>
    <w:p>
      <w:pPr>
        <w:shd w:fill="F5F5F5" w:val="clear"/>
        <w:spacing w:after="0" w:line="240"/>
        <w:ind w:left="240"/>
      </w:pPr>
      <w:r>
        <w:rPr>
          <w:rFonts w:ascii="Consolas" w:cs="Consolas" w:eastAsia="Consolas" w:hAnsi="Consolas"/>
          <w:sz w:val="18"/>
          <w:szCs w:val="18"/>
        </w:rPr>
        <w:t xml:space="preserve">    "state": "prediction_only",     // new T0 state</w:t>
      </w:r>
    </w:p>
    <w:p>
      <w:pPr>
        <w:shd w:fill="F5F5F5" w:val="clear"/>
        <w:spacing w:after="0" w:line="240"/>
        <w:ind w:left="240"/>
      </w:pPr>
      <w:r>
        <w:rPr>
          <w:rFonts w:ascii="Consolas" w:cs="Consolas" w:eastAsia="Consolas" w:hAnsi="Consolas"/>
          <w:sz w:val="18"/>
          <w:szCs w:val="18"/>
        </w:rPr>
        <w:t xml:space="preserve">    "snapshots": {</w:t>
      </w:r>
    </w:p>
    <w:p>
      <w:pPr>
        <w:shd w:fill="F5F5F5" w:val="clear"/>
        <w:spacing w:after="0" w:line="240"/>
        <w:ind w:left="240"/>
      </w:pPr>
      <w:r>
        <w:rPr>
          <w:rFonts w:ascii="Consolas" w:cs="Consolas" w:eastAsia="Consolas" w:hAnsi="Consolas"/>
          <w:sz w:val="18"/>
          <w:szCs w:val="18"/>
        </w:rPr>
        <w:t xml:space="preserve">      "tabula_sapiens": "v2.1.0/2026-03-15",</w:t>
      </w:r>
    </w:p>
    <w:p>
      <w:pPr>
        <w:shd w:fill="F5F5F5" w:val="clear"/>
        <w:spacing w:after="0" w:line="240"/>
        <w:ind w:left="240"/>
      </w:pPr>
      <w:r>
        <w:rPr>
          <w:rFonts w:ascii="Consolas" w:cs="Consolas" w:eastAsia="Consolas" w:hAnsi="Consolas"/>
          <w:sz w:val="18"/>
          <w:szCs w:val="18"/>
        </w:rPr>
        <w:t xml:space="preserve">      "gtex":           "v10/2024-12-01",</w:t>
      </w:r>
    </w:p>
    <w:p>
      <w:pPr>
        <w:shd w:fill="F5F5F5" w:val="clear"/>
        <w:spacing w:after="0" w:line="240"/>
        <w:ind w:left="240"/>
      </w:pPr>
      <w:r>
        <w:rPr>
          <w:rFonts w:ascii="Consolas" w:cs="Consolas" w:eastAsia="Consolas" w:hAnsi="Consolas"/>
          <w:sz w:val="18"/>
          <w:szCs w:val="18"/>
        </w:rPr>
        <w:t xml:space="preserve">      "hcmi":           "2026-04-01",</w:t>
      </w:r>
    </w:p>
    <w:p>
      <w:pPr>
        <w:shd w:fill="F5F5F5" w:val="clear"/>
        <w:spacing w:after="0" w:line="240"/>
        <w:ind w:left="240"/>
      </w:pPr>
      <w:r>
        <w:rPr>
          <w:rFonts w:ascii="Consolas" w:cs="Consolas" w:eastAsia="Consolas" w:hAnsi="Consolas"/>
          <w:sz w:val="18"/>
          <w:szCs w:val="18"/>
        </w:rPr>
        <w:t xml:space="preserve">      "dilirank":       "2024-08-15"</w:t>
      </w:r>
    </w:p>
    <w:p>
      <w:pPr>
        <w:shd w:fill="F5F5F5" w:val="clear"/>
        <w:spacing w:after="0" w:line="240"/>
        <w:ind w:left="240"/>
      </w:pPr>
      <w:r>
        <w:rPr>
          <w:rFonts w:ascii="Consolas" w:cs="Consolas" w:eastAsia="Consolas" w:hAnsi="Consolas"/>
          <w:sz w:val="18"/>
          <w:szCs w:val="18"/>
        </w:rPr>
        <w:t xml:space="preserve">    },</w:t>
      </w:r>
    </w:p>
    <w:p>
      <w:pPr>
        <w:shd w:fill="F5F5F5" w:val="clear"/>
        <w:spacing w:after="0" w:line="240"/>
        <w:ind w:left="240"/>
      </w:pPr>
      <w:r>
        <w:rPr>
          <w:rFonts w:ascii="Consolas" w:cs="Consolas" w:eastAsia="Consolas" w:hAnsi="Consolas"/>
          <w:sz w:val="18"/>
          <w:szCs w:val="18"/>
        </w:rPr>
        <w:t xml:space="preserve">    "snapshots_within_cadence": true</w:t>
      </w:r>
    </w:p>
    <w:p>
      <w:pPr>
        <w:shd w:fill="F5F5F5" w:val="clear"/>
        <w:spacing w:after="0" w:line="240"/>
        <w:ind w:left="240"/>
      </w:pPr>
      <w:r>
        <w:rPr>
          <w:rFonts w:ascii="Consolas" w:cs="Consolas" w:eastAsia="Consolas" w:hAnsi="Consolas"/>
          <w:sz w:val="18"/>
          <w:szCs w:val="18"/>
        </w:rPr>
        <w:t xml:space="preserve">  },</w:t>
      </w:r>
    </w:p>
    <w:p>
      <w:pPr>
        <w:shd w:fill="F5F5F5" w:val="clear"/>
        <w:spacing w:after="0" w:line="240"/>
        <w:ind w:left="240"/>
      </w:pPr>
      <w:r>
        <w:rPr>
          <w:rFonts w:ascii="Consolas" w:cs="Consolas" w:eastAsia="Consolas" w:hAnsi="Consolas"/>
          <w:sz w:val="18"/>
          <w:szCs w:val="18"/>
        </w:rPr>
        <w:t xml:space="preserve">  ...</w:t>
      </w:r>
    </w:p>
    <w:p>
      <w:pPr>
        <w:shd w:fill="F5F5F5" w:val="clear"/>
        <w:spacing w:after="0" w:line="240"/>
        <w:ind w:left="240"/>
      </w:pPr>
      <w:r>
        <w:rPr>
          <w:rFonts w:ascii="Consolas" w:cs="Consolas" w:eastAsia="Consolas" w:hAnsi="Consolas"/>
          <w:sz w:val="18"/>
          <w:szCs w:val="18"/>
        </w:rPr>
        <w:t xml:space="preserve">}</w:t>
      </w:r>
    </w:p>
    <w:p>
      <w:pPr>
        <w:spacing w:after="140"/>
      </w:pPr>
      <w:r>
        <w:t xml:space="preserve"/>
      </w:r>
    </w:p>
    <w:p>
      <w:pPr>
        <w:spacing w:after="140"/>
        <w:jc w:val="left"/>
      </w:pPr>
      <w:r>
        <w:t xml:space="preserve">Downstream consumers (L4 in particular) read the `prediction_only` state and route accordingly. The Amber Curator at L4 will not sign a clinical handoff package whose load-bearing claims rest on `prediction_only` outputs alone — wet anchoring (T2 or T3) is required somewhere in the chain. This is enforced at signing time.</w:t>
      </w:r>
    </w:p>
    <w:p>
      <w:pPr>
        <w:pStyle w:val="Heading1"/>
        <w:pageBreakBefore/>
      </w:pPr>
      <w:r>
        <w:t xml:space="preserve">9. Validation, Benchmarking, and Honest Confidence</w:t>
      </w:r>
    </w:p>
    <w:p>
      <w:pPr>
        <w:spacing w:after="140"/>
        <w:jc w:val="left"/>
      </w:pPr>
      <w:r>
        <w:t xml:space="preserve">The credibility of T0 rests on the fold-error band we surface against wet measurements. This section specifies how we measure that band, where the bands come from, and how they evolve.</w:t>
      </w:r>
    </w:p>
    <w:p>
      <w:pPr>
        <w:pStyle w:val="Heading2"/>
      </w:pPr>
      <w:r>
        <w:t xml:space="preserve">9.1 Initial calibration cohorts</w:t>
      </w:r>
    </w:p>
    <w:p>
      <w:pPr>
        <w:spacing w:after="60"/>
      </w:pPr>
      <w:r>
        <w:t xml:space="preserve"/>
      </w:r>
    </w:p>
    <w:p>
      <w:pPr>
        <w:pStyle w:val="ListParagraph"/>
        <w:numPr>
          <w:ilvl w:val="0"/>
          <w:numId w:val="2"/>
        </w:numPr>
        <w:spacing w:after="70"/>
      </w:pPr>
      <w:r>
        <w:t xml:space="preserve">Tissue-selectivity matrix: against published clinical PK with paired tissue distribution data; PK-DB has ~50 reference compounds with reasonable tissue coverage. Expected fold-error: 2–3× for tissues with explicit PBPK compartments, 3–6× for tissues without.</w:t>
      </w:r>
    </w:p>
    <w:p>
      <w:pPr>
        <w:pStyle w:val="ListParagraph"/>
        <w:numPr>
          <w:ilvl w:val="0"/>
          <w:numId w:val="2"/>
        </w:numPr>
        <w:spacing w:after="70"/>
      </w:pPr>
      <w:r>
        <w:t xml:space="preserve">Cell-type efficacy: against Drug2cell's own published evaluation (Kanemaru, Nature 2023). The published method has documented validation; we re-run on our compound set to surface our domain-specific fold-error.</w:t>
      </w:r>
    </w:p>
    <w:p>
      <w:pPr>
        <w:pStyle w:val="ListParagraph"/>
        <w:numPr>
          <w:ilvl w:val="0"/>
          <w:numId w:val="2"/>
        </w:numPr>
        <w:spacing w:after="70"/>
      </w:pPr>
      <w:r>
        <w:t xml:space="preserve">Predicted organoid efficacy: against published HCMI organoid drug response where available. Initial cohort: ~50–100 compound-line pairs with measured IC50. Expected fold-error: 3–5×.</w:t>
      </w:r>
    </w:p>
    <w:p>
      <w:pPr>
        <w:pStyle w:val="ListParagraph"/>
        <w:numPr>
          <w:ilvl w:val="0"/>
          <w:numId w:val="2"/>
        </w:numPr>
        <w:spacing w:after="70"/>
      </w:pPr>
      <w:r>
        <w:t xml:space="preserve">DILI prediction: standard DILIrank cross-validation; expected ~0.78–0.85 AUC on held-out scaffolds (consistent with published DILI predictors).</w:t>
      </w:r>
    </w:p>
    <w:p>
      <w:pPr>
        <w:pStyle w:val="ListParagraph"/>
        <w:numPr>
          <w:ilvl w:val="0"/>
          <w:numId w:val="2"/>
        </w:numPr>
        <w:spacing w:after="70"/>
      </w:pPr>
      <w:r>
        <w:t xml:space="preserve">Patient-line variance: oncology only; against DepMap PRISM lines for indication coverage. Expected fold-error: 3–5× IC50 across lines.</w:t>
      </w:r>
    </w:p>
    <w:p>
      <w:pPr>
        <w:pStyle w:val="ListParagraph"/>
        <w:numPr>
          <w:ilvl w:val="0"/>
          <w:numId w:val="2"/>
        </w:numPr>
        <w:spacing w:after="70"/>
      </w:pPr>
      <w:r>
        <w:t xml:space="preserve">Transporter flags: against published substrate / inhibitor labels for ~500 compounds across the major transporters; expected ~0.8 AUC per channel.</w:t>
      </w:r>
    </w:p>
    <w:p>
      <w:pPr>
        <w:pStyle w:val="Heading2"/>
      </w:pPr>
      <w:r>
        <w:t xml:space="preserve">9.2 Continuous calibration</w:t>
      </w:r>
    </w:p>
    <w:p>
      <w:pPr>
        <w:spacing w:after="140"/>
        <w:jc w:val="left"/>
      </w:pPr>
      <w:r>
        <w:t xml:space="preserve">Every T2 / T3 wet readout that arrives is logged as a calibration sample. The Performance &amp; Lineage Swarm tracks T0-vs-wet fold-error per surrogate output and updates the bands surfaced in the UI. As the calibration cohort grows, T0 confidence intervals tighten honestly; the labelling never falsely narrows ahead of the data.</w:t>
      </w:r>
    </w:p>
    <w:p>
      <w:pPr>
        <w:pStyle w:val="Heading2"/>
      </w:pPr>
      <w:r>
        <w:t xml:space="preserve">9.3 What honest confidence actually looks like in the UI</w:t>
      </w:r>
    </w:p>
    <w:p>
      <w:pPr>
        <w:spacing w:after="140"/>
        <w:jc w:val="left"/>
      </w:pPr>
      <w:r>
        <w:t xml:space="preserve">A T0 organoid efficacy card renders something like:</w:t>
      </w:r>
    </w:p>
    <w:p>
      <w:pPr>
        <w:shd w:fill="F5F5F5" w:val="clear"/>
        <w:spacing w:after="0" w:line="240"/>
        <w:ind w:left="240"/>
      </w:pPr>
      <w:r>
        <w:rPr>
          <w:rFonts w:ascii="Consolas" w:cs="Consolas" w:eastAsia="Consolas" w:hAnsi="Consolas"/>
          <w:sz w:val="18"/>
          <w:szCs w:val="18"/>
        </w:rPr>
        <w:t xml:space="preserve">┌─ Predicted Organoid Efficacy (Liver, T0) ───────────────────┐</w:t>
      </w:r>
    </w:p>
    <w:p>
      <w:pPr>
        <w:shd w:fill="F5F5F5" w:val="clear"/>
        <w:spacing w:after="0" w:line="240"/>
        <w:ind w:left="240"/>
      </w:pPr>
      <w:r>
        <w:rPr>
          <w:rFonts w:ascii="Consolas" w:cs="Consolas" w:eastAsia="Consolas" w:hAnsi="Consolas"/>
          <w:sz w:val="18"/>
          <w:szCs w:val="18"/>
        </w:rPr>
        <w:t xml:space="preserve">│  Predicted IC50:    1.4 µM (median)                          │</w:t>
      </w:r>
    </w:p>
    <w:p>
      <w:pPr>
        <w:shd w:fill="F5F5F5" w:val="clear"/>
        <w:spacing w:after="0" w:line="240"/>
        <w:ind w:left="240"/>
      </w:pPr>
      <w:r>
        <w:rPr>
          <w:rFonts w:ascii="Consolas" w:cs="Consolas" w:eastAsia="Consolas" w:hAnsi="Consolas"/>
          <w:sz w:val="18"/>
          <w:szCs w:val="18"/>
        </w:rPr>
        <w:t xml:space="preserve">│  95% CI:            0.4 – 4.8 µM                             │</w:t>
      </w:r>
    </w:p>
    <w:p>
      <w:pPr>
        <w:shd w:fill="F5F5F5" w:val="clear"/>
        <w:spacing w:after="0" w:line="240"/>
        <w:ind w:left="240"/>
      </w:pPr>
      <w:r>
        <w:rPr>
          <w:rFonts w:ascii="Consolas" w:cs="Consolas" w:eastAsia="Consolas" w:hAnsi="Consolas"/>
          <w:sz w:val="18"/>
          <w:szCs w:val="18"/>
        </w:rPr>
        <w:t xml:space="preserve">│  Fold-error vs wet: 3.2× median (calibrated on 64 compounds) │</w:t>
      </w:r>
    </w:p>
    <w:p>
      <w:pPr>
        <w:shd w:fill="F5F5F5" w:val="clear"/>
        <w:spacing w:after="0" w:line="240"/>
        <w:ind w:left="240"/>
      </w:pPr>
      <w:r>
        <w:rPr>
          <w:rFonts w:ascii="Consolas" w:cs="Consolas" w:eastAsia="Consolas" w:hAnsi="Consolas"/>
          <w:sz w:val="18"/>
          <w:szCs w:val="18"/>
        </w:rPr>
        <w:t xml:space="preserve">│  Applicability:     in domain (score 0.84)                   │</w:t>
      </w:r>
    </w:p>
    <w:p>
      <w:pPr>
        <w:shd w:fill="F5F5F5" w:val="clear"/>
        <w:spacing w:after="0" w:line="240"/>
        <w:ind w:left="240"/>
      </w:pPr>
      <w:r>
        <w:rPr>
          <w:rFonts w:ascii="Consolas" w:cs="Consolas" w:eastAsia="Consolas" w:hAnsi="Consolas"/>
          <w:sz w:val="18"/>
          <w:szCs w:val="18"/>
        </w:rPr>
        <w:t xml:space="preserve">│  Method:            cell-type aggregation + DILIrank         │</w:t>
      </w:r>
    </w:p>
    <w:p>
      <w:pPr>
        <w:shd w:fill="F5F5F5" w:val="clear"/>
        <w:spacing w:after="0" w:line="240"/>
        <w:ind w:left="240"/>
      </w:pPr>
      <w:r>
        <w:rPr>
          <w:rFonts w:ascii="Consolas" w:cs="Consolas" w:eastAsia="Consolas" w:hAnsi="Consolas"/>
          <w:sz w:val="18"/>
          <w:szCs w:val="18"/>
        </w:rPr>
        <w:t xml:space="preserve">│  ⚠ T0 in-silico surrogate — predicted, not measured.         │</w:t>
      </w:r>
    </w:p>
    <w:p>
      <w:pPr>
        <w:shd w:fill="F5F5F5" w:val="clear"/>
        <w:spacing w:after="0" w:line="240"/>
        <w:ind w:left="240"/>
      </w:pPr>
      <w:r>
        <w:rPr>
          <w:rFonts w:ascii="Consolas" w:cs="Consolas" w:eastAsia="Consolas" w:hAnsi="Consolas"/>
          <w:sz w:val="18"/>
          <w:szCs w:val="18"/>
        </w:rPr>
        <w:t xml:space="preserve">│    Wet anchoring (T2/T3) required for IND-supporting claims. │</w:t>
      </w:r>
    </w:p>
    <w:p>
      <w:pPr>
        <w:shd w:fill="F5F5F5" w:val="clear"/>
        <w:spacing w:after="0" w:line="240"/>
        <w:ind w:left="240"/>
      </w:pPr>
      <w:r>
        <w:rPr>
          <w:rFonts w:ascii="Consolas" w:cs="Consolas" w:eastAsia="Consolas" w:hAnsi="Consolas"/>
          <w:sz w:val="18"/>
          <w:szCs w:val="18"/>
        </w:rPr>
        <w:t xml:space="preserve">└──────────────────────────────────────────────────────────────┘</w:t>
      </w:r>
    </w:p>
    <w:p>
      <w:pPr>
        <w:spacing w:after="140"/>
      </w:pPr>
      <w:r>
        <w:t xml:space="preserve"/>
      </w:r>
    </w:p>
    <w:p>
      <w:pPr>
        <w:spacing w:after="140"/>
        <w:jc w:val="left"/>
      </w:pPr>
      <w:r>
        <w:t xml:space="preserve">Every field shown is real and traceable. The fold-error number is measured, not invented. The applicability score is computed at request time. The method line is the actual computation. The warning is non-removable from the UI — it is part of the data, not a tooltip.</w:t>
      </w:r>
    </w:p>
    <w:p>
      <w:pPr>
        <w:pStyle w:val="Heading1"/>
        <w:pageBreakBefore/>
      </w:pPr>
      <w:r>
        <w:t xml:space="preserve">10. Build Order</w:t>
      </w:r>
    </w:p>
    <w:p>
      <w:pPr>
        <w:spacing w:after="140"/>
        <w:jc w:val="left"/>
      </w:pPr>
      <w:r>
        <w:t xml:space="preserve">A staged rollout that gets the L3 button runnable as fast as possible, then layers in the higher-fidelity modules. Each stage is independently shippable; each ends with a runnable state and a clear UI improvement.</w:t>
      </w:r>
    </w:p>
    <w:p>
      <w:pPr>
        <w:pStyle w:val="Heading2"/>
      </w:pPr>
      <w:r>
        <w:t xml:space="preserve">10.1 Stage 1 — Surface what already exists (~3–5 days)</w:t>
      </w:r>
    </w:p>
    <w:p>
      <w:pPr>
        <w:pStyle w:val="ListParagraph"/>
        <w:numPr>
          <w:ilvl w:val="0"/>
          <w:numId w:val="2"/>
        </w:numPr>
        <w:spacing w:after="70"/>
      </w:pPr>
      <w:r>
        <w:t xml:space="preserve">Wire `lib/tissueSelectivity.ts`. Most of the inputs (L1 IC50, L2 PBPK Cu, target gene) already exist; the addition is GTEx integration and the 54-row matrix output.</w:t>
      </w:r>
    </w:p>
    <w:p>
      <w:pPr>
        <w:pStyle w:val="ListParagraph"/>
        <w:numPr>
          <w:ilvl w:val="0"/>
          <w:numId w:val="2"/>
        </w:numPr>
        <w:spacing w:after="70"/>
      </w:pPr>
      <w:r>
        <w:t xml:space="preserve">Render a tissue-selectivity card on the L3 page. This alone replaces the "no engine wired" stub with a real, defensible output.</w:t>
      </w:r>
    </w:p>
    <w:p>
      <w:pPr>
        <w:pStyle w:val="ListParagraph"/>
        <w:numPr>
          <w:ilvl w:val="0"/>
          <w:numId w:val="2"/>
        </w:numPr>
        <w:spacing w:after="70"/>
      </w:pPr>
      <w:r>
        <w:t xml:space="preserve">Wire transporter flags via `lib/transporterFlags.ts`. Rule-based on L1 ADMET; no ML required.</w:t>
      </w:r>
    </w:p>
    <w:p>
      <w:pPr>
        <w:pStyle w:val="ListParagraph"/>
        <w:numPr>
          <w:ilvl w:val="0"/>
          <w:numId w:val="2"/>
        </w:numPr>
        <w:spacing w:after="70"/>
      </w:pPr>
      <w:r>
        <w:t xml:space="preserve">Acceptance: L3 Run button enabled. Tissue-selectivity matrix rendered. Cascade gate firing flag 1 with `prediction_only` state.</w:t>
      </w:r>
    </w:p>
    <w:p>
      <w:pPr>
        <w:pStyle w:val="Heading2"/>
      </w:pPr>
      <w:r>
        <w:t xml:space="preserve">10.2 Stage 2 — DILI prediction (~5–7 days)</w:t>
      </w:r>
    </w:p>
    <w:p>
      <w:pPr>
        <w:pStyle w:val="ListParagraph"/>
        <w:numPr>
          <w:ilvl w:val="0"/>
          <w:numId w:val="2"/>
        </w:numPr>
        <w:spacing w:after="70"/>
      </w:pPr>
      <w:r>
        <w:t xml:space="preserve">Train `dili-ml` on DILIrank + LTKB. Same model shape as cardiotox-ml; ~300–500 lines of training code on the existing ML training infra.</w:t>
      </w:r>
    </w:p>
    <w:p>
      <w:pPr>
        <w:pStyle w:val="ListParagraph"/>
        <w:numPr>
          <w:ilvl w:val="0"/>
          <w:numId w:val="2"/>
        </w:numPr>
        <w:spacing w:after="70"/>
      </w:pPr>
      <w:r>
        <w:t xml:space="preserve">Wire `lib/hepatotoxPredictor.ts`. Inference is fast; no infra changes.</w:t>
      </w:r>
    </w:p>
    <w:p>
      <w:pPr>
        <w:pStyle w:val="ListParagraph"/>
        <w:numPr>
          <w:ilvl w:val="0"/>
          <w:numId w:val="2"/>
        </w:numPr>
        <w:spacing w:after="70"/>
      </w:pPr>
      <w:r>
        <w:t xml:space="preserve">Render hepatotox card with severity + mechanism flags.</w:t>
      </w:r>
    </w:p>
    <w:p>
      <w:pPr>
        <w:pStyle w:val="ListParagraph"/>
        <w:numPr>
          <w:ilvl w:val="0"/>
          <w:numId w:val="2"/>
        </w:numPr>
        <w:spacing w:after="70"/>
      </w:pPr>
      <w:r>
        <w:t xml:space="preserve">QMRF + V&amp;V40 + fold-error report shipped with the model.</w:t>
      </w:r>
    </w:p>
    <w:p>
      <w:pPr>
        <w:pStyle w:val="ListParagraph"/>
        <w:numPr>
          <w:ilvl w:val="0"/>
          <w:numId w:val="2"/>
        </w:numPr>
        <w:spacing w:after="70"/>
      </w:pPr>
      <w:r>
        <w:t xml:space="preserve">Acceptance: hepatotox card rendered with calibrated confidence. Cascade flag 4 (Regulatory) passes with QMRF + V&amp;V40 attached.</w:t>
      </w:r>
    </w:p>
    <w:p>
      <w:pPr>
        <w:pStyle w:val="Heading2"/>
      </w:pPr>
      <w:r>
        <w:t xml:space="preserve">10.3 Stage 3 — Cell-type aggregation (~7–10 days)</w:t>
      </w:r>
    </w:p>
    <w:p>
      <w:pPr>
        <w:pStyle w:val="ListParagraph"/>
        <w:numPr>
          <w:ilvl w:val="0"/>
          <w:numId w:val="2"/>
        </w:numPr>
        <w:spacing w:after="70"/>
      </w:pPr>
      <w:r>
        <w:t xml:space="preserve">Wire `lib/cellTypeAggregator.ts` against CELLxGENE Census. Curate the organoid composition table (one-off effort; ~10–20 organoid types).</w:t>
      </w:r>
    </w:p>
    <w:p>
      <w:pPr>
        <w:pStyle w:val="ListParagraph"/>
        <w:numPr>
          <w:ilvl w:val="0"/>
          <w:numId w:val="2"/>
        </w:numPr>
        <w:spacing w:after="70"/>
      </w:pPr>
      <w:r>
        <w:t xml:space="preserve">Render predicted organoid efficacy cards per requested organoid type.</w:t>
      </w:r>
    </w:p>
    <w:p>
      <w:pPr>
        <w:pStyle w:val="ListParagraph"/>
        <w:numPr>
          <w:ilvl w:val="0"/>
          <w:numId w:val="2"/>
        </w:numPr>
        <w:spacing w:after="70"/>
      </w:pPr>
      <w:r>
        <w:t xml:space="preserve">Initial calibration cohort against HCMI for oncology programmes; against published organoid drug-response papers for non-oncology.</w:t>
      </w:r>
    </w:p>
    <w:p>
      <w:pPr>
        <w:pStyle w:val="ListParagraph"/>
        <w:numPr>
          <w:ilvl w:val="0"/>
          <w:numId w:val="2"/>
        </w:numPr>
        <w:spacing w:after="70"/>
      </w:pPr>
      <w:r>
        <w:t xml:space="preserve">Acceptance: organoid efficacy cards with measured fold-error band, "T0 in-silico surrogate" label, applicability domain shown.</w:t>
      </w:r>
    </w:p>
    <w:p>
      <w:pPr>
        <w:pStyle w:val="Heading2"/>
      </w:pPr>
      <w:r>
        <w:t xml:space="preserve">10.4 Stage 4 — Patient-line projection (oncology branch) (~5–7 days)</w:t>
      </w:r>
    </w:p>
    <w:p>
      <w:pPr>
        <w:pStyle w:val="ListParagraph"/>
        <w:numPr>
          <w:ilvl w:val="0"/>
          <w:numId w:val="2"/>
        </w:numPr>
        <w:spacing w:after="70"/>
      </w:pPr>
      <w:r>
        <w:t xml:space="preserve">Wire `lib/patientLineProjection.ts` against HCMI catalogue + DepMap PRISM. Oncology-only; non-cancer compounds skip this module.</w:t>
      </w:r>
    </w:p>
    <w:p>
      <w:pPr>
        <w:pStyle w:val="ListParagraph"/>
        <w:numPr>
          <w:ilvl w:val="0"/>
          <w:numId w:val="2"/>
        </w:numPr>
        <w:spacing w:after="70"/>
      </w:pPr>
      <w:r>
        <w:t xml:space="preserve">Render patient-line variance card with line distribution.</w:t>
      </w:r>
    </w:p>
    <w:p>
      <w:pPr>
        <w:pStyle w:val="ListParagraph"/>
        <w:numPr>
          <w:ilvl w:val="0"/>
          <w:numId w:val="2"/>
        </w:numPr>
        <w:spacing w:after="70"/>
      </w:pPr>
      <w:r>
        <w:t xml:space="preserve">Acceptance: oncology compounds get a real per-patient-line distribution; non-oncology compounds explicitly do not (envelope marks `not_applicable`).</w:t>
      </w:r>
    </w:p>
    <w:p>
      <w:pPr>
        <w:pStyle w:val="Heading2"/>
      </w:pPr>
      <w:r>
        <w:t xml:space="preserve">10.5 Stage 5 — DILI biomarker proxy + permeability surfacing (~3 days)</w:t>
      </w:r>
    </w:p>
    <w:p>
      <w:pPr>
        <w:pStyle w:val="ListParagraph"/>
        <w:numPr>
          <w:ilvl w:val="0"/>
          <w:numId w:val="2"/>
        </w:numPr>
        <w:spacing w:after="70"/>
      </w:pPr>
      <w:r>
        <w:t xml:space="preserve">Rule-based mapping from DILI mechanism flags to expected biomarker pattern.</w:t>
      </w:r>
    </w:p>
    <w:p>
      <w:pPr>
        <w:pStyle w:val="ListParagraph"/>
        <w:numPr>
          <w:ilvl w:val="0"/>
          <w:numId w:val="2"/>
        </w:numPr>
        <w:spacing w:after="70"/>
      </w:pPr>
      <w:r>
        <w:t xml:space="preserve">Surface F_oral and Kp,uu predictions on L3 (most of the computation is already in L1 + L2; this is a UI surfacing step).</w:t>
      </w:r>
    </w:p>
    <w:p>
      <w:pPr>
        <w:pStyle w:val="Heading2"/>
      </w:pPr>
      <w:r>
        <w:t xml:space="preserve">10.6 Stage 6 — Cascade integration tests + L3 → L4 envelope (~2–3 days)</w:t>
      </w:r>
    </w:p>
    <w:p>
      <w:pPr>
        <w:pStyle w:val="ListParagraph"/>
        <w:numPr>
          <w:ilvl w:val="0"/>
          <w:numId w:val="2"/>
        </w:numPr>
        <w:spacing w:after="70"/>
      </w:pPr>
      <w:r>
        <w:t xml:space="preserve">End-to-end test: L1 → L2 → L3 (T0) → L4 envelope. Verify every cascade flag fires, every provenance field is populated, every tier label is correct.</w:t>
      </w:r>
    </w:p>
    <w:p>
      <w:pPr>
        <w:pStyle w:val="ListParagraph"/>
        <w:numPr>
          <w:ilvl w:val="0"/>
          <w:numId w:val="2"/>
        </w:numPr>
        <w:spacing w:after="70"/>
      </w:pPr>
      <w:r>
        <w:t xml:space="preserve">Verify L4 Amber Curator refuses to sign a handoff package whose load-bearing claims are T0-only.</w:t>
      </w:r>
    </w:p>
    <w:p>
      <w:pPr>
        <w:pStyle w:val="Heading2"/>
      </w:pPr>
      <w:r>
        <w:t xml:space="preserve">10.7 Stage 7 — T1 retrieval (~5–7 days, optional / parallel)</w:t>
      </w:r>
    </w:p>
    <w:p>
      <w:pPr>
        <w:pStyle w:val="ListParagraph"/>
        <w:numPr>
          <w:ilvl w:val="0"/>
          <w:numId w:val="2"/>
        </w:numPr>
        <w:spacing w:after="70"/>
      </w:pPr>
      <w:r>
        <w:t xml:space="preserve">Wire ToxRefDB / MPS-Database / NCATS Tissue Chip / JUMP-CP retrieval. Pull near-analog wet readouts for the compound. Surface as "public-data analog" cards inline with T0.</w:t>
      </w:r>
    </w:p>
    <w:p>
      <w:pPr>
        <w:pStyle w:val="Heading2"/>
      </w:pPr>
      <w:r>
        <w:t xml:space="preserve">10.8 Stage 8 — T2 / T3 hooks (~later)</w:t>
      </w:r>
    </w:p>
    <w:p>
      <w:pPr>
        <w:pStyle w:val="ListParagraph"/>
        <w:numPr>
          <w:ilvl w:val="0"/>
          <w:numId w:val="2"/>
        </w:numPr>
        <w:spacing w:after="70"/>
      </w:pPr>
      <w:r>
        <w:t xml:space="preserve">CRO request workflow (Charles River, Eurofins, Inotiv, WuXi AppTec, Pharmaron) — procurement integration, no algorithmic change.</w:t>
      </w:r>
    </w:p>
    <w:p>
      <w:pPr>
        <w:pStyle w:val="ListParagraph"/>
        <w:numPr>
          <w:ilvl w:val="0"/>
          <w:numId w:val="2"/>
        </w:numPr>
        <w:spacing w:after="70"/>
      </w:pPr>
      <w:r>
        <w:t xml:space="preserve">Vendor adapter abstraction — typed adapters for Emulate / CN Bio / Mimetas / TissUse / InSphero. Programmes that have a vendor partnership consume through this; the surrogate surface is unchanged.</w:t>
      </w:r>
    </w:p>
    <w:p>
      <w:pPr>
        <w:pStyle w:val="Heading2"/>
      </w:pPr>
      <w:r>
        <w:t xml:space="preserve">10.9 Total estimate</w:t>
      </w:r>
    </w:p>
    <w:p>
      <w:pPr>
        <w:spacing w:after="140"/>
        <w:jc w:val="left"/>
      </w:pPr>
      <w:r>
        <w:t xml:space="preserve">Stages 1–6: roughly 3–5 weeks of focused engineering for one developer, less if parallelised across two. The output is a real runnable L3 layer with honest numbers, no vendor required, no fabricated outputs. Stages 7–8 are improvements that can land later without changing what users see today.</w:t>
      </w:r>
    </w:p>
    <w:p>
      <w:pPr>
        <w:pStyle w:val="Heading1"/>
        <w:pageBreakBefore/>
      </w:pPr>
      <w:r>
        <w:t xml:space="preserve">11. What Stays as Honest Stub</w:t>
      </w:r>
    </w:p>
    <w:p>
      <w:pPr>
        <w:spacing w:after="140"/>
        <w:jc w:val="left"/>
      </w:pPr>
      <w:r>
        <w:t xml:space="preserve">Same discipline as L2: where the surrogate genuinely cannot reach a defensible answer, the output is honestly absent. No fabricated number ships in its place.</w:t>
      </w:r>
    </w:p>
    <w:p>
      <w:pPr>
        <w:pStyle w:val="Heading2"/>
      </w:pPr>
      <w:r>
        <w:t xml:space="preserve">11.1 Genuine wet-only territory</w:t>
      </w:r>
    </w:p>
    <w:p>
      <w:pPr>
        <w:spacing w:after="60"/>
      </w:pPr>
      <w:r>
        <w:t xml:space="preserve"/>
      </w:r>
    </w:p>
    <w:p>
      <w:pPr>
        <w:pStyle w:val="ListParagraph"/>
        <w:numPr>
          <w:ilvl w:val="0"/>
          <w:numId w:val="2"/>
        </w:numPr>
        <w:spacing w:after="70"/>
      </w:pPr>
      <w:r>
        <w:t xml:space="preserve">Real-time perfusion kinetics in coupled multi-organ chips. Surrogate produces a static prediction; coupling kinetics require actual fluid flow on a chip. Marked out-of-scope on the L3 UI for programmes that need it; routes to T3 vendor adapter (CN Bio multi-organ, TissUse HUMIMIC).</w:t>
      </w:r>
    </w:p>
    <w:p>
      <w:pPr>
        <w:pStyle w:val="ListParagraph"/>
        <w:numPr>
          <w:ilvl w:val="0"/>
          <w:numId w:val="2"/>
        </w:numPr>
        <w:spacing w:after="70"/>
      </w:pPr>
      <w:r>
        <w:t xml:space="preserve">Patient-derived non-cancer organoid efficacy. HUB Foundation has real biological IP (Clevers patents). The surrogate predicts via cell-type aggregation, with wider error bars and an explicit "non-cancer organoid prediction is calibrated against published lines, not patient-derived" label. Programs that need actual patient-derived non-cancer organoid data route to T3 with a HUB sublicense.</w:t>
      </w:r>
    </w:p>
    <w:p>
      <w:pPr>
        <w:pStyle w:val="ListParagraph"/>
        <w:numPr>
          <w:ilvl w:val="0"/>
          <w:numId w:val="2"/>
        </w:numPr>
        <w:spacing w:after="70"/>
      </w:pPr>
      <w:r>
        <w:t xml:space="preserve">Specific adaptive immune responses. No public training data of meaningful size; out of scope for the surrogate. Programmes routed through CRO immune-organoid panels when relevant.</w:t>
      </w:r>
    </w:p>
    <w:p>
      <w:pPr>
        <w:pStyle w:val="ListParagraph"/>
        <w:numPr>
          <w:ilvl w:val="0"/>
          <w:numId w:val="2"/>
        </w:numPr>
        <w:spacing w:after="70"/>
      </w:pPr>
      <w:r>
        <w:t xml:space="preserve">GLP-grade hepatotox or cardiotox claims for IND submission. T0 is triage-grade; regulatory-grade claims require T2 (CRO under GLP) or T3 (vendor with qualified protocol). Cascade flag 4 enforces this.</w:t>
      </w:r>
    </w:p>
    <w:p>
      <w:pPr>
        <w:pStyle w:val="Heading2"/>
      </w:pPr>
      <w:r>
        <w:t xml:space="preserve">11.2 What the user sees in the stub-honest cases</w:t>
      </w:r>
    </w:p>
    <w:p>
      <w:pPr>
        <w:spacing w:after="140"/>
        <w:jc w:val="left"/>
      </w:pPr>
      <w:r>
        <w:t xml:space="preserve">Same pattern as the L2 GPU-only cards. A clear card with the layer / readout name, an "Out of scope for in-silico surrogate" or "Wet anchoring required" message, and a routing button (request CRO panel / connect vendor adapter). No number, no fake confidence interval, no progress bar that does nothing. The honesty discipline carries forward.</w:t>
      </w:r>
    </w:p>
    <w:p>
      <w:pPr>
        <w:pStyle w:val="Heading1"/>
        <w:pageBreakBefore/>
      </w:pPr>
      <w:r>
        <w:t xml:space="preserve">12. Migration Plan</w:t>
      </w:r>
    </w:p>
    <w:p>
      <w:pPr>
        <w:spacing w:after="140"/>
        <w:jc w:val="left"/>
      </w:pPr>
      <w:r>
        <w:t xml:space="preserve">This document changes direction; the existing artefacts need to follow. Three docs need updates and one new doc supersedes a section of an old one.</w:t>
      </w:r>
    </w:p>
    <w:p>
      <w:pPr>
        <w:pStyle w:val="Heading2"/>
      </w:pPr>
      <w:r>
        <w:t xml:space="preserve">12.1 Document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Document</w:t>
            </w:r>
          </w:p>
        </w:tc>
        <w:tc>
          <w:tcPr>
            <w:tcW w:type="dxa" w:w="58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Change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HakaseBio_4Layer_Architecture_Research.docx</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§5 (L3 Ex-Vivo) was vendor-partnership-first. Add a forward note pointing to the present spec. Future revision should rewrite §5 to put T0 surrogate first and treat vendor partnerships as Tier-3 opt-in. Top-three priority partnerships in §5.5 become "optional partnerships per programme."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HAIOps_Bio_4Layer_Implementation_Playbook.docx</w:t>
            </w:r>
          </w:p>
        </w:tc>
        <w:tc>
          <w:tcPr>
            <w:tcW w:type="dxa" w:w="5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§7.4 (L3 Teal stack additions) listed vendor adapters as primary. Update to put CELLxGENE Census + GTEx + DILIrank + HCMI + DepMap as primary L3 data sources; vendor adapters become Tier-3 opt-in. §10.1 (vendor data lock-in risk) is downgraded — the surrogate makes the layer runnable without a vendor.</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The_Story_of_the_Redesign.docx</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Chapter 4 (L3 — The Truth Oven) currently describes L3 as wet-lab-first with three tiers. Update to reflect tier-0 as the default; the wet tiers become opt-in upgrades. Engineer-facing voice carries forward.</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HakaseBio_Layer3_InSilico_Surrogate_Spec.docx</w:t>
            </w:r>
          </w:p>
        </w:tc>
        <w:tc>
          <w:tcPr>
            <w:tcW w:type="dxa" w:w="5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New (this doc). The implementation spec for the T0 surrogate.</w:t>
            </w:r>
          </w:p>
        </w:tc>
      </w:tr>
    </w:tbl>
    <w:p>
      <w:pPr>
        <w:spacing w:after="140"/>
      </w:pPr>
      <w:r>
        <w:t xml:space="preserve"/>
      </w:r>
    </w:p>
    <w:p>
      <w:pPr>
        <w:pStyle w:val="Heading2"/>
      </w:pPr>
      <w:r>
        <w:t xml:space="preserve">12.2 Cascade and HAIOps impact</w:t>
      </w:r>
    </w:p>
    <w:p>
      <w:pPr>
        <w:spacing w:after="140"/>
        <w:jc w:val="left"/>
      </w:pPr>
      <w:r>
        <w:t xml:space="preserve">No structural change to the framework. The five pillars, six-flag cascade, five-phase lifecycle, and the digital workforce wiring all carry forward unchanged. What changes is the L3 implementation that those scaffolds govern. The Teal Curator now owns a real engine to gate, not a stub. The Performance &amp; Lineage Swarm now has T0-vs-wet fold-error to track. The Compliance Swarm now has QMRF + V&amp;V40 + fold-error reports to validate at L3 release time.</w:t>
      </w:r>
    </w:p>
    <w:p>
      <w:pPr>
        <w:pStyle w:val="Heading2"/>
      </w:pPr>
      <w:r>
        <w:t xml:space="preserve">12.3 What does not change</w:t>
      </w:r>
    </w:p>
    <w:p>
      <w:pPr>
        <w:spacing w:after="60"/>
      </w:pPr>
      <w:r>
        <w:t xml:space="preserve"/>
      </w:r>
    </w:p>
    <w:p>
      <w:pPr>
        <w:pStyle w:val="ListParagraph"/>
        <w:numPr>
          <w:ilvl w:val="0"/>
          <w:numId w:val="2"/>
        </w:numPr>
        <w:spacing w:after="70"/>
      </w:pPr>
      <w:r>
        <w:t xml:space="preserve">L1 implementation. Already real; no change.</w:t>
      </w:r>
    </w:p>
    <w:p>
      <w:pPr>
        <w:pStyle w:val="ListParagraph"/>
        <w:numPr>
          <w:ilvl w:val="0"/>
          <w:numId w:val="2"/>
        </w:numPr>
        <w:spacing w:after="70"/>
      </w:pPr>
      <w:r>
        <w:t xml:space="preserve">L2 implementation. 8 of 10 stages real; 2 GPU-only stages remain honestly out-of-scope.</w:t>
      </w:r>
    </w:p>
    <w:p>
      <w:pPr>
        <w:pStyle w:val="ListParagraph"/>
        <w:numPr>
          <w:ilvl w:val="0"/>
          <w:numId w:val="2"/>
        </w:numPr>
        <w:spacing w:after="70"/>
      </w:pPr>
      <w:r>
        <w:t xml:space="preserve">L4 implementation. Real PBPK; the L3 → L4 envelope gains a tier field but the L4 logic is otherwise unchanged.</w:t>
      </w:r>
    </w:p>
    <w:p>
      <w:pPr>
        <w:pStyle w:val="ListParagraph"/>
        <w:numPr>
          <w:ilvl w:val="0"/>
          <w:numId w:val="2"/>
        </w:numPr>
        <w:spacing w:after="70"/>
      </w:pPr>
      <w:r>
        <w:t xml:space="preserve">Cascade engine. Same six flags, same gating, same audit trail.</w:t>
      </w:r>
    </w:p>
    <w:p>
      <w:pPr>
        <w:pStyle w:val="ListParagraph"/>
        <w:numPr>
          <w:ilvl w:val="0"/>
          <w:numId w:val="2"/>
        </w:numPr>
        <w:spacing w:after="70"/>
      </w:pPr>
      <w:r>
        <w:t xml:space="preserve">L4 → Clinical handoff API. Tier metadata propagates into the package; the API contract itself is unchanged.</w:t>
      </w:r>
    </w:p>
    <w:p>
      <w:pPr>
        <w:pStyle w:val="Heading1"/>
        <w:pageBreakBefore/>
      </w:pPr>
      <w:r>
        <w:t xml:space="preserve">13. Risks Specific to the Surrogate Direction</w:t>
      </w:r>
    </w:p>
    <w:p>
      <w:pPr>
        <w:pStyle w:val="Heading2"/>
      </w:pPr>
      <w:r>
        <w:t xml:space="preserve">13.1 The fold-error bands are honest, which means they are wide</w:t>
      </w:r>
    </w:p>
    <w:p>
      <w:pPr>
        <w:spacing w:after="140"/>
        <w:jc w:val="left"/>
      </w:pPr>
      <w:r>
        <w:t xml:space="preserve">A 3–5× fold-error on predicted organoid IC50 is the honest number against the available calibration cohorts. Programmes that are used to wet readouts will find this wide. The mitigation is the discipline itself — we do not narrow the band ahead of the data, we surface the band prominently, and we route to T2 / T3 when the programme cannot tolerate the band. A wide band that is honest beats a narrow band that is fabricated.</w:t>
      </w:r>
    </w:p>
    <w:p>
      <w:pPr>
        <w:pStyle w:val="Heading2"/>
      </w:pPr>
      <w:r>
        <w:t xml:space="preserve">13.2 The DILI dataset is small</w:t>
      </w:r>
    </w:p>
    <w:p>
      <w:pPr>
        <w:spacing w:after="140"/>
        <w:jc w:val="left"/>
      </w:pPr>
      <w:r>
        <w:t xml:space="preserve">DILIrank is ~700 compounds. LTKB extends it modestly. State-of-the-art DILI predictors trained on these get to ~0.78–0.85 AUC on held-out scaffolds, no better. T0 hepatotox prediction is bounded by what 700 compounds can teach. Mitigation: cascade flag 4 forces the QMRF + V&amp;V40 + fold-error documentation that anchors the limitation. The output is triage-grade; this is labelled.</w:t>
      </w:r>
    </w:p>
    <w:p>
      <w:pPr>
        <w:pStyle w:val="Heading2"/>
      </w:pPr>
      <w:r>
        <w:t xml:space="preserve">13.3 Cell-type composition tables are approximate</w:t>
      </w:r>
    </w:p>
    <w:p>
      <w:pPr>
        <w:spacing w:after="140"/>
        <w:jc w:val="left"/>
      </w:pPr>
      <w:r>
        <w:t xml:space="preserve">Organoid composition (hepatocyte / cholangiocyte / Kupffer / stellate fractions, etc.) varies between protocols, between batches, between labs. The composition table is curated from published characterisations and represents a typical organoid, not a specific one. Mitigation: the table is versioned, every output cites the table version, and as we accumulate paired vendor / CRO data we calibrate organoid-response-ml against it rather than the structural prediction alone.</w:t>
      </w:r>
    </w:p>
    <w:p>
      <w:pPr>
        <w:pStyle w:val="Heading2"/>
      </w:pPr>
      <w:r>
        <w:t xml:space="preserve">13.4 Patient-line projection is oncology-skewed</w:t>
      </w:r>
    </w:p>
    <w:p>
      <w:pPr>
        <w:spacing w:after="140"/>
        <w:jc w:val="left"/>
      </w:pPr>
      <w:r>
        <w:t xml:space="preserve">HCMI is rich for cancer organoids; DepMap PRISM is rich for cancer cell lines. Non-cancer programmes have meaningfully less per-line variance data. Mitigation: `patientLineProjection.ts` returns null for indications outside its applicability domain, and the L3 UI explicitly marks non-oncology compounds as having no patient-line variance prediction available rather than emitting a misleading single-line projection.</w:t>
      </w:r>
    </w:p>
    <w:p>
      <w:pPr>
        <w:pStyle w:val="Heading2"/>
      </w:pPr>
      <w:r>
        <w:t xml:space="preserve">13.5 The "good enough" trap</w:t>
      </w:r>
    </w:p>
    <w:p>
      <w:pPr>
        <w:spacing w:after="140"/>
        <w:jc w:val="left"/>
      </w:pPr>
      <w:r>
        <w:t xml:space="preserve">Once T0 is runnable, there is a real risk that programmes use only T0 because it is free and fast — and skip the wet anchoring that makes regulatory-grade claims defensible. Mitigation: the cascade flag 4 (Regulatory) gating at L3, plus the Amber Curator's refusal to sign a handoff package whose load-bearing claims rest only on T0. Triage decisions can be T0-only. Regulatory decisions cannot.</w:t>
      </w:r>
    </w:p>
    <w:p>
      <w:pPr>
        <w:pStyle w:val="Heading2"/>
      </w:pPr>
      <w:r>
        <w:t xml:space="preserve">13.6 Continuous calibration drift</w:t>
      </w:r>
    </w:p>
    <w:p>
      <w:pPr>
        <w:spacing w:after="140"/>
        <w:jc w:val="left"/>
      </w:pPr>
      <w:r>
        <w:t xml:space="preserve">As we accumulate T2 / T3 wet data, the calibration cohort grows and the fold-error bands shift. This is a feature, not a bug — but it requires discipline. The Performance &amp; Lineage Swarm tracks the cohort, the organoid-response-ml model retrains on schedule, and the surfaced fold-error band updates. We never freeze a band that the data has moved past.</w:t>
      </w:r>
    </w:p>
    <w:p>
      <w:pPr>
        <w:pStyle w:val="Heading1"/>
        <w:pageBreakBefore/>
      </w:pPr>
      <w:r>
        <w:t xml:space="preserve">Appendix A — One-Page Summary</w:t>
      </w:r>
    </w:p>
    <w:p>
      <w:pPr>
        <w:spacing w:after="140"/>
        <w:jc w:val="left"/>
      </w:pPr>
      <w:r>
        <w:t xml:space="preserve">A single page for the team to print or paste into the L3 onboarding doc.</w:t>
      </w:r>
    </w:p>
    <w:p>
      <w:pPr>
        <w:spacing w:after="140"/>
      </w:pPr>
      <w:r>
        <w:t xml:space="preserve"/>
      </w:r>
    </w:p>
    <w:p>
      <w:pPr>
        <w:spacing w:after="140"/>
        <w:jc w:val="left"/>
      </w:pPr>
      <w:r>
        <w:rPr>
          <w:b/>
          <w:bCs/>
        </w:rPr>
        <w:t xml:space="preserve">Direction: </w:t>
      </w:r>
      <w:r>
        <w:t xml:space="preserve">L3 is now in-silico surrogate first. Heuristic + ML pattern, mirroring L1. Vendors and CROs are opt-in, not gating.</w:t>
      </w:r>
    </w:p>
    <w:p>
      <w:pPr>
        <w:spacing w:after="140"/>
        <w:jc w:val="left"/>
      </w:pPr>
      <w:r>
        <w:rPr>
          <w:b/>
          <w:bCs/>
        </w:rPr>
        <w:t xml:space="preserve">Tiers: </w:t>
      </w:r>
      <w:r>
        <w:t xml:space="preserve">T0 in-silico surrogate (default, runnable from day one) · T1 public-data anchored retrieval · T2 CRO wet panel (Charles River, Eurofins, Inotiv, WuXi, Pharmaron — fee-for-service) · T3 optional vendor adapter.</w:t>
      </w:r>
    </w:p>
    <w:p>
      <w:pPr>
        <w:spacing w:after="140"/>
        <w:jc w:val="left"/>
      </w:pPr>
      <w:r>
        <w:rPr>
          <w:b/>
          <w:bCs/>
        </w:rPr>
        <w:t xml:space="preserve">What T0 predicts: </w:t>
      </w:r>
      <w:r>
        <w:t xml:space="preserve">tissue-selectivity matrix (54 organs) · cell-type efficacy (Drug2cell pattern) · organoid efficacy (composition-aggregated) · DILI severity + mechanism (DILIrank-trained) · patient-line variance (oncology, HCMI) · permeability + Kp,uu · transporter flags.</w:t>
      </w:r>
    </w:p>
    <w:p>
      <w:pPr>
        <w:spacing w:after="140"/>
        <w:jc w:val="left"/>
      </w:pPr>
      <w:r>
        <w:rPr>
          <w:b/>
          <w:bCs/>
        </w:rPr>
        <w:t xml:space="preserve">What T0 does not predict: </w:t>
      </w:r>
      <w:r>
        <w:t xml:space="preserve">multi-organ coupling kinetics, patient-derived non-cancer organoid efficacy, adaptive immune responses, GLP-grade tox claims. These are honestly absent and routed to T2 / T3.</w:t>
      </w:r>
    </w:p>
    <w:p>
      <w:pPr>
        <w:spacing w:after="140"/>
        <w:jc w:val="left"/>
      </w:pPr>
      <w:r>
        <w:rPr>
          <w:b/>
          <w:bCs/>
        </w:rPr>
        <w:t xml:space="preserve">Build size: </w:t>
      </w:r>
      <w:r>
        <w:t xml:space="preserve">~6 new lib modules (~1,500–2,200 lines TypeScript) · 3 ML services (small) · 1 external API ingest (CELLxGENE Census) · ~3–5 weeks for stages 1–6.</w:t>
      </w:r>
    </w:p>
    <w:p>
      <w:pPr>
        <w:spacing w:after="140"/>
        <w:jc w:val="left"/>
      </w:pPr>
      <w:r>
        <w:rPr>
          <w:b/>
          <w:bCs/>
        </w:rPr>
        <w:t xml:space="preserve">Honest confidence: </w:t>
      </w:r>
      <w:r>
        <w:t xml:space="preserve">every T0 output carries computation method + training cohort hash + applicability domain + measured fold-error band against wet calibration cohort. UI badge reads "T0 in-silico surrogate · predicted, not measured."</w:t>
      </w:r>
    </w:p>
    <w:p>
      <w:pPr>
        <w:spacing w:after="140"/>
        <w:jc w:val="left"/>
      </w:pPr>
      <w:r>
        <w:rPr>
          <w:b/>
          <w:bCs/>
        </w:rPr>
        <w:t xml:space="preserve">Cascade gating: </w:t>
      </w:r>
      <w:r>
        <w:t xml:space="preserve">flag 4 (Regulatory) requires QMRF + V&amp;V40 + fold-error report on every ML model. Amber Curator at L4 refuses to sign clinical handoff packages whose load-bearing claims rest only on T0.</w:t>
      </w:r>
    </w:p>
    <w:p>
      <w:pPr>
        <w:spacing w:after="140"/>
        <w:jc w:val="left"/>
      </w:pPr>
      <w:r>
        <w:rPr>
          <w:b/>
          <w:bCs/>
        </w:rPr>
        <w:t xml:space="preserve">Honesty rule: </w:t>
      </w:r>
      <w:r>
        <w:t xml:space="preserve">we do not produce a number we cannot defend. Where the surrogate cannot reach a defensible answer, the output is honestly absent — same pattern L2 uses for GPU-only stages.</w:t>
      </w:r>
    </w:p>
    <w:p>
      <w:pPr>
        <w:pStyle w:val="Heading1"/>
        <w:pageBreakBefore/>
      </w:pPr>
      <w:r>
        <w:t xml:space="preserve">Appendix B — Module Build Order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500"/>
        <w:gridCol w:w="3760"/>
      </w:tblGrid>
      <w:tr>
        <w:trPr>
          <w:tblHeader/>
        </w:trPr>
        <w:tc>
          <w:tcPr>
            <w:tcW w:type="dxa" w:w="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Stage</w:t>
            </w:r>
          </w:p>
        </w:tc>
        <w:tc>
          <w:tcPr>
            <w:tcW w:type="dxa" w:w="3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Build</w:t>
            </w:r>
          </w:p>
        </w:tc>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Effort</w:t>
            </w:r>
          </w:p>
        </w:tc>
        <w:tc>
          <w:tcPr>
            <w:tcW w:type="dxa" w:w="37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30"/>
            </w:pPr>
            <w:r>
              <w:rPr>
                <w:b/>
                <w:bCs/>
                <w:sz w:val="18"/>
                <w:szCs w:val="18"/>
              </w:rPr>
              <w:t xml:space="preserve">Result</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1</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tissueSelectivity.ts + transporterFlags.ts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3–5 days</w:t>
            </w:r>
          </w:p>
        </w:tc>
        <w:tc>
          <w:tcPr>
            <w:tcW w:type="dxa" w:w="3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L3 Run button enabled; tissue-selectivity card rendered</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2</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dili-ml + hepatotoxPredictor.ts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5–7 days</w:t>
            </w:r>
          </w:p>
        </w:tc>
        <w:tc>
          <w:tcPr>
            <w:tcW w:type="dxa" w:w="3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Hepatotox card with calibrated confidence</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3</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cellTypeAggregator.ts (CELLxGENE)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7–10 days</w:t>
            </w:r>
          </w:p>
        </w:tc>
        <w:tc>
          <w:tcPr>
            <w:tcW w:type="dxa" w:w="3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Organoid efficacy cards with fold-error band</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4</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patientLineProjection.ts (HCMI + DepMap)</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5–7 days</w:t>
            </w:r>
          </w:p>
        </w:tc>
        <w:tc>
          <w:tcPr>
            <w:tcW w:type="dxa" w:w="3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Oncology patient-line variance card</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5</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DILI biomarker proxy + permeability/Kp,uu surfacing</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3 days</w:t>
            </w:r>
          </w:p>
        </w:tc>
        <w:tc>
          <w:tcPr>
            <w:tcW w:type="dxa" w:w="3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Final card set on L3 page</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6</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Cascade integration tests + L3→L4 envelope tier field</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2–3 days</w:t>
            </w:r>
          </w:p>
        </w:tc>
        <w:tc>
          <w:tcPr>
            <w:tcW w:type="dxa" w:w="3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End-to-end pipeline verified; Amber Curator gating in place</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7</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T1 public-data retrieval (parallel)</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5–7 days</w:t>
            </w:r>
          </w:p>
        </w:tc>
        <w:tc>
          <w:tcPr>
            <w:tcW w:type="dxa" w:w="3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30"/>
            </w:pPr>
            <w:r>
              <w:rPr>
                <w:b w:val="false"/>
                <w:bCs w:val="false"/>
                <w:sz w:val="18"/>
                <w:szCs w:val="18"/>
              </w:rPr>
              <w:t xml:space="preserve">Public-data analog cards inline with T0</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8</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T2 / T3 procurement + vendor adapter hooks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later</w:t>
            </w:r>
          </w:p>
        </w:tc>
        <w:tc>
          <w:tcPr>
            <w:tcW w:type="dxa" w:w="3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30"/>
            </w:pPr>
            <w:r>
              <w:rPr>
                <w:b w:val="false"/>
                <w:bCs w:val="false"/>
                <w:sz w:val="18"/>
                <w:szCs w:val="18"/>
              </w:rPr>
              <w:t xml:space="preserve">Wet anchoring becomes a routed action, not a gate</w:t>
            </w:r>
          </w:p>
        </w:tc>
      </w:tr>
    </w:tbl>
    <w:p>
      <w:pPr>
        <w:spacing w:after="140"/>
      </w:pPr>
      <w:r>
        <w:t xml:space="preserve"/>
      </w:r>
    </w:p>
    <w:p>
      <w:pPr>
        <w:pStyle w:val="Heading1"/>
        <w:pageBreakBefore/>
      </w:pPr>
      <w:r>
        <w:t xml:space="preserve">Appendix C — Cross-Reference</w:t>
      </w:r>
    </w:p>
    <w:p>
      <w:pPr>
        <w:spacing w:after="140"/>
        <w:jc w:val="left"/>
      </w:pPr>
      <w:r>
        <w:t xml:space="preserve">Other documents in the Bio set, and how this spec relates to each:</w:t>
      </w:r>
    </w:p>
    <w:p>
      <w:pPr>
        <w:spacing w:after="60"/>
      </w:pPr>
      <w:r>
        <w:t xml:space="preserve"/>
      </w:r>
    </w:p>
    <w:p>
      <w:pPr>
        <w:spacing w:after="140"/>
      </w:pPr>
      <w:r>
        <w:rPr>
          <w:b/>
          <w:bCs/>
        </w:rPr>
        <w:t xml:space="preserve">HakaseBio_4Layer_Architecture_Research.docx</w:t>
      </w:r>
      <w:r>
        <w:t xml:space="preserve"> — comprehensive databases / models / regulatory reference. §5 (L3) is the section this spec pivots; §1 / §3 / §7 / §8 carry forward unchanged.</w:t>
      </w:r>
    </w:p>
    <w:p>
      <w:pPr>
        <w:spacing w:after="140"/>
      </w:pPr>
      <w:r>
        <w:rPr>
          <w:b/>
          <w:bCs/>
        </w:rPr>
        <w:t xml:space="preserve">HAIOps_Bio_4Layer_Implementation_Playbook.docx</w:t>
      </w:r>
      <w:r>
        <w:t xml:space="preserve"> — HAIOps wiring across all four layers. §7.4 (L3 stack additions) and §10.1 (vendor lock-in risk) need minor updates per §12 of this spec; the framework itself is unchanged.</w:t>
      </w:r>
    </w:p>
    <w:p>
      <w:pPr>
        <w:spacing w:after="140"/>
      </w:pPr>
      <w:r>
        <w:rPr>
          <w:b/>
          <w:bCs/>
        </w:rPr>
        <w:t xml:space="preserve">The_Story_of_the_Redesign.docx</w:t>
      </w:r>
      <w:r>
        <w:t xml:space="preserve"> — engineer-friendly narrative. Chapter 4 (L3 — The Truth Oven) needs a re-shoot in the surrogate-first frame; the rest carries forward.</w:t>
      </w:r>
    </w:p>
    <w:p>
      <w:pPr>
        <w:spacing w:after="140"/>
      </w:pPr>
      <w:r>
        <w:rPr>
          <w:b/>
          <w:bCs/>
        </w:rPr>
        <w:t xml:space="preserve">HakaseAI_Layer1_Validation_Benchmark_Spec.docx</w:t>
      </w:r>
      <w:r>
        <w:t xml:space="preserve"> — the L1 reference this spec mirrors. Same pattern, same discipline.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AKTHealth · HakaseAI · May 2026 · v1.0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Hakase Bio L3 — In-Silico Surrogate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Hakase Bio Layer 3 — In-Silico Surrogate Strategy and Build Spec</dc:title>
  <dc:creator>AKTHealth — HakaseAI</dc:creator>
  <dc:description>L3 direction pivot: heuristic + ML surrogate as default, vendor adapters as opt-in. Mirrors the L1 honest-implementation pattern. May 2026 v1.0.</dc:description>
  <cp:lastModifiedBy>Un-named</cp:lastModifiedBy>
  <cp:revision>1</cp:revision>
  <dcterms:created xsi:type="dcterms:W3CDTF">2026-05-03T09:25:35.193Z</dcterms:created>
  <dcterms:modified xsi:type="dcterms:W3CDTF">2026-05-03T09:25:35.198Z</dcterms:modified>
</cp:coreProperties>
</file>

<file path=docProps/custom.xml><?xml version="1.0" encoding="utf-8"?>
<Properties xmlns="http://schemas.openxmlformats.org/officeDocument/2006/custom-properties" xmlns:vt="http://schemas.openxmlformats.org/officeDocument/2006/docPropsVTypes"/>
</file>