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sz w:val="40"/>
          <w:szCs w:val="40"/>
        </w:rPr>
        <w:t xml:space="preserve">Hakase BioDigital Twin</w:t>
      </w:r>
    </w:p>
    <w:p>
      <w:pPr>
        <w:spacing w:after="240" w:before="0"/>
        <w:jc w:val="center"/>
      </w:pPr>
      <w:r>
        <w:rPr>
          <w:rFonts w:ascii="Calibri" w:cs="Calibri" w:eastAsia="Calibri" w:hAnsi="Calibri"/>
          <w:b/>
          <w:bCs/>
          <w:color w:val="1F4E79"/>
          <w:sz w:val="32"/>
          <w:szCs w:val="32"/>
        </w:rPr>
        <w:t xml:space="preserve">Confirmation Architecture Specification — v2.0.0</w:t>
      </w:r>
    </w:p>
    <w:p>
      <w:pPr>
        <w:spacing w:after="80" w:before="0"/>
        <w:jc w:val="center"/>
      </w:pPr>
      <w:r>
        <w:rPr>
          <w:rFonts w:ascii="Calibri" w:cs="Calibri" w:eastAsia="Calibri" w:hAnsi="Calibri"/>
          <w:i/>
          <w:iCs/>
          <w:color w:val="595959"/>
          <w:sz w:val="24"/>
          <w:szCs w:val="24"/>
        </w:rPr>
        <w:t xml:space="preserve">Three-Layer Pre-Clinical Architecture with Integrated Phase 1 Planning</w:t>
      </w:r>
    </w:p>
    <w:p>
      <w:pPr>
        <w:spacing w:after="80" w:before="0"/>
        <w:jc w:val="center"/>
      </w:pPr>
      <w:r>
        <w:rPr>
          <w:rFonts w:ascii="Consolas" w:cs="Consolas" w:eastAsia="Consolas" w:hAnsi="Consolas"/>
          <w:color w:val="595959"/>
          <w:sz w:val="22"/>
          <w:szCs w:val="22"/>
        </w:rPr>
        <w:t xml:space="preserve">L1 In-Vitro → L2 Confirmation → L3 Animal Cohort → Phase 1 Planning</w:t>
      </w:r>
    </w:p>
    <w:p>
      <w:pPr>
        <w:spacing w:after="60" w:before="480"/>
        <w:jc w:val="center"/>
      </w:pPr>
      <w:r>
        <w:rPr>
          <w:rFonts w:ascii="Calibri" w:cs="Calibri" w:eastAsia="Calibri" w:hAnsi="Calibri"/>
          <w:b/>
          <w:bCs/>
          <w:sz w:val="24"/>
          <w:szCs w:val="24"/>
        </w:rPr>
        <w:t xml:space="preserve">AKTHealth · HakaseAI</w:t>
      </w:r>
    </w:p>
    <w:p>
      <w:pPr>
        <w:spacing w:after="60" w:before="0"/>
        <w:jc w:val="center"/>
      </w:pPr>
      <w:r>
        <w:rPr>
          <w:rFonts w:ascii="Calibri" w:cs="Calibri" w:eastAsia="Calibri" w:hAnsi="Calibri"/>
          <w:sz w:val="22"/>
          <w:szCs w:val="22"/>
        </w:rPr>
        <w:t xml:space="preserve">Pre-Clinical Module · Small Molecules · TA-Agnostic</w:t>
      </w:r>
    </w:p>
    <w:p>
      <w:pPr>
        <w:spacing w:after="60" w:before="0"/>
        <w:jc w:val="center"/>
      </w:pPr>
      <w:r>
        <w:rPr>
          <w:rFonts w:ascii="Calibri" w:cs="Calibri" w:eastAsia="Calibri" w:hAnsi="Calibri"/>
          <w:i/>
          <w:iCs/>
          <w:color w:val="C00000"/>
          <w:sz w:val="22"/>
          <w:szCs w:val="22"/>
        </w:rPr>
        <w:t xml:space="preserve">Status: Design Proposal — Draft for Engineering and Architecture Review</w:t>
      </w:r>
    </w:p>
    <w:p>
      <w:pPr>
        <w:spacing w:after="60" w:before="0"/>
        <w:jc w:val="center"/>
      </w:pPr>
      <w:r>
        <w:rPr>
          <w:rFonts w:ascii="Calibri" w:cs="Calibri" w:eastAsia="Calibri" w:hAnsi="Calibri"/>
          <w:sz w:val="22"/>
          <w:szCs w:val="22"/>
        </w:rPr>
        <w:t xml:space="preserve">May 2026</w:t>
      </w:r>
    </w:p>
    <w:p>
      <w:pPr>
        <w:spacing w:after="60" w:before="0"/>
        <w:jc w:val="center"/>
      </w:pPr>
      <w:r>
        <w:rPr>
          <w:rFonts w:ascii="Calibri" w:cs="Calibri" w:eastAsia="Calibri" w:hAnsi="Calibri"/>
          <w:color w:val="595959"/>
          <w:sz w:val="20"/>
          <w:szCs w:val="20"/>
        </w:rPr>
        <w:t xml:space="preserve">Supersedes: HakaseBio_4Layer_Architecture_Research (April 2026) and v1.x PreClinicalPackage</w:t>
      </w:r>
    </w:p>
    <w:p>
      <w:r>
        <w:br w:type="page"/>
      </w:r>
    </w:p>
    <w:p>
      <w:pPr>
        <w:pStyle w:val="Heading1"/>
        <w:spacing w:after="160" w:before="320"/>
      </w:pPr>
      <w:r>
        <w:rPr>
          <w:rFonts w:ascii="Calibri" w:cs="Calibri" w:eastAsia="Calibri" w:hAnsi="Calibri"/>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sz w:val="32"/>
          <w:szCs w:val="32"/>
        </w:rPr>
        <w:t xml:space="preserve">1. Executive Summary</w:t>
      </w:r>
    </w:p>
    <w:p>
      <w:pPr>
        <w:spacing w:after="80" w:before="80" w:line="300"/>
        <w:jc w:val="left"/>
      </w:pPr>
      <w:r>
        <w:rPr>
          <w:rFonts w:ascii="Calibri" w:cs="Calibri" w:eastAsia="Calibri" w:hAnsi="Calibri"/>
          <w:sz w:val="22"/>
          <w:szCs w:val="22"/>
        </w:rPr>
        <w:t xml:space="preserve">This document specifies v2.0.0 of the Hakase BioDigital Twin pre-clinical architecture. It supersedes the four-layer model adopted in the April 2026 redesign and folds the previously-separate Clinical-module Phase 1 Planner into the same product surface. The result is a three-layer pre-clinical pipeline (In-Vitro → Confirmation → Animal Cohort) followed by an integrated Phase 1 Planning stage that consumes a single typed package from the upstream layers.</w:t>
      </w:r>
    </w:p>
    <w:p>
      <w:pPr>
        <w:spacing w:after="80" w:before="80" w:line="300"/>
        <w:jc w:val="left"/>
      </w:pPr>
      <w:r>
        <w:rPr>
          <w:rFonts w:ascii="Calibri" w:cs="Calibri" w:eastAsia="Calibri" w:hAnsi="Calibri"/>
          <w:sz w:val="22"/>
          <w:szCs w:val="22"/>
        </w:rPr>
        <w:t xml:space="preserve">The architectural pivot from four layers to three is driven by partner-facing concerns. The April 2026 redesign correctly placed the cheap in-silico filter immediately after in-vitro to fix the cost curve, but it exposed in-silico and ex-vivo as two separate external waypoints. In conversations with academic and biotech partners, this added complexity without commensurate value: most partners do not care which compute box ran which assay, they care about the confirmation envelope. v2.0.0 collapses in-silico and ex-vivo into a single externally-visible Confirmation Layer with two internal sub-tracks. The cost-curve discipline of the April redesign is preserved through write-time enforcement of an in-silico-to-ex-vivo directive contract: ex-vivo cannot start without consuming a typed PreConfirmationDirective from in-silico. The cheap filter still runs first; it is no longer a separate waypoint.</w:t>
      </w:r>
    </w:p>
    <w:p>
      <w:pPr>
        <w:spacing w:after="80" w:before="80" w:line="300"/>
        <w:jc w:val="left"/>
      </w:pPr>
      <w:r>
        <w:rPr>
          <w:rFonts w:ascii="Calibri" w:cs="Calibri" w:eastAsia="Calibri" w:hAnsi="Calibri"/>
          <w:sz w:val="22"/>
          <w:szCs w:val="22"/>
        </w:rPr>
        <w:t xml:space="preserve">Folding Phase 1 Planning into the same product is a scope decision rather than an architectural one. Earlier versions treated the L4 → Clinical boundary as a CDISC SEND / FHIR R5 API handoff between the BioDigital Twin and a separate Hakase Clinical module. v2.0.0 retains those exchange formats at the boundary but treats Phase 1 Planning — derivation of MABEL, HED, FIH dose, IND-supporting sections — as an internal consumer of the ConfirmationPackage and AnimalCohortPackage rather than as a downstream module owned by a different team. This shortens the path from in-vitro hit to FIH plan and gives the platform a single defensible product narrative for early commercial engagement.</w:t>
      </w:r>
    </w:p>
    <w:p>
      <w:pPr>
        <w:spacing w:after="80" w:before="80" w:line="300"/>
        <w:jc w:val="left"/>
      </w:pPr>
      <w:r>
        <w:rPr>
          <w:rFonts w:ascii="Calibri" w:cs="Calibri" w:eastAsia="Calibri" w:hAnsi="Calibri"/>
          <w:sz w:val="22"/>
          <w:szCs w:val="22"/>
        </w:rPr>
        <w:t xml:space="preserve">The schema work is the load-bearing piece of v2.0.0. The previous PreClinicalPackage shape carried provenance as a flat list emitted by the terminal layer; v2.0.0 carries it as per-layer evidence blocks, each with its own gate status, override audit, falsifier set, and confidence vector. Joint outputs that cross layer boundaries (the §6.1.a CYP-Transporter and §6.1.b clearance-fractions sub-payloads in particular) are relocated from top-level fields to the Confirmation block with explicit pointers back to the L1 ML evidence they depend on. A typed PreConfirmationDirective and a typed FalsifierId registry replace the soft confidence-caveat pattern that v1 used. Override blocks carry an authority chain (actor, role, policy citation) symmetric with the evidence chain. The full set of changes is enumerated in section 5.</w:t>
      </w:r>
    </w:p>
    <w:p>
      <w:pPr>
        <w:spacing w:after="80" w:before="80" w:line="300"/>
        <w:jc w:val="left"/>
      </w:pPr>
      <w:r>
        <w:rPr>
          <w:rFonts w:ascii="Calibri" w:cs="Calibri" w:eastAsia="Calibri" w:hAnsi="Calibri"/>
          <w:sz w:val="22"/>
          <w:szCs w:val="22"/>
        </w:rPr>
        <w:t xml:space="preserve">The migration cost is real. The signature of derivePhase1Defaults shifts from flat-provenance to per-layer-confidence, and Phase1Planner's IND-gate logic must read gatePolicy from the package rather than from program configuration. Because v2 has no production consumers — Phase1Planner currently consumes v1.x — the pivot is being undertaken now, before the migration cost compounds. The implementation sequence is given in section 8.</w:t>
      </w:r>
    </w:p>
    <w:p>
      <w:pPr>
        <w:pStyle w:val="Heading2"/>
        <w:spacing w:after="120" w:before="260"/>
      </w:pPr>
      <w:r>
        <w:rPr>
          <w:rFonts w:ascii="Calibri" w:cs="Calibri" w:eastAsia="Calibri" w:hAnsi="Calibri"/>
          <w:b/>
          <w:bCs/>
          <w:sz w:val="28"/>
          <w:szCs w:val="28"/>
        </w:rPr>
        <w:t xml:space="preserve">Top-line conclusions</w:t>
      </w:r>
    </w:p>
    <w:p>
      <w:pPr>
        <w:pStyle w:val="ListParagraph"/>
        <w:numPr>
          <w:ilvl w:val="0"/>
          <w:numId w:val="2"/>
        </w:numPr>
        <w:spacing w:after="60" w:before="60" w:line="300"/>
      </w:pPr>
      <w:r>
        <w:rPr>
          <w:rFonts w:ascii="Calibri" w:cs="Calibri" w:eastAsia="Calibri" w:hAnsi="Calibri"/>
          <w:b/>
          <w:bCs/>
          <w:sz w:val="22"/>
          <w:szCs w:val="22"/>
        </w:rPr>
        <w:t xml:space="preserve">The three-layer external structure with sub-tracked Confirmation is the right shape.</w:t>
      </w:r>
      <w:r>
        <w:rPr>
          <w:rFonts w:ascii="Calibri" w:cs="Calibri" w:eastAsia="Calibri" w:hAnsi="Calibri"/>
          <w:sz w:val="22"/>
          <w:szCs w:val="22"/>
        </w:rPr>
        <w:t xml:space="preserve"> It preserves the cost-curve discipline of the April 2026 redesign while presenting partners with a cleaner waypoint model. The internal sub-track sequencing protects wet-lab budget; the external single-gate face supports collaboration economics.</w:t>
      </w:r>
    </w:p>
    <w:p>
      <w:pPr>
        <w:pStyle w:val="ListParagraph"/>
        <w:numPr>
          <w:ilvl w:val="0"/>
          <w:numId w:val="2"/>
        </w:numPr>
        <w:spacing w:after="60" w:before="60" w:line="300"/>
      </w:pPr>
      <w:r>
        <w:rPr>
          <w:rFonts w:ascii="Calibri" w:cs="Calibri" w:eastAsia="Calibri" w:hAnsi="Calibri"/>
          <w:b/>
          <w:bCs/>
          <w:sz w:val="22"/>
          <w:szCs w:val="22"/>
        </w:rPr>
        <w:t xml:space="preserve">Falsified ≠ low-confidence.</w:t>
      </w:r>
      <w:r>
        <w:rPr>
          <w:rFonts w:ascii="Calibri" w:cs="Calibri" w:eastAsia="Calibri" w:hAnsi="Calibri"/>
          <w:sz w:val="22"/>
          <w:szCs w:val="22"/>
        </w:rPr>
        <w:t xml:space="preserve"> The single most important typed property in v2.0.0. A prediction that has been actively contradicted by ex-vivo is not the same as a prediction that was never made or was made with low confidence. v1's confidenceCaveat field collapsed both into a softer joint number; v2.0.0 keeps them distinct, which is what makes the Phase 1 IND-gate decision (especially the MABEL bias case) defensible to a regulator.</w:t>
      </w:r>
    </w:p>
    <w:p>
      <w:pPr>
        <w:pStyle w:val="ListParagraph"/>
        <w:numPr>
          <w:ilvl w:val="0"/>
          <w:numId w:val="2"/>
        </w:numPr>
        <w:spacing w:after="60" w:before="60" w:line="300"/>
      </w:pPr>
      <w:r>
        <w:rPr>
          <w:rFonts w:ascii="Calibri" w:cs="Calibri" w:eastAsia="Calibri" w:hAnsi="Calibri"/>
          <w:b/>
          <w:bCs/>
          <w:sz w:val="22"/>
          <w:szCs w:val="22"/>
        </w:rPr>
        <w:t xml:space="preserve">Write-time enforcement, not soft validation.</w:t>
      </w:r>
      <w:r>
        <w:rPr>
          <w:rFonts w:ascii="Calibri" w:cs="Calibri" w:eastAsia="Calibri" w:hAnsi="Calibri"/>
          <w:sz w:val="22"/>
          <w:szCs w:val="22"/>
        </w:rPr>
        <w:t xml:space="preserve"> Three contracts must be enforced at write rather than checked downstream: ex-vivo cannot exist without a directive (or a categorical-exemption record), evidence pointers must resolve to L1 records that exist, and joint outputs must reference both an ML evidence ID and a kinetic evidence ID or be marked partial with a typed repairPath. Soft validation drifts; write enforcement does not.</w:t>
      </w:r>
    </w:p>
    <w:p>
      <w:pPr>
        <w:pStyle w:val="ListParagraph"/>
        <w:numPr>
          <w:ilvl w:val="0"/>
          <w:numId w:val="2"/>
        </w:numPr>
        <w:spacing w:after="60" w:before="60" w:line="300"/>
      </w:pPr>
      <w:r>
        <w:rPr>
          <w:rFonts w:ascii="Calibri" w:cs="Calibri" w:eastAsia="Calibri" w:hAnsi="Calibri"/>
          <w:b/>
          <w:bCs/>
          <w:sz w:val="22"/>
          <w:szCs w:val="22"/>
        </w:rPr>
        <w:t xml:space="preserve">Phase 1 Planning is an internal consumer, not a downstream module.</w:t>
      </w:r>
      <w:r>
        <w:rPr>
          <w:rFonts w:ascii="Calibri" w:cs="Calibri" w:eastAsia="Calibri" w:hAnsi="Calibri"/>
          <w:sz w:val="22"/>
          <w:szCs w:val="22"/>
        </w:rPr>
        <w:t xml:space="preserve"> Phase1Planner reads a single ConfirmationPackage and AnimalCohortPackage shape. derivePhase1Defaults reads per-layer confidence and embedded gatePolicy directly. The CDISC SEND / FHIR R5 exchange formats are retained at the L3 → planning boundary for regulatory continuity but are now an internal contract of the same product.</w:t>
      </w:r>
    </w:p>
    <w:p>
      <w:pPr>
        <w:pStyle w:val="ListParagraph"/>
        <w:numPr>
          <w:ilvl w:val="0"/>
          <w:numId w:val="2"/>
        </w:numPr>
        <w:spacing w:after="60" w:before="60" w:line="300"/>
      </w:pPr>
      <w:r>
        <w:rPr>
          <w:rFonts w:ascii="Calibri" w:cs="Calibri" w:eastAsia="Calibri" w:hAnsi="Calibri"/>
          <w:b/>
          <w:bCs/>
          <w:sz w:val="22"/>
          <w:szCs w:val="22"/>
        </w:rPr>
        <w:t xml:space="preserve">Scope unchanged from the April redesign on three axes:</w:t>
      </w:r>
      <w:r>
        <w:rPr>
          <w:rFonts w:ascii="Calibri" w:cs="Calibri" w:eastAsia="Calibri" w:hAnsi="Calibri"/>
          <w:sz w:val="22"/>
          <w:szCs w:val="22"/>
        </w:rPr>
        <w:t xml:space="preserve"> small molecules only, therapeutic-area agnostic core, IND-enabling deliverable shaped per ICH M3(R2). Biologics, peptides, cell and gene therapies remain on the roadmap as separate tracks. The Layer 1 protein-binder track noted in HAIOps memory remains separately scoped.</w:t>
      </w:r>
    </w:p>
    <w:p>
      <w:r>
        <w:br w:type="page"/>
      </w:r>
    </w:p>
    <w:p>
      <w:pPr>
        <w:pStyle w:val="Heading1"/>
        <w:spacing w:after="160" w:before="320"/>
      </w:pPr>
      <w:r>
        <w:rPr>
          <w:rFonts w:ascii="Calibri" w:cs="Calibri" w:eastAsia="Calibri" w:hAnsi="Calibri"/>
          <w:b/>
          <w:bCs/>
          <w:sz w:val="32"/>
          <w:szCs w:val="32"/>
        </w:rPr>
        <w:t xml:space="preserve">2. What Changed From the April 2026 4-Layer Redesign</w:t>
      </w:r>
    </w:p>
    <w:p>
      <w:pPr>
        <w:spacing w:after="80" w:before="80" w:line="300"/>
        <w:jc w:val="left"/>
      </w:pPr>
      <w:r>
        <w:rPr>
          <w:rFonts w:ascii="Calibri" w:cs="Calibri" w:eastAsia="Calibri" w:hAnsi="Calibri"/>
          <w:sz w:val="22"/>
          <w:szCs w:val="22"/>
        </w:rPr>
        <w:t xml:space="preserve">The April 2026 redesign restructured the BioDigital Twin from its original ordering into a four-layer pre-clinical-only model: L1 In-Vitro, L2 In-Silico, L3 Ex-Vivo, L4 Animal Cohort, with L4 handing off to a separate Hakase Clinical module via a versioned REST API using CDISC SEND inbound and FHIR R5 outbound. The strategic motivation was straightforward: the previous architecture conflated data sources with computational triage, and put the most expensive layers upstream of the cheapest filter. The April redesign fixed the cost curve by placing in-silico (the cheapest filter) immediately downstream of in-vitro (the cheapest data source) and immediately upstream of ex-vivo and animal work.</w:t>
      </w:r>
    </w:p>
    <w:p>
      <w:pPr>
        <w:spacing w:after="80" w:before="80" w:line="300"/>
        <w:jc w:val="left"/>
      </w:pPr>
      <w:r>
        <w:rPr>
          <w:rFonts w:ascii="Calibri" w:cs="Calibri" w:eastAsia="Calibri" w:hAnsi="Calibri"/>
          <w:sz w:val="22"/>
          <w:szCs w:val="22"/>
        </w:rPr>
        <w:t xml:space="preserve">Three things drove the v2.0.0 reshape from four layers to three plus integrated Phase 1 Planning. None of them invalidate the April redesign's core insight; they refine its presentation and scope.</w:t>
      </w:r>
    </w:p>
    <w:p>
      <w:pPr>
        <w:pStyle w:val="Heading2"/>
        <w:spacing w:after="120" w:before="260"/>
      </w:pPr>
      <w:r>
        <w:rPr>
          <w:rFonts w:ascii="Calibri" w:cs="Calibri" w:eastAsia="Calibri" w:hAnsi="Calibri"/>
          <w:b/>
          <w:bCs/>
          <w:sz w:val="28"/>
          <w:szCs w:val="28"/>
        </w:rPr>
        <w:t xml:space="preserve">2.1 Partner-facing waypoint complexity</w:t>
      </w:r>
    </w:p>
    <w:p>
      <w:pPr>
        <w:spacing w:after="80" w:before="80" w:line="300"/>
        <w:jc w:val="left"/>
      </w:pPr>
      <w:r>
        <w:rPr>
          <w:rFonts w:ascii="Calibri" w:cs="Calibri" w:eastAsia="Calibri" w:hAnsi="Calibri"/>
          <w:sz w:val="22"/>
          <w:szCs w:val="22"/>
        </w:rPr>
        <w:t xml:space="preserve">The four-layer external face presented partners with two separate confirmation gates (in-silico and ex-vivo) where the value to most partners is in the joint confirmation envelope rather than in the individual sub-track outputs. Academic labs working on hepatocyte-based ADMET validation, biotech partners running rescue-compound retrospectives, and contract research organisations integrating with our Confirmation outputs have all wanted a single typed package that says 'this compound passed Confirmation with confidence Y' rather than two separate packages they have to reconcile themselves. The collapse to three layers gives them that single waypoint without losing any of the internal discipline.</w:t>
      </w:r>
    </w:p>
    <w:p>
      <w:pPr>
        <w:pStyle w:val="Heading2"/>
        <w:spacing w:after="120" w:before="260"/>
      </w:pPr>
      <w:r>
        <w:rPr>
          <w:rFonts w:ascii="Calibri" w:cs="Calibri" w:eastAsia="Calibri" w:hAnsi="Calibri"/>
          <w:b/>
          <w:bCs/>
          <w:sz w:val="28"/>
          <w:szCs w:val="28"/>
        </w:rPr>
        <w:t xml:space="preserve">2.2 Cost-curve discipline must move from layer ordering to schema enforcement</w:t>
      </w:r>
    </w:p>
    <w:p>
      <w:pPr>
        <w:spacing w:after="80" w:before="80" w:line="300"/>
        <w:jc w:val="left"/>
      </w:pPr>
      <w:r>
        <w:rPr>
          <w:rFonts w:ascii="Calibri" w:cs="Calibri" w:eastAsia="Calibri" w:hAnsi="Calibri"/>
          <w:sz w:val="22"/>
          <w:szCs w:val="22"/>
        </w:rPr>
        <w:t xml:space="preserve">If in-silico and ex-vivo are merged into one layer with one gate, the cost-curve insight of the April redesign is lost: every ex-vivo run starts paying for in-silico mistakes. v2.0.0 preserves the discipline by moving it from the layer ordering into the schema. In-silico is required to emit a typed PreConfirmationDirective (prioritised assays, expected response ranges, falsification criteria, recommended dose ranges). Ex-vivo is required at write time to consume a directive or to assert a typed CategoricalExemption. Compounds that fail the in-silico gate without an explicit override do not proceed to ex-vivo. Partners see one layer; the internal sequencing is unchanged.</w:t>
      </w:r>
    </w:p>
    <w:p>
      <w:pPr>
        <w:pStyle w:val="Heading2"/>
        <w:spacing w:after="120" w:before="260"/>
      </w:pPr>
      <w:r>
        <w:rPr>
          <w:rFonts w:ascii="Calibri" w:cs="Calibri" w:eastAsia="Calibri" w:hAnsi="Calibri"/>
          <w:b/>
          <w:bCs/>
          <w:sz w:val="28"/>
          <w:szCs w:val="28"/>
        </w:rPr>
        <w:t xml:space="preserve">2.3 Phase 1 Planning as internal consumer rather than downstream module</w:t>
      </w:r>
    </w:p>
    <w:p>
      <w:pPr>
        <w:spacing w:after="80" w:before="80" w:line="300"/>
        <w:jc w:val="left"/>
      </w:pPr>
      <w:r>
        <w:rPr>
          <w:rFonts w:ascii="Calibri" w:cs="Calibri" w:eastAsia="Calibri" w:hAnsi="Calibri"/>
          <w:sz w:val="22"/>
          <w:szCs w:val="22"/>
        </w:rPr>
        <w:t xml:space="preserve">The April redesign treated the L4 to Clinical boundary as a contract between modules owned by potentially different teams. In practice, the value proposition for early academic and biotech partners — which is what the next two quarters of go-to-market will run on — is a continuous path from in-vitro hit to FIH-ready Phase 1 plan. Treating Phase 1 Planning as an internal consumer of ConfirmationPackage and AnimalCohortPackage shortens that path and lets a single product narrative carry the platform through pilot conversations. The CDISC SEND v3.x exchange shape at the L3 → Planning boundary is retained for regulatory continuity but is now an internal contract of the same product. FHIR R5 outbound is preserved for any external consumer that wants the projection but is no longer on the critical path of the product story.</w:t>
      </w:r>
    </w:p>
    <w:p>
      <w:pPr>
        <w:pStyle w:val="Heading2"/>
        <w:spacing w:after="120" w:before="260"/>
      </w:pPr>
      <w:r>
        <w:rPr>
          <w:rFonts w:ascii="Calibri" w:cs="Calibri" w:eastAsia="Calibri" w:hAnsi="Calibri"/>
          <w:b/>
          <w:bCs/>
          <w:sz w:val="28"/>
          <w:szCs w:val="28"/>
        </w:rPr>
        <w:t xml:space="preserve">2.4 What the April 2026 redesign got right and v2.0.0 keeps</w:t>
      </w:r>
    </w:p>
    <w:p>
      <w:pPr>
        <w:pStyle w:val="ListParagraph"/>
        <w:numPr>
          <w:ilvl w:val="0"/>
          <w:numId w:val="2"/>
        </w:numPr>
        <w:spacing w:after="60" w:before="60" w:line="300"/>
      </w:pPr>
      <w:r>
        <w:rPr>
          <w:rFonts w:ascii="Calibri" w:cs="Calibri" w:eastAsia="Calibri" w:hAnsi="Calibri"/>
          <w:sz w:val="22"/>
          <w:szCs w:val="22"/>
        </w:rPr>
        <w:t xml:space="preserve">Cheap filters before expensive ones. In-silico predictions still run before any wet-lab commitment, now enforced by directive contract rather than by layer boundary.</w:t>
      </w:r>
    </w:p>
    <w:p>
      <w:pPr>
        <w:pStyle w:val="ListParagraph"/>
        <w:numPr>
          <w:ilvl w:val="0"/>
          <w:numId w:val="2"/>
        </w:numPr>
        <w:spacing w:after="60" w:before="60" w:line="300"/>
      </w:pPr>
      <w:r>
        <w:rPr>
          <w:rFonts w:ascii="Calibri" w:cs="Calibri" w:eastAsia="Calibri" w:hAnsi="Calibri"/>
          <w:sz w:val="22"/>
          <w:szCs w:val="22"/>
        </w:rPr>
        <w:t xml:space="preserve">Pre-clinical-only scope for the platform's core pipeline. Clinical Phase 2/3/4 planning remains a separate roadmap item.</w:t>
      </w:r>
    </w:p>
    <w:p>
      <w:pPr>
        <w:pStyle w:val="ListParagraph"/>
        <w:numPr>
          <w:ilvl w:val="0"/>
          <w:numId w:val="2"/>
        </w:numPr>
        <w:spacing w:after="60" w:before="60" w:line="300"/>
      </w:pPr>
      <w:r>
        <w:rPr>
          <w:rFonts w:ascii="Calibri" w:cs="Calibri" w:eastAsia="Calibri" w:hAnsi="Calibri"/>
          <w:sz w:val="22"/>
          <w:szCs w:val="22"/>
        </w:rPr>
        <w:t xml:space="preserve">Small-molecule, TA-agnostic core. The Layer 1 protein-binder track and biologics work remain separately scoped.</w:t>
      </w:r>
    </w:p>
    <w:p>
      <w:pPr>
        <w:pStyle w:val="ListParagraph"/>
        <w:numPr>
          <w:ilvl w:val="0"/>
          <w:numId w:val="2"/>
        </w:numPr>
        <w:spacing w:after="60" w:before="60" w:line="300"/>
      </w:pPr>
      <w:r>
        <w:rPr>
          <w:rFonts w:ascii="Calibri" w:cs="Calibri" w:eastAsia="Calibri" w:hAnsi="Calibri"/>
          <w:sz w:val="22"/>
          <w:szCs w:val="22"/>
        </w:rPr>
        <w:t xml:space="preserve">CDISC SEND v3.x as the regulatory exchange format at the L3 boundary. ICH M3(R2) as the IND-enabling deliverable shape.</w:t>
      </w:r>
    </w:p>
    <w:p>
      <w:pPr>
        <w:pStyle w:val="ListParagraph"/>
        <w:numPr>
          <w:ilvl w:val="0"/>
          <w:numId w:val="2"/>
        </w:numPr>
        <w:spacing w:after="60" w:before="60" w:line="300"/>
      </w:pPr>
      <w:r>
        <w:rPr>
          <w:rFonts w:ascii="Calibri" w:cs="Calibri" w:eastAsia="Calibri" w:hAnsi="Calibri"/>
          <w:sz w:val="22"/>
          <w:szCs w:val="22"/>
        </w:rPr>
        <w:t xml:space="preserve">Owned bridge layer for non-trivial format translation between SEND-shaped pre-clinical evidence and FHIR R5 clinical resources. The audit trail this provides remains essential at IND time.</w:t>
      </w:r>
    </w:p>
    <w:p>
      <w:pPr>
        <w:pStyle w:val="ListParagraph"/>
        <w:numPr>
          <w:ilvl w:val="0"/>
          <w:numId w:val="2"/>
        </w:numPr>
        <w:spacing w:after="60" w:before="60" w:line="300"/>
      </w:pPr>
      <w:r>
        <w:rPr>
          <w:rFonts w:ascii="Calibri" w:cs="Calibri" w:eastAsia="Calibri" w:hAnsi="Calibri"/>
          <w:sz w:val="22"/>
          <w:szCs w:val="22"/>
        </w:rPr>
        <w:t xml:space="preserve">Regulatory anchors: GAMP 5 platform validation, 21 CFR Part 11 records, OECD QSAR principles for in-silico components, GLP for animal cohort wet studies, ASME V&amp;V40 credibility scaffolding, and a tightly-scoped FDA ISTAND letter of intent.</w:t>
      </w:r>
    </w:p>
    <w:p>
      <w:pPr>
        <w:pStyle w:val="Heading2"/>
        <w:spacing w:after="120" w:before="260"/>
      </w:pPr>
      <w:r>
        <w:rPr>
          <w:rFonts w:ascii="Calibri" w:cs="Calibri" w:eastAsia="Calibri" w:hAnsi="Calibri"/>
          <w:b/>
          <w:bCs/>
          <w:sz w:val="28"/>
          <w:szCs w:val="28"/>
        </w:rPr>
        <w:t xml:space="preserve">2.5 What v2.0.0 deprecates</w:t>
      </w:r>
    </w:p>
    <w:p>
      <w:pPr>
        <w:pStyle w:val="ListParagraph"/>
        <w:numPr>
          <w:ilvl w:val="0"/>
          <w:numId w:val="2"/>
        </w:numPr>
        <w:spacing w:after="60" w:before="60" w:line="300"/>
      </w:pPr>
      <w:r>
        <w:rPr>
          <w:rFonts w:ascii="Calibri" w:cs="Calibri" w:eastAsia="Calibri" w:hAnsi="Calibri"/>
          <w:sz w:val="22"/>
          <w:szCs w:val="22"/>
        </w:rPr>
        <w:t xml:space="preserve">Top-level §6.1.a CYP-Transporter and §6.1.b clearance-fractions fields on PreClinicalPackage. These are joint L1+L2 outputs and now live on the Confirmation block with explicit mlEvidenceRef pointers.</w:t>
      </w:r>
    </w:p>
    <w:p>
      <w:pPr>
        <w:pStyle w:val="ListParagraph"/>
        <w:numPr>
          <w:ilvl w:val="0"/>
          <w:numId w:val="2"/>
        </w:numPr>
        <w:spacing w:after="60" w:before="60" w:line="300"/>
      </w:pPr>
      <w:r>
        <w:rPr>
          <w:rFonts w:ascii="Calibri" w:cs="Calibri" w:eastAsia="Calibri" w:hAnsi="Calibri"/>
          <w:sz w:val="22"/>
          <w:szCs w:val="22"/>
        </w:rPr>
        <w:t xml:space="preserve">The flat-provenance derivedFrom field on PreClinicalPackage. Replaced by per-layer evidence blocks each carrying their own provenance.</w:t>
      </w:r>
    </w:p>
    <w:p>
      <w:pPr>
        <w:pStyle w:val="ListParagraph"/>
        <w:numPr>
          <w:ilvl w:val="0"/>
          <w:numId w:val="2"/>
        </w:numPr>
        <w:spacing w:after="60" w:before="60" w:line="300"/>
      </w:pPr>
      <w:r>
        <w:rPr>
          <w:rFonts w:ascii="Calibri" w:cs="Calibri" w:eastAsia="Calibri" w:hAnsi="Calibri"/>
          <w:sz w:val="22"/>
          <w:szCs w:val="22"/>
        </w:rPr>
        <w:t xml:space="preserve">The confidenceCaveat free-text pattern on joint outputs. Replaced by typed falsified state, partial state with repairPath, and the FalsifierId registry.</w:t>
      </w:r>
    </w:p>
    <w:p>
      <w:pPr>
        <w:pStyle w:val="ListParagraph"/>
        <w:numPr>
          <w:ilvl w:val="0"/>
          <w:numId w:val="2"/>
        </w:numPr>
        <w:spacing w:after="60" w:before="60" w:line="300"/>
      </w:pPr>
      <w:r>
        <w:rPr>
          <w:rFonts w:ascii="Calibri" w:cs="Calibri" w:eastAsia="Calibri" w:hAnsi="Calibri"/>
          <w:sz w:val="22"/>
          <w:szCs w:val="22"/>
        </w:rPr>
        <w:t xml:space="preserve">The unblindedRunReason XOR escape hatch on ex-vivo runs that lack a directive. Replaced by directiveGap typed state and CategoricalExemption.</w:t>
      </w:r>
    </w:p>
    <w:p>
      <w:pPr>
        <w:pStyle w:val="ListParagraph"/>
        <w:numPr>
          <w:ilvl w:val="0"/>
          <w:numId w:val="2"/>
        </w:numPr>
        <w:spacing w:after="60" w:before="60" w:line="300"/>
      </w:pPr>
      <w:r>
        <w:rPr>
          <w:rFonts w:ascii="Calibri" w:cs="Calibri" w:eastAsia="Calibri" w:hAnsi="Calibri"/>
          <w:sz w:val="22"/>
          <w:szCs w:val="22"/>
        </w:rPr>
        <w:t xml:space="preserve">Program-config-only gate thresholds. Replaced by gatePolicy embedded in the ConfirmationPackage at gate time.</w:t>
      </w:r>
    </w:p>
    <w:p>
      <w:r>
        <w:br w:type="page"/>
      </w:r>
    </w:p>
    <w:p>
      <w:pPr>
        <w:pStyle w:val="Heading1"/>
        <w:spacing w:after="160" w:before="320"/>
      </w:pPr>
      <w:r>
        <w:rPr>
          <w:rFonts w:ascii="Calibri" w:cs="Calibri" w:eastAsia="Calibri" w:hAnsi="Calibri"/>
          <w:b/>
          <w:bCs/>
          <w:sz w:val="32"/>
          <w:szCs w:val="32"/>
        </w:rPr>
        <w:t xml:space="preserve">3. Architectural Overview: 3 Layers + Phase 1 Planning</w:t>
      </w:r>
    </w:p>
    <w:p>
      <w:pPr>
        <w:pStyle w:val="Heading2"/>
        <w:spacing w:after="120" w:before="260"/>
      </w:pPr>
      <w:r>
        <w:rPr>
          <w:rFonts w:ascii="Calibri" w:cs="Calibri" w:eastAsia="Calibri" w:hAnsi="Calibri"/>
          <w:b/>
          <w:bCs/>
          <w:sz w:val="28"/>
          <w:szCs w:val="28"/>
        </w:rPr>
        <w:t xml:space="preserve">3.1 The pipeline</w:t>
      </w:r>
    </w:p>
    <w:p>
      <w:pPr>
        <w:spacing w:after="80" w:before="80" w:line="300"/>
        <w:jc w:val="left"/>
      </w:pPr>
      <w:r>
        <w:rPr>
          <w:rFonts w:ascii="Calibri" w:cs="Calibri" w:eastAsia="Calibri" w:hAnsi="Calibri"/>
          <w:sz w:val="22"/>
          <w:szCs w:val="22"/>
        </w:rPr>
        <w:t xml:space="preserve">v2.0.0 is a four-stage pipeline. The first three stages are pre-clinical layers; the fourth is Phase 1 Planning, which consumes a typed package from the third layer.</w:t>
      </w:r>
    </w:p>
    <w:p>
      <w:pPr>
        <w:spacing w:after="80" w:before="80" w:line="300"/>
        <w:jc w:val="left"/>
      </w:pPr>
      <w:r>
        <w:rPr>
          <w:rFonts w:ascii="Consolas" w:cs="Consolas" w:eastAsia="Consolas" w:hAnsi="Consolas"/>
          <w:sz w:val="20"/>
          <w:szCs w:val="20"/>
        </w:rPr>
        <w:t xml:space="preserve">L1 In-Vitro</w:t>
      </w:r>
      <w:r>
        <w:rPr>
          <w:rFonts w:ascii="Calibri" w:cs="Calibri" w:eastAsia="Calibri" w:hAnsi="Calibri"/>
          <w:sz w:val="22"/>
          <w:szCs w:val="22"/>
        </w:rPr>
        <w:t xml:space="preserve"> → </w:t>
      </w:r>
      <w:r>
        <w:rPr>
          <w:rFonts w:ascii="Consolas" w:cs="Consolas" w:eastAsia="Consolas" w:hAnsi="Consolas"/>
          <w:sz w:val="20"/>
          <w:szCs w:val="20"/>
        </w:rPr>
        <w:t xml:space="preserve">L2 Confirmation</w:t>
      </w:r>
      <w:r>
        <w:rPr>
          <w:rFonts w:ascii="Calibri" w:cs="Calibri" w:eastAsia="Calibri" w:hAnsi="Calibri"/>
          <w:sz w:val="22"/>
          <w:szCs w:val="22"/>
        </w:rPr>
        <w:t xml:space="preserve"> → </w:t>
      </w:r>
      <w:r>
        <w:rPr>
          <w:rFonts w:ascii="Consolas" w:cs="Consolas" w:eastAsia="Consolas" w:hAnsi="Consolas"/>
          <w:sz w:val="20"/>
          <w:szCs w:val="20"/>
        </w:rPr>
        <w:t xml:space="preserve">L3 Animal Cohort</w:t>
      </w:r>
      <w:r>
        <w:rPr>
          <w:rFonts w:ascii="Calibri" w:cs="Calibri" w:eastAsia="Calibri" w:hAnsi="Calibri"/>
          <w:sz w:val="22"/>
          <w:szCs w:val="22"/>
        </w:rPr>
        <w:t xml:space="preserve"> → </w:t>
      </w:r>
      <w:r>
        <w:rPr>
          <w:rFonts w:ascii="Consolas" w:cs="Consolas" w:eastAsia="Consolas" w:hAnsi="Consolas"/>
          <w:sz w:val="20"/>
          <w:szCs w:val="20"/>
        </w:rPr>
        <w:t xml:space="preserve">Phase 1 Planning</w:t>
      </w:r>
    </w:p>
    <w:p>
      <w:pPr>
        <w:spacing w:after="80" w:before="80" w:line="300"/>
        <w:jc w:val="left"/>
      </w:pPr>
      <w:r>
        <w:rPr>
          <w:rFonts w:ascii="Calibri" w:cs="Calibri" w:eastAsia="Calibri" w:hAnsi="Calibri"/>
          <w:sz w:val="22"/>
          <w:szCs w:val="22"/>
        </w:rPr>
        <w:t xml:space="preserve">Each transition between stages is a typed contract. What flows in, what flows out, what gets killed, and which override paths exist are all enumerated in the schema (section 5). The contracts are write-enforced rather than soft-validated, which is the property that makes the anti-fabrication invariants in section 6 hold under operational pressure.</w:t>
      </w:r>
    </w:p>
    <w:p>
      <w:pPr>
        <w:pStyle w:val="Heading2"/>
        <w:spacing w:after="120" w:before="260"/>
      </w:pPr>
      <w:r>
        <w:rPr>
          <w:rFonts w:ascii="Calibri" w:cs="Calibri" w:eastAsia="Calibri" w:hAnsi="Calibri"/>
          <w:b/>
          <w:bCs/>
          <w:sz w:val="28"/>
          <w:szCs w:val="28"/>
        </w:rPr>
        <w:t xml:space="preserve">3.2 Layer responsibilities</w:t>
      </w:r>
    </w:p>
    <w:p>
      <w:pPr>
        <w:pStyle w:val="Heading3"/>
        <w:spacing w:after="100" w:before="200"/>
      </w:pPr>
      <w:r>
        <w:rPr>
          <w:rFonts w:ascii="Calibri" w:cs="Calibri" w:eastAsia="Calibri" w:hAnsi="Calibri"/>
          <w:b/>
          <w:bCs/>
          <w:sz w:val="24"/>
          <w:szCs w:val="24"/>
        </w:rPr>
        <w:t xml:space="preserve">L1 In-Vitro</w:t>
      </w:r>
    </w:p>
    <w:p>
      <w:pPr>
        <w:spacing w:after="80" w:before="80" w:line="300"/>
        <w:jc w:val="left"/>
      </w:pPr>
      <w:r>
        <w:rPr>
          <w:rFonts w:ascii="Calibri" w:cs="Calibri" w:eastAsia="Calibri" w:hAnsi="Calibri"/>
          <w:sz w:val="22"/>
          <w:szCs w:val="22"/>
        </w:rPr>
        <w:t xml:space="preserve">Biochemical and cell-line assays on isolated targets. IC50, Ki, ADMET, hERG, binding kinetics, cytotoxicity, primary metabolic stability. Emits an InVitroPackage carrying hit identity, primary assay results, ML feature vectors used by L2, and L1's own candidate ranking with confidence scores. The shape is unchanged from v1 except for additions required by L2's directive contract (section 7.1).</w:t>
      </w:r>
    </w:p>
    <w:p>
      <w:pPr>
        <w:pStyle w:val="Heading3"/>
        <w:spacing w:after="100" w:before="200"/>
      </w:pPr>
      <w:r>
        <w:rPr>
          <w:rFonts w:ascii="Calibri" w:cs="Calibri" w:eastAsia="Calibri" w:hAnsi="Calibri"/>
          <w:b/>
          <w:bCs/>
          <w:sz w:val="24"/>
          <w:szCs w:val="24"/>
        </w:rPr>
        <w:t xml:space="preserve">L2 Confirmation</w:t>
      </w:r>
    </w:p>
    <w:p>
      <w:pPr>
        <w:spacing w:after="80" w:before="80" w:line="300"/>
        <w:jc w:val="left"/>
      </w:pPr>
      <w:r>
        <w:rPr>
          <w:rFonts w:ascii="Calibri" w:cs="Calibri" w:eastAsia="Calibri" w:hAnsi="Calibri"/>
          <w:sz w:val="22"/>
          <w:szCs w:val="22"/>
        </w:rPr>
        <w:t xml:space="preserve">Externally-visible single layer with two internal sub-tracks (in-silico and ex-vivo) whose sequencing is enforced by directive contract. Internal flow specified in section 4. Emits a ConfirmationPackage with per-track evidence blocks, joint outputs, embedded gatePolicy, override audit trail, and references to L1 evidence pointers. The ConfirmationPackage is the most important new artifact in v2.0.0 and is the surface area on which most schema changes land.</w:t>
      </w:r>
    </w:p>
    <w:p>
      <w:pPr>
        <w:pStyle w:val="Heading3"/>
        <w:spacing w:after="100" w:before="200"/>
      </w:pPr>
      <w:r>
        <w:rPr>
          <w:rFonts w:ascii="Calibri" w:cs="Calibri" w:eastAsia="Calibri" w:hAnsi="Calibri"/>
          <w:b/>
          <w:bCs/>
          <w:sz w:val="24"/>
          <w:szCs w:val="24"/>
        </w:rPr>
        <w:t xml:space="preserve">L3 Animal Cohort</w:t>
      </w:r>
    </w:p>
    <w:p>
      <w:pPr>
        <w:spacing w:after="80" w:before="80" w:line="300"/>
        <w:jc w:val="left"/>
      </w:pPr>
      <w:r>
        <w:rPr>
          <w:rFonts w:ascii="Calibri" w:cs="Calibri" w:eastAsia="Calibri" w:hAnsi="Calibri"/>
          <w:sz w:val="22"/>
          <w:szCs w:val="22"/>
        </w:rPr>
        <w:t xml:space="preserve">ICH-compliant rodent and non-rodent studies. PK, repeat-dose toxicity, safety pharmacology, genotoxicity, reproductive toxicity. Emits an AnimalCohortPackage shaped per CDISC SEND v3.x at its outbound boundary. v2.0.0 introduces a typed reference back to the ConfirmationPackage that drove the animal study design (which directive was confirmed, which falsifiers triggered, which overrides were accepted) so Phase 1 Planning has a continuous provenance chain rather than a flat SEND dump.</w:t>
      </w:r>
    </w:p>
    <w:p>
      <w:pPr>
        <w:pStyle w:val="Heading3"/>
        <w:spacing w:after="100" w:before="200"/>
      </w:pPr>
      <w:r>
        <w:rPr>
          <w:rFonts w:ascii="Calibri" w:cs="Calibri" w:eastAsia="Calibri" w:hAnsi="Calibri"/>
          <w:b/>
          <w:bCs/>
          <w:sz w:val="24"/>
          <w:szCs w:val="24"/>
        </w:rPr>
        <w:t xml:space="preserve">Phase 1 Planning</w:t>
      </w:r>
    </w:p>
    <w:p>
      <w:pPr>
        <w:spacing w:after="80" w:before="80" w:line="300"/>
        <w:jc w:val="left"/>
      </w:pPr>
      <w:r>
        <w:rPr>
          <w:rFonts w:ascii="Calibri" w:cs="Calibri" w:eastAsia="Calibri" w:hAnsi="Calibri"/>
          <w:sz w:val="22"/>
          <w:szCs w:val="22"/>
        </w:rPr>
        <w:t xml:space="preserve">Internal consumer of ConfirmationPackage and AnimalCohortPackage. Derives MABEL (Minimum Anticipated Biological Effect Level), HED (Human Equivalent Dose), FIH (First-In-Human) starting dose, dose-escalation schedule, IND-supporting section drafts (M2.6 nonclinical written and tabulated summaries, M3.2.S/M3.2.P CMC stubs where authored upstream). derivePhase1Defaults reads per-layer confidence directly. INDGate reads embedded gatePolicy. MABEL-bias logic branches on accepted FalsifierId values. The interface is specified in section 7.3.</w:t>
      </w:r>
    </w:p>
    <w:p>
      <w:pPr>
        <w:pStyle w:val="Heading2"/>
        <w:spacing w:after="120" w:before="260"/>
      </w:pPr>
      <w:r>
        <w:rPr>
          <w:rFonts w:ascii="Calibri" w:cs="Calibri" w:eastAsia="Calibri" w:hAnsi="Calibri"/>
          <w:b/>
          <w:bCs/>
          <w:sz w:val="28"/>
          <w:szCs w:val="28"/>
        </w:rPr>
        <w:t xml:space="preserve">3.3 Why this is the right shape now</w:t>
      </w:r>
    </w:p>
    <w:p>
      <w:pPr>
        <w:spacing w:after="80" w:before="80" w:line="300"/>
        <w:jc w:val="left"/>
      </w:pPr>
      <w:r>
        <w:rPr>
          <w:rFonts w:ascii="Calibri" w:cs="Calibri" w:eastAsia="Calibri" w:hAnsi="Calibri"/>
          <w:sz w:val="22"/>
          <w:szCs w:val="22"/>
        </w:rPr>
        <w:t xml:space="preserve">Three converging reasons make this the right time to lock the v2.0.0 shape rather than ship the half-step v2 fixes that were in flight before this design landed.</w:t>
      </w:r>
    </w:p>
    <w:p>
      <w:pPr>
        <w:spacing w:after="80" w:before="80" w:line="300"/>
        <w:jc w:val="left"/>
      </w:pPr>
      <w:r>
        <w:rPr>
          <w:rFonts w:ascii="Calibri" w:cs="Calibri" w:eastAsia="Calibri" w:hAnsi="Calibri"/>
          <w:sz w:val="22"/>
          <w:szCs w:val="22"/>
        </w:rPr>
        <w:t xml:space="preserve">v2 has no production consumers. Phase1Planner currently runs on v1.x. The architect-flagged anti-fabrication issues in v2 (synthetic handoff, silent-default derivedFrom, unenforced consumed-handoff link) are exactly the issues v2.0.0's stronger primitives subsume — the fixes do not get thrown away, they get superseded by structurally better solutions. Migrating consumers twice (v1 to v2, then v2 to v3) costs more than migrating once (v1 to v2.0.0).</w:t>
      </w:r>
    </w:p>
    <w:p>
      <w:pPr>
        <w:spacing w:after="80" w:before="80" w:line="300"/>
        <w:jc w:val="left"/>
      </w:pPr>
      <w:r>
        <w:rPr>
          <w:rFonts w:ascii="Calibri" w:cs="Calibri" w:eastAsia="Calibri" w:hAnsi="Calibri"/>
          <w:sz w:val="22"/>
          <w:szCs w:val="22"/>
        </w:rPr>
        <w:t xml:space="preserve">Partner-facing collaboration is the immediate go-to-market motion. Academic pilots in metabolic disease, retrospective benchmarks on ChEMBL-published compound failures, and small-biotech rescue-compound conversations all benefit from a single typed package and a single confirmation envelope. The four-layer external face was an internal-engineering convenience; v2.0.0 trades it for a partner-aligned surface without giving up internal discipline.</w:t>
      </w:r>
    </w:p>
    <w:p>
      <w:pPr>
        <w:spacing w:after="80" w:before="80" w:line="300"/>
        <w:jc w:val="left"/>
      </w:pPr>
      <w:r>
        <w:rPr>
          <w:rFonts w:ascii="Calibri" w:cs="Calibri" w:eastAsia="Calibri" w:hAnsi="Calibri"/>
          <w:sz w:val="22"/>
          <w:szCs w:val="22"/>
        </w:rPr>
        <w:t xml:space="preserve">The schema work itself is the right unit of effort to invest in once. Per-layer evidence blocks, write-time enforcement of directive contracts, typed FalsifierId, embedded gatePolicy, and the override authority chain are not incremental refinements of v1's flat provenance — they are a different shape. Doing them as a coherent v2.0.0 design lets the validators and consumers be designed against the new shape rather than retrofitted onto the old.</w:t>
      </w:r>
    </w:p>
    <w:p>
      <w:r>
        <w:br w:type="page"/>
      </w:r>
    </w:p>
    <w:p>
      <w:pPr>
        <w:pStyle w:val="Heading1"/>
        <w:spacing w:after="160" w:before="320"/>
      </w:pPr>
      <w:r>
        <w:rPr>
          <w:rFonts w:ascii="Calibri" w:cs="Calibri" w:eastAsia="Calibri" w:hAnsi="Calibri"/>
          <w:b/>
          <w:bCs/>
          <w:sz w:val="32"/>
          <w:szCs w:val="32"/>
        </w:rPr>
        <w:t xml:space="preserve">4. The Confirmation Layer: Internal Path</w:t>
      </w:r>
    </w:p>
    <w:p>
      <w:pPr>
        <w:spacing w:after="80" w:before="80" w:line="300"/>
        <w:jc w:val="left"/>
      </w:pPr>
      <w:r>
        <w:rPr>
          <w:rFonts w:ascii="Calibri" w:cs="Calibri" w:eastAsia="Calibri" w:hAnsi="Calibri"/>
          <w:sz w:val="22"/>
          <w:szCs w:val="22"/>
        </w:rPr>
        <w:t xml:space="preserve">A compound enters Confirmation carrying an InVitroPackage from L1: hit identity, primary assay results, ML feature vectors, L1's own candidate ranking with confidence. The Confirmation Layer's job is to either kill the compound cheaply, send it to Animal Cohort with a typed evidence package, or route it to override. The internal path is seven phases.</w:t>
      </w:r>
    </w:p>
    <w:p>
      <w:pPr>
        <w:pStyle w:val="Heading2"/>
        <w:spacing w:after="120" w:before="260"/>
      </w:pPr>
      <w:r>
        <w:rPr>
          <w:rFonts w:ascii="Calibri" w:cs="Calibri" w:eastAsia="Calibri" w:hAnsi="Calibri"/>
          <w:b/>
          <w:bCs/>
          <w:sz w:val="28"/>
          <w:szCs w:val="28"/>
        </w:rPr>
        <w:t xml:space="preserve">4.1 Phase 1 — Ingest and lock</w:t>
      </w:r>
    </w:p>
    <w:p>
      <w:pPr>
        <w:spacing w:after="80" w:before="80" w:line="300"/>
        <w:jc w:val="left"/>
      </w:pPr>
      <w:r>
        <w:rPr>
          <w:rFonts w:ascii="Calibri" w:cs="Calibri" w:eastAsia="Calibri" w:hAnsi="Calibri"/>
          <w:sz w:val="22"/>
          <w:szCs w:val="22"/>
        </w:rPr>
        <w:t xml:space="preserve">Confirmation accepts the InVitroPackage, validates the schema, and freezes an evidence pointer. Every artifact Confirmation emits references this pointer for L1 provenance. If the InVitroPackage is missing required fields (no ML feature vectors, no primary assay results, no L1 confidence vector), Confirmation refuses entry — that is an L1 contract violation, not a Confirmation problem. The frozen pointer is what gives every downstream override and joint output a stable target to cite even if the upstream record is later renamed or refactored.</w:t>
      </w:r>
    </w:p>
    <w:p>
      <w:pPr>
        <w:pStyle w:val="Heading2"/>
        <w:spacing w:after="120" w:before="260"/>
      </w:pPr>
      <w:r>
        <w:rPr>
          <w:rFonts w:ascii="Calibri" w:cs="Calibri" w:eastAsia="Calibri" w:hAnsi="Calibri"/>
          <w:b/>
          <w:bCs/>
          <w:sz w:val="28"/>
          <w:szCs w:val="28"/>
        </w:rPr>
        <w:t xml:space="preserve">4.2 Phase 2 — In-silico sub-track</w:t>
      </w:r>
    </w:p>
    <w:p>
      <w:pPr>
        <w:spacing w:after="80" w:before="80" w:line="300"/>
        <w:jc w:val="left"/>
      </w:pPr>
      <w:r>
        <w:rPr>
          <w:rFonts w:ascii="Calibri" w:cs="Calibri" w:eastAsia="Calibri" w:hAnsi="Calibri"/>
          <w:sz w:val="22"/>
          <w:szCs w:val="22"/>
        </w:rPr>
        <w:t xml:space="preserve">In-silico runs first. ADMET, PBPK, off-target, dose-response, and the §6.1.a CYP-Transporter and §6.1.b clearance ML predictions all execute here. The IVIVE engines (httk, PK-Sim, or successors) operate against a recalibrated hepatocyte prior set sourced from modern liver-chip and PCLS data, replacing the legacy 1990s–2010s priors that the OSS engines ship with. Output is a per-compound confidence vector across each prediction class plus a typed PreConfirmationDirective for the ex-vivo sub-track. The directive carries the prioritised assay list, expected response ranges per assay, the falsifiers that would invalidate the in-silico predictions, and recommended dose ranges. The directive is the contract: ex-vivo cannot start without one. Schema in section 5.3.</w:t>
      </w:r>
    </w:p>
    <w:p>
      <w:pPr>
        <w:pStyle w:val="Heading2"/>
        <w:spacing w:after="120" w:before="260"/>
      </w:pPr>
      <w:r>
        <w:rPr>
          <w:rFonts w:ascii="Calibri" w:cs="Calibri" w:eastAsia="Calibri" w:hAnsi="Calibri"/>
          <w:b/>
          <w:bCs/>
          <w:sz w:val="28"/>
          <w:szCs w:val="28"/>
        </w:rPr>
        <w:t xml:space="preserve">4.3 Phase 3 — In-silico gate (the budget gate)</w:t>
      </w:r>
    </w:p>
    <w:p>
      <w:pPr>
        <w:spacing w:after="80" w:before="80" w:line="300"/>
        <w:jc w:val="left"/>
      </w:pPr>
      <w:r>
        <w:rPr>
          <w:rFonts w:ascii="Calibri" w:cs="Calibri" w:eastAsia="Calibri" w:hAnsi="Calibri"/>
          <w:sz w:val="22"/>
          <w:szCs w:val="22"/>
        </w:rPr>
        <w:t xml:space="preserve">This is the gate that protects wet-lab budget and is the single most important property of the Confirmation Layer. A compound passes if minimum confidence is met across critical prediction classes (configurable per program, defaults conservative, snapshot into the ConfirmationPackage's gatePolicy field at gate time). It fails if confidence is below threshold and no falsifier path is defined. It is overridable only when a human or policy explicitly accepts a named FalsifierId from the registry, and that override carries actor, role, authorityCitation, reason, falsifierAccepted, and l1EvidenceCited fields. Compounds that fail this gate without an override do not proceed to ex-vivo. Compounds that proceed by override carry the override block forward — Phase1Planner reads it later when deciding whether to bias MABEL conservative.</w:t>
      </w:r>
    </w:p>
    <w:p>
      <w:pPr>
        <w:pStyle w:val="Heading2"/>
        <w:spacing w:after="120" w:before="260"/>
      </w:pPr>
      <w:r>
        <w:rPr>
          <w:rFonts w:ascii="Calibri" w:cs="Calibri" w:eastAsia="Calibri" w:hAnsi="Calibri"/>
          <w:b/>
          <w:bCs/>
          <w:sz w:val="28"/>
          <w:szCs w:val="28"/>
        </w:rPr>
        <w:t xml:space="preserve">4.4 Phase 4 — Ex-vivo sub-track</w:t>
      </w:r>
    </w:p>
    <w:p>
      <w:pPr>
        <w:spacing w:after="80" w:before="80" w:line="300"/>
        <w:jc w:val="left"/>
      </w:pPr>
      <w:r>
        <w:rPr>
          <w:rFonts w:ascii="Calibri" w:cs="Calibri" w:eastAsia="Calibri" w:hAnsi="Calibri"/>
          <w:sz w:val="22"/>
          <w:szCs w:val="22"/>
        </w:rPr>
        <w:t xml:space="preserve">Ex-vivo consumes the directive. Assay selection is directive-driven, not free-form. Hepatocyte clearance assays confirm §6.1.b. CYP inhibition panels confirm §6.1.a. Three-dimensional tissue toxicity assays confirm predicted safety profile. Permeability assays (Caco-2, MDCK) confirm absorption. Each assay emits a result tested against the directive's expected range and falsifier set. An ex-vivo run that does not reference a directive is rejected at write time — the same enforcement model as L1 schema validation in phase 1. The only legitimate non-directive entry path is a CategoricalExemption record (section 5.8), used for cases where a prediction is biologically inapplicable rather than absent.</w:t>
      </w:r>
    </w:p>
    <w:p>
      <w:pPr>
        <w:pStyle w:val="Heading2"/>
        <w:spacing w:after="120" w:before="260"/>
      </w:pPr>
      <w:r>
        <w:rPr>
          <w:rFonts w:ascii="Calibri" w:cs="Calibri" w:eastAsia="Calibri" w:hAnsi="Calibri"/>
          <w:b/>
          <w:bCs/>
          <w:sz w:val="28"/>
          <w:szCs w:val="28"/>
        </w:rPr>
        <w:t xml:space="preserve">4.5 Phase 5 — Falsifier check</w:t>
      </w:r>
    </w:p>
    <w:p>
      <w:pPr>
        <w:spacing w:after="80" w:before="80" w:line="300"/>
        <w:jc w:val="left"/>
      </w:pPr>
      <w:r>
        <w:rPr>
          <w:rFonts w:ascii="Calibri" w:cs="Calibri" w:eastAsia="Calibri" w:hAnsi="Calibri"/>
          <w:sz w:val="22"/>
          <w:szCs w:val="22"/>
        </w:rPr>
        <w:t xml:space="preserve">For each compound, did any directive-flagged FalsifierId trigger in ex-vivo? If yes, the in-silico prediction for that domain is falsified, not 'low confidence' — they are different states with different downstream consequences. Falsified predictions are marked explicitly in the per-track evidence block and do not silently average with ex-vivo into a softer joint number. This is the keystone property: it is what lets Phase1Planner make defensible IND-gate decisions later, including the MABEL bias case ('in-silico off-target falsifier was accepted at L2, therefore require MABEL regardless of HED-based dose calculation').</w:t>
      </w:r>
    </w:p>
    <w:p>
      <w:pPr>
        <w:pStyle w:val="Heading2"/>
        <w:spacing w:after="120" w:before="260"/>
      </w:pPr>
      <w:r>
        <w:rPr>
          <w:rFonts w:ascii="Calibri" w:cs="Calibri" w:eastAsia="Calibri" w:hAnsi="Calibri"/>
          <w:b/>
          <w:bCs/>
          <w:sz w:val="28"/>
          <w:szCs w:val="28"/>
        </w:rPr>
        <w:t xml:space="preserve">4.6 Phase 6 — Joint output synthesis</w:t>
      </w:r>
    </w:p>
    <w:p>
      <w:pPr>
        <w:spacing w:after="80" w:before="80" w:line="300"/>
        <w:jc w:val="left"/>
      </w:pPr>
      <w:r>
        <w:rPr>
          <w:rFonts w:ascii="Calibri" w:cs="Calibri" w:eastAsia="Calibri" w:hAnsi="Calibri"/>
          <w:sz w:val="22"/>
          <w:szCs w:val="22"/>
        </w:rPr>
        <w:t xml:space="preserve">For each domain that is a joint L1+L2 output (CYP-Transporter §6.1.a, clearance-fractions §6.1.b, off-target, dose-response, hERG-PBPK projection), the Confirmation Layer produces a synthesis record. Three outcomes are possible per domain:</w:t>
      </w:r>
    </w:p>
    <w:p>
      <w:pPr>
        <w:pStyle w:val="ListParagraph"/>
        <w:numPr>
          <w:ilvl w:val="0"/>
          <w:numId w:val="2"/>
        </w:numPr>
        <w:spacing w:after="60" w:before="60" w:line="300"/>
      </w:pPr>
      <w:r>
        <w:rPr>
          <w:rFonts w:ascii="Calibri" w:cs="Calibri" w:eastAsia="Calibri" w:hAnsi="Calibri"/>
          <w:b/>
          <w:bCs/>
          <w:sz w:val="22"/>
          <w:szCs w:val="22"/>
        </w:rPr>
        <w:t xml:space="preserve">Agree.</w:t>
      </w:r>
      <w:r>
        <w:rPr>
          <w:rFonts w:ascii="Calibri" w:cs="Calibri" w:eastAsia="Calibri" w:hAnsi="Calibri"/>
          <w:sz w:val="22"/>
          <w:szCs w:val="22"/>
        </w:rPr>
        <w:t xml:space="preserve"> In-silico and ex-vivo agree within the joint output's typed tolerance. The joint signal is emitted with high confidence.</w:t>
      </w:r>
    </w:p>
    <w:p>
      <w:pPr>
        <w:pStyle w:val="ListParagraph"/>
        <w:numPr>
          <w:ilvl w:val="0"/>
          <w:numId w:val="2"/>
        </w:numPr>
        <w:spacing w:after="60" w:before="60" w:line="300"/>
      </w:pPr>
      <w:r>
        <w:rPr>
          <w:rFonts w:ascii="Calibri" w:cs="Calibri" w:eastAsia="Calibri" w:hAnsi="Calibri"/>
          <w:b/>
          <w:bCs/>
          <w:sz w:val="22"/>
          <w:szCs w:val="22"/>
        </w:rPr>
        <w:t xml:space="preserve">Disagree.</w:t>
      </w:r>
      <w:r>
        <w:rPr>
          <w:rFonts w:ascii="Calibri" w:cs="Calibri" w:eastAsia="Calibri" w:hAnsi="Calibri"/>
          <w:sz w:val="22"/>
          <w:szCs w:val="22"/>
        </w:rPr>
        <w:t xml:space="preserve"> Ex-vivo wins by default. The in-silico prediction is marked falsified for that domain. The joint output carries a confidenceCaveat field and an explicit reference to which falsifier triggered. Override is possible (with the full override block) but not silent.</w:t>
      </w:r>
    </w:p>
    <w:p>
      <w:pPr>
        <w:pStyle w:val="ListParagraph"/>
        <w:numPr>
          <w:ilvl w:val="0"/>
          <w:numId w:val="2"/>
        </w:numPr>
        <w:spacing w:after="60" w:before="60" w:line="300"/>
      </w:pPr>
      <w:r>
        <w:rPr>
          <w:rFonts w:ascii="Calibri" w:cs="Calibri" w:eastAsia="Calibri" w:hAnsi="Calibri"/>
          <w:b/>
          <w:bCs/>
          <w:sz w:val="22"/>
          <w:szCs w:val="22"/>
        </w:rPr>
        <w:t xml:space="preserve">Partial.</w:t>
      </w:r>
      <w:r>
        <w:rPr>
          <w:rFonts w:ascii="Calibri" w:cs="Calibri" w:eastAsia="Calibri" w:hAnsi="Calibri"/>
          <w:sz w:val="22"/>
          <w:szCs w:val="22"/>
        </w:rPr>
        <w:t xml:space="preserve"> Ex-vivo is missing the corresponding assay. The joint output is marked partial with an mlOnlyEvidence flag and a typed repairPath that names the missing assay, the expected range, and which downstream decisions are blocked. No silent fallback to in-silico — partial is a different state from agree.</w:t>
      </w:r>
    </w:p>
    <w:p>
      <w:pPr>
        <w:spacing w:after="80" w:before="80" w:line="300"/>
        <w:jc w:val="left"/>
      </w:pPr>
      <w:r>
        <w:rPr>
          <w:rFonts w:ascii="Calibri" w:cs="Calibri" w:eastAsia="Calibri" w:hAnsi="Calibri"/>
          <w:sz w:val="22"/>
          <w:szCs w:val="22"/>
        </w:rPr>
        <w:t xml:space="preserve">Joint output records land at confirmation.jointOutputs.* with explicit mlEvidenceRef pointers up to L1 and kineticEvidenceRef (or equivalent assay-specific reference) pointers down to the specific ex-vivo evidence records that produced them.</w:t>
      </w:r>
    </w:p>
    <w:p>
      <w:pPr>
        <w:pStyle w:val="Heading2"/>
        <w:spacing w:after="120" w:before="260"/>
      </w:pPr>
      <w:r>
        <w:rPr>
          <w:rFonts w:ascii="Calibri" w:cs="Calibri" w:eastAsia="Calibri" w:hAnsi="Calibri"/>
          <w:b/>
          <w:bCs/>
          <w:sz w:val="28"/>
          <w:szCs w:val="28"/>
        </w:rPr>
        <w:t xml:space="preserve">4.7 Phase 7 — Exit gate to L3 Animal Cohort</w:t>
      </w:r>
    </w:p>
    <w:p>
      <w:pPr>
        <w:spacing w:after="80" w:before="80" w:line="300"/>
        <w:jc w:val="left"/>
      </w:pPr>
      <w:r>
        <w:rPr>
          <w:rFonts w:ascii="Calibri" w:cs="Calibri" w:eastAsia="Calibri" w:hAnsi="Calibri"/>
          <w:sz w:val="22"/>
          <w:szCs w:val="22"/>
        </w:rPr>
        <w:t xml:space="preserve">Compound passes if the in-silico gate passed or was overridden, the ex-vivo gate passed with no unhandled falsifiers, and all joint outputs are reconciled or explicitly marked partial. The ConfirmationPackage emitted to L3 carries: per-track evidence blocks (each with evidence, overrides, confidence, gateStatus, falsifiers, emittedAt, emitterEngine, emitterEngineVersion); the joint output blocks; the directive itself (so animal study design can reference what was predicted versus confirmed); the embedded gatePolicy snapshot; and the full override audit trail. Schema in section 5.11.</w:t>
      </w:r>
    </w:p>
    <w:p>
      <w:pPr>
        <w:pStyle w:val="Heading2"/>
        <w:spacing w:after="120" w:before="260"/>
      </w:pPr>
      <w:r>
        <w:rPr>
          <w:rFonts w:ascii="Calibri" w:cs="Calibri" w:eastAsia="Calibri" w:hAnsi="Calibri"/>
          <w:b/>
          <w:bCs/>
          <w:sz w:val="28"/>
          <w:szCs w:val="28"/>
        </w:rPr>
        <w:t xml:space="preserve">4.8 Edge cases pre-decided</w:t>
      </w:r>
    </w:p>
    <w:p>
      <w:pPr>
        <w:spacing w:after="80" w:before="80" w:line="300"/>
        <w:jc w:val="left"/>
      </w:pPr>
      <w:r>
        <w:rPr>
          <w:rFonts w:ascii="Calibri" w:cs="Calibri" w:eastAsia="Calibri" w:hAnsi="Calibri"/>
          <w:sz w:val="22"/>
          <w:szCs w:val="22"/>
        </w:rPr>
        <w:t xml:space="preserve">Three operational edge cases are decided in v2.0.0 rather than left to integration engineers to resolve case-by-case.</w:t>
      </w:r>
    </w:p>
    <w:p>
      <w:pPr>
        <w:spacing w:after="80" w:before="80" w:line="300"/>
        <w:jc w:val="left"/>
      </w:pPr>
      <w:r>
        <w:rPr>
          <w:rFonts w:ascii="Calibri" w:cs="Calibri" w:eastAsia="Calibri" w:hAnsi="Calibri"/>
          <w:b/>
          <w:bCs/>
          <w:sz w:val="22"/>
          <w:szCs w:val="22"/>
        </w:rPr>
        <w:t xml:space="preserve">In-silico cannot make a prediction (training-set gap).</w:t>
      </w:r>
      <w:r>
        <w:rPr>
          <w:rFonts w:ascii="Calibri" w:cs="Calibri" w:eastAsia="Calibri" w:hAnsi="Calibri"/>
          <w:sz w:val="22"/>
          <w:szCs w:val="22"/>
        </w:rPr>
        <w:t xml:space="preserve"> Do not degrade to 'low confidence'. Emit a directiveGap typed state, let ex-vivo run a broader assay panel, and mark the joint output mlGap. directiveGap is recorded with the compound feature class that triggered it so model retraining priorities can be informed downstream.</w:t>
      </w:r>
    </w:p>
    <w:p>
      <w:pPr>
        <w:spacing w:after="80" w:before="80" w:line="300"/>
        <w:jc w:val="left"/>
      </w:pPr>
      <w:r>
        <w:rPr>
          <w:rFonts w:ascii="Calibri" w:cs="Calibri" w:eastAsia="Calibri" w:hAnsi="Calibri"/>
          <w:b/>
          <w:bCs/>
          <w:sz w:val="22"/>
          <w:szCs w:val="22"/>
        </w:rPr>
        <w:t xml:space="preserve">Ex-vivo assay technical failure.</w:t>
      </w:r>
      <w:r>
        <w:rPr>
          <w:rFonts w:ascii="Calibri" w:cs="Calibri" w:eastAsia="Calibri" w:hAnsi="Calibri"/>
          <w:sz w:val="22"/>
          <w:szCs w:val="22"/>
        </w:rPr>
        <w:t xml:space="preserve"> Bounded retry policy with explicit max retries (default 2). On exhaustion, record an assayFailureRecord and proceed with partial confirmation rather than blocking the compound. The repairPath on the resulting partial joint output names the failed assay so re-runs can be scheduled.</w:t>
      </w:r>
    </w:p>
    <w:p>
      <w:pPr>
        <w:spacing w:after="80" w:before="80" w:line="300"/>
        <w:jc w:val="left"/>
      </w:pPr>
      <w:r>
        <w:rPr>
          <w:rFonts w:ascii="Calibri" w:cs="Calibri" w:eastAsia="Calibri" w:hAnsi="Calibri"/>
          <w:b/>
          <w:bCs/>
          <w:sz w:val="22"/>
          <w:szCs w:val="22"/>
        </w:rPr>
        <w:t xml:space="preserve">Compound is well-characterised enough that ex-vivo would be wasted.</w:t>
      </w:r>
      <w:r>
        <w:rPr>
          <w:rFonts w:ascii="Calibri" w:cs="Calibri" w:eastAsia="Calibri" w:hAnsi="Calibri"/>
          <w:sz w:val="22"/>
          <w:szCs w:val="22"/>
        </w:rPr>
        <w:t xml:space="preserve"> Allow an explicit exVivoSkipped override carrying reason, l1MlConfidenceThresholdMet, priorArtRef, and the standard override block. The override is structurally distinct from the CategoricalExemption case (section 5.8) — exVivoSkipped applies to a specific compound on a case-by-case basis, CategoricalExemption applies to a (compoundClass, predictionDomain) pair across the catalogue. Phase1Planner sees the skip explicitly and biases MABEL conservative on dose.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6"/>
              <w:left w:val="single" w:color="A0A0A0" w:sz="6"/>
              <w:bottom w:val="single" w:color="A0A0A0" w:sz="6"/>
              <w:right w:val="single" w:color="A0A0A0" w:sz="6"/>
            </w:tcBorders>
            <w:shd w:fill="FAF8E6" w:val="clear"/>
            <w:tcMar>
              <w:top w:type="dxa" w:w="120"/>
              <w:left w:type="dxa" w:w="200"/>
              <w:bottom w:type="dxa" w:w="120"/>
              <w:right w:type="dxa" w:w="200"/>
            </w:tcMar>
          </w:tcPr>
          <w:p>
            <w:pPr>
              <w:spacing w:after="60"/>
            </w:pPr>
            <w:r>
              <w:rPr>
                <w:rFonts w:ascii="Calibri" w:cs="Calibri" w:eastAsia="Calibri" w:hAnsi="Calibri"/>
                <w:b/>
                <w:bCs/>
                <w:color w:val="5A4A00"/>
                <w:sz w:val="20"/>
                <w:szCs w:val="20"/>
              </w:rPr>
              <w:t xml:space="preserve">The risk this design defends against</w:t>
            </w:r>
          </w:p>
          <w:p>
            <w:pPr>
              <w:spacing w:line="280"/>
            </w:pPr>
            <w:r>
              <w:rPr>
                <w:rFonts w:ascii="Calibri" w:cs="Calibri" w:eastAsia="Calibri" w:hAnsi="Calibri"/>
                <w:sz w:val="22"/>
                <w:szCs w:val="22"/>
              </w:rPr>
              <w:t xml:space="preserve">Sub-tracks drifting back into one blob within a quarter — the failure mode that motivated the v2.0.0 schema work. Three properties carry that load: ex-vivo cannot start without consuming a directive (or asserting categorical exemption); falsified is a typed state distinct from low-confidence; joint outputs cannot silently fall back to in-silico-only when ex-vivo is missing. If any of those gets relaxed in v2.0.x for short-term convenience, the design is gone and the cost-curve discipline is gone with it.</w:t>
            </w:r>
          </w:p>
        </w:tc>
      </w:tr>
    </w:tbl>
    <w:p>
      <w:r>
        <w:br w:type="page"/>
      </w:r>
    </w:p>
    <w:p>
      <w:pPr>
        <w:pStyle w:val="Heading1"/>
        <w:spacing w:after="160" w:before="320"/>
      </w:pPr>
      <w:r>
        <w:rPr>
          <w:rFonts w:ascii="Calibri" w:cs="Calibri" w:eastAsia="Calibri" w:hAnsi="Calibri"/>
          <w:b/>
          <w:bCs/>
          <w:sz w:val="32"/>
          <w:szCs w:val="32"/>
        </w:rPr>
        <w:t xml:space="preserve">5. Schema v2.0.0</w:t>
      </w:r>
    </w:p>
    <w:p>
      <w:pPr>
        <w:spacing w:after="80" w:before="80" w:line="300"/>
        <w:jc w:val="left"/>
      </w:pPr>
      <w:r>
        <w:rPr>
          <w:rFonts w:ascii="Calibri" w:cs="Calibri" w:eastAsia="Calibri" w:hAnsi="Calibri"/>
          <w:sz w:val="22"/>
          <w:szCs w:val="22"/>
        </w:rPr>
        <w:t xml:space="preserve">The schema is presented as TypeScript-flavoured pseudocode. The actual implementation is expected to live in lib/preclinical-handoff/ as TypeScript modules with runtime validation via Zod or a comparable schema validator. Schema migration from v1.x is covered in section 8.</w:t>
      </w:r>
    </w:p>
    <w:p>
      <w:pPr>
        <w:pStyle w:val="Heading2"/>
        <w:spacing w:after="120" w:before="260"/>
      </w:pPr>
      <w:r>
        <w:rPr>
          <w:rFonts w:ascii="Calibri" w:cs="Calibri" w:eastAsia="Calibri" w:hAnsi="Calibri"/>
          <w:b/>
          <w:bCs/>
          <w:sz w:val="28"/>
          <w:szCs w:val="28"/>
        </w:rPr>
        <w:t xml:space="preserve">5.1 PreClinicalPackage v2.0.0 (top-level shape)</w:t>
      </w:r>
    </w:p>
    <w:p>
      <w:pPr>
        <w:spacing w:after="80" w:before="80" w:line="300"/>
        <w:jc w:val="left"/>
      </w:pPr>
      <w:r>
        <w:rPr>
          <w:rFonts w:ascii="Calibri" w:cs="Calibri" w:eastAsia="Calibri" w:hAnsi="Calibri"/>
          <w:sz w:val="22"/>
          <w:szCs w:val="22"/>
        </w:rPr>
        <w:t xml:space="preserve">The root type emitted at the L3 → Phase 1 Planning boundary. It aggregates the typed packages from each upstream layer and carries the cross-cutting fields that any consumer needs without unpacking the layer-specific blocks.</w:t>
      </w:r>
    </w:p>
    <w:p>
      <w:pPr>
        <w:shd w:fill="F4F4F4" w:val="clear"/>
        <w:spacing w:after="0" w:before="120" w:line="260"/>
        <w:ind w:left="240"/>
      </w:pPr>
      <w:r>
        <w:rPr>
          <w:rFonts w:ascii="Consolas" w:cs="Consolas" w:eastAsia="Consolas" w:hAnsi="Consolas"/>
          <w:sz w:val="19"/>
          <w:szCs w:val="19"/>
        </w:rPr>
        <w:t xml:space="preserve">interface PreClinicalPackage {</w:t>
      </w:r>
    </w:p>
    <w:p>
      <w:pPr>
        <w:shd w:fill="F4F4F4" w:val="clear"/>
        <w:spacing w:after="0" w:before="0" w:line="260"/>
        <w:ind w:left="240"/>
      </w:pPr>
      <w:r>
        <w:rPr>
          <w:rFonts w:ascii="Consolas" w:cs="Consolas" w:eastAsia="Consolas" w:hAnsi="Consolas"/>
          <w:sz w:val="19"/>
          <w:szCs w:val="19"/>
        </w:rPr>
        <w:t xml:space="preserve">  schemaVersion: '2.0.0';</w:t>
      </w:r>
    </w:p>
    <w:p>
      <w:pPr>
        <w:shd w:fill="F4F4F4" w:val="clear"/>
        <w:spacing w:after="0" w:before="0" w:line="260"/>
        <w:ind w:left="240"/>
      </w:pPr>
      <w:r>
        <w:rPr>
          <w:rFonts w:ascii="Consolas" w:cs="Consolas" w:eastAsia="Consolas" w:hAnsi="Consolas"/>
          <w:sz w:val="19"/>
          <w:szCs w:val="19"/>
        </w:rPr>
        <w:t xml:space="preserve">  compoundId: CompoundId;</w:t>
      </w:r>
    </w:p>
    <w:p>
      <w:pPr>
        <w:shd w:fill="F4F4F4" w:val="clear"/>
        <w:spacing w:after="0" w:before="0" w:line="260"/>
        <w:ind w:left="240"/>
      </w:pPr>
      <w:r>
        <w:rPr>
          <w:rFonts w:ascii="Consolas" w:cs="Consolas" w:eastAsia="Consolas" w:hAnsi="Consolas"/>
          <w:sz w:val="19"/>
          <w:szCs w:val="19"/>
        </w:rPr>
        <w:t xml:space="preserve">  programId: ProgramId;</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Per-layer evidence blocks (section 5.2)</w:t>
      </w:r>
    </w:p>
    <w:p>
      <w:pPr>
        <w:shd w:fill="F4F4F4" w:val="clear"/>
        <w:spacing w:after="0" w:before="0" w:line="260"/>
        <w:ind w:left="240"/>
      </w:pPr>
      <w:r>
        <w:rPr>
          <w:rFonts w:ascii="Consolas" w:cs="Consolas" w:eastAsia="Consolas" w:hAnsi="Consolas"/>
          <w:sz w:val="19"/>
          <w:szCs w:val="19"/>
        </w:rPr>
        <w:t xml:space="preserve">  inVitro: InVitroEvidenceBlock;</w:t>
      </w:r>
    </w:p>
    <w:p>
      <w:pPr>
        <w:shd w:fill="F4F4F4" w:val="clear"/>
        <w:spacing w:after="0" w:before="0" w:line="260"/>
        <w:ind w:left="240"/>
      </w:pPr>
      <w:r>
        <w:rPr>
          <w:rFonts w:ascii="Consolas" w:cs="Consolas" w:eastAsia="Consolas" w:hAnsi="Consolas"/>
          <w:sz w:val="19"/>
          <w:szCs w:val="19"/>
        </w:rPr>
        <w:t xml:space="preserve">  confirmation: ConfirmationEvidenceBlock;   // section 5.11</w:t>
      </w:r>
    </w:p>
    <w:p>
      <w:pPr>
        <w:shd w:fill="F4F4F4" w:val="clear"/>
        <w:spacing w:after="0" w:before="0" w:line="260"/>
        <w:ind w:left="240"/>
      </w:pPr>
      <w:r>
        <w:rPr>
          <w:rFonts w:ascii="Consolas" w:cs="Consolas" w:eastAsia="Consolas" w:hAnsi="Consolas"/>
          <w:sz w:val="19"/>
          <w:szCs w:val="19"/>
        </w:rPr>
        <w:t xml:space="preserve">  animalCohort: AnimalCohortEvidenceBlock;</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Cross-cutting fields read by Phase1Planner</w:t>
      </w:r>
    </w:p>
    <w:p>
      <w:pPr>
        <w:shd w:fill="F4F4F4" w:val="clear"/>
        <w:spacing w:after="0" w:before="0" w:line="260"/>
        <w:ind w:left="240"/>
      </w:pPr>
      <w:r>
        <w:rPr>
          <w:rFonts w:ascii="Consolas" w:cs="Consolas" w:eastAsia="Consolas" w:hAnsi="Consolas"/>
          <w:sz w:val="19"/>
          <w:szCs w:val="19"/>
        </w:rPr>
        <w:t xml:space="preserve">  gatePolicy: GatePolicySnapshot;             // section 5.4</w:t>
      </w:r>
    </w:p>
    <w:p>
      <w:pPr>
        <w:shd w:fill="F4F4F4" w:val="clear"/>
        <w:spacing w:after="0" w:before="0" w:line="260"/>
        <w:ind w:left="240"/>
      </w:pPr>
      <w:r>
        <w:rPr>
          <w:rFonts w:ascii="Consolas" w:cs="Consolas" w:eastAsia="Consolas" w:hAnsi="Consolas"/>
          <w:sz w:val="19"/>
          <w:szCs w:val="19"/>
        </w:rPr>
        <w:t xml:space="preserve">  overrideAuditTrail: OverrideRecord[];      // section 5.7</w:t>
      </w:r>
    </w:p>
    <w:p>
      <w:pPr>
        <w:shd w:fill="F4F4F4" w:val="clear"/>
        <w:spacing w:after="0" w:before="0" w:line="260"/>
        <w:ind w:left="240"/>
      </w:pPr>
      <w:r>
        <w:rPr>
          <w:rFonts w:ascii="Consolas" w:cs="Consolas" w:eastAsia="Consolas" w:hAnsi="Consolas"/>
          <w:sz w:val="19"/>
          <w:szCs w:val="19"/>
        </w:rPr>
        <w:t xml:space="preserve">  falsifierRegistryVersion: string;          // section 5.6</w:t>
      </w:r>
    </w:p>
    <w:p>
      <w:pPr>
        <w:shd w:fill="F4F4F4" w:val="clear"/>
        <w:spacing w:after="0" w:before="0" w:line="260"/>
        <w:ind w:left="240"/>
      </w:pPr>
      <w:r>
        <w:rPr>
          <w:rFonts w:ascii="Consolas" w:cs="Consolas" w:eastAsia="Consolas" w:hAnsi="Consolas"/>
          <w:sz w:val="19"/>
          <w:szCs w:val="19"/>
        </w:rPr>
        <w:t xml:space="preserve">  categoricalExemptionsApplied: CategoricalExemption[]; // section 5.8</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5.2 Per-layer evidence blocks</w:t>
      </w:r>
    </w:p>
    <w:p>
      <w:pPr>
        <w:spacing w:after="80" w:before="80" w:line="300"/>
        <w:jc w:val="left"/>
      </w:pPr>
      <w:r>
        <w:rPr>
          <w:rFonts w:ascii="Calibri" w:cs="Calibri" w:eastAsia="Calibri" w:hAnsi="Calibri"/>
          <w:sz w:val="22"/>
          <w:szCs w:val="22"/>
        </w:rPr>
        <w:t xml:space="preserve">Every layer emits an evidence block with the same external shape so consumers (and validators) can treat them uniformly. The contents of each layer's evidence array are layer-specific — InVitro evidence is assay results, Confirmation is prediction-and-confirmation pairs, AnimalCohort is study readouts — but the surrounding metadata is identical.</w:t>
      </w:r>
    </w:p>
    <w:p>
      <w:pPr>
        <w:shd w:fill="F4F4F4" w:val="clear"/>
        <w:spacing w:after="0" w:before="120" w:line="260"/>
        <w:ind w:left="240"/>
      </w:pPr>
      <w:r>
        <w:rPr>
          <w:rFonts w:ascii="Consolas" w:cs="Consolas" w:eastAsia="Consolas" w:hAnsi="Consolas"/>
          <w:sz w:val="19"/>
          <w:szCs w:val="19"/>
        </w:rPr>
        <w:t xml:space="preserve">interface LayerEvidenceBlock&lt;TEvidence&gt; {</w:t>
      </w:r>
    </w:p>
    <w:p>
      <w:pPr>
        <w:shd w:fill="F4F4F4" w:val="clear"/>
        <w:spacing w:after="0" w:before="0" w:line="260"/>
        <w:ind w:left="240"/>
      </w:pPr>
      <w:r>
        <w:rPr>
          <w:rFonts w:ascii="Consolas" w:cs="Consolas" w:eastAsia="Consolas" w:hAnsi="Consolas"/>
          <w:sz w:val="19"/>
          <w:szCs w:val="19"/>
        </w:rPr>
        <w:t xml:space="preserve">  layer: 'inVitro' | 'confirmation' | 'animalCohort';</w:t>
      </w:r>
    </w:p>
    <w:p>
      <w:pPr>
        <w:shd w:fill="F4F4F4" w:val="clear"/>
        <w:spacing w:after="0" w:before="0" w:line="260"/>
        <w:ind w:left="240"/>
      </w:pPr>
      <w:r>
        <w:rPr>
          <w:rFonts w:ascii="Consolas" w:cs="Consolas" w:eastAsia="Consolas" w:hAnsi="Consolas"/>
          <w:sz w:val="19"/>
          <w:szCs w:val="19"/>
        </w:rPr>
        <w:t xml:space="preserve">  evidence: TEvidence[];                  // layer-specific evidence records</w:t>
      </w:r>
    </w:p>
    <w:p>
      <w:pPr>
        <w:shd w:fill="F4F4F4" w:val="clear"/>
        <w:spacing w:after="0" w:before="0" w:line="260"/>
        <w:ind w:left="240"/>
      </w:pPr>
      <w:r>
        <w:rPr>
          <w:rFonts w:ascii="Consolas" w:cs="Consolas" w:eastAsia="Consolas" w:hAnsi="Consolas"/>
          <w:sz w:val="19"/>
          <w:szCs w:val="19"/>
        </w:rPr>
        <w:t xml:space="preserve">  confidence: ConfidenceVector;           // per prediction-class confidence</w:t>
      </w:r>
    </w:p>
    <w:p>
      <w:pPr>
        <w:shd w:fill="F4F4F4" w:val="clear"/>
        <w:spacing w:after="0" w:before="0" w:line="260"/>
        <w:ind w:left="240"/>
      </w:pPr>
      <w:r>
        <w:rPr>
          <w:rFonts w:ascii="Consolas" w:cs="Consolas" w:eastAsia="Consolas" w:hAnsi="Consolas"/>
          <w:sz w:val="19"/>
          <w:szCs w:val="19"/>
        </w:rPr>
        <w:t xml:space="preserve">  gateStatus: 'passed' | 'failed' | 'overridden';</w:t>
      </w:r>
    </w:p>
    <w:p>
      <w:pPr>
        <w:shd w:fill="F4F4F4" w:val="clear"/>
        <w:spacing w:after="0" w:before="0" w:line="260"/>
        <w:ind w:left="240"/>
      </w:pPr>
      <w:r>
        <w:rPr>
          <w:rFonts w:ascii="Consolas" w:cs="Consolas" w:eastAsia="Consolas" w:hAnsi="Consolas"/>
          <w:sz w:val="19"/>
          <w:szCs w:val="19"/>
        </w:rPr>
        <w:t xml:space="preserve">  falsifiers: FalsifierTrigger[];        // which FalsifierIds triggered</w:t>
      </w:r>
    </w:p>
    <w:p>
      <w:pPr>
        <w:shd w:fill="F4F4F4" w:val="clear"/>
        <w:spacing w:after="0" w:before="0" w:line="260"/>
        <w:ind w:left="240"/>
      </w:pPr>
      <w:r>
        <w:rPr>
          <w:rFonts w:ascii="Consolas" w:cs="Consolas" w:eastAsia="Consolas" w:hAnsi="Consolas"/>
          <w:sz w:val="19"/>
          <w:szCs w:val="19"/>
        </w:rPr>
        <w:t xml:space="preserve">  overrides: OverrideRecord[];           // section 5.7</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0" w:before="0" w:line="260"/>
        <w:ind w:left="240"/>
      </w:pPr>
      <w:r>
        <w:rPr>
          <w:rFonts w:ascii="Consolas" w:cs="Consolas" w:eastAsia="Consolas" w:hAnsi="Consolas"/>
          <w:sz w:val="19"/>
          <w:szCs w:val="19"/>
        </w:rPr>
        <w:t xml:space="preserve">  emitterEngine: EngineId;               // e.g. 'httk@2.5.1'</w:t>
      </w:r>
    </w:p>
    <w:p>
      <w:pPr>
        <w:shd w:fill="F4F4F4" w:val="clear"/>
        <w:spacing w:after="0" w:before="0" w:line="260"/>
        <w:ind w:left="240"/>
      </w:pPr>
      <w:r>
        <w:rPr>
          <w:rFonts w:ascii="Consolas" w:cs="Consolas" w:eastAsia="Consolas" w:hAnsi="Consolas"/>
          <w:sz w:val="19"/>
          <w:szCs w:val="19"/>
        </w:rPr>
        <w:t xml:space="preserve">  emitterEngineVersion: string;</w:t>
      </w:r>
    </w:p>
    <w:p>
      <w:pPr>
        <w:shd w:fill="F4F4F4" w:val="clear"/>
        <w:spacing w:after="0" w:before="0" w:line="260"/>
        <w:ind w:left="240"/>
      </w:pPr>
      <w:r>
        <w:rPr>
          <w:rFonts w:ascii="Consolas" w:cs="Consolas" w:eastAsia="Consolas" w:hAnsi="Consolas"/>
          <w:sz w:val="19"/>
          <w:szCs w:val="19"/>
        </w:rPr>
        <w:t xml:space="preserve">  l1EvidencePointer: EvidencePointer | null; // null only for inVitro itself</w:t>
      </w:r>
    </w:p>
    <w:p>
      <w:pPr>
        <w:shd w:fill="F4F4F4" w:val="clear"/>
        <w:spacing w:after="120" w:before="0" w:line="260"/>
        <w:ind w:left="240"/>
      </w:pPr>
      <w:r>
        <w:rPr>
          <w:rFonts w:ascii="Consolas" w:cs="Consolas" w:eastAsia="Consolas" w:hAnsi="Consolas"/>
          <w:sz w:val="19"/>
          <w:szCs w:val="19"/>
        </w:rPr>
        <w:t xml:space="preserve">}</w:t>
      </w:r>
    </w:p>
    <w:p>
      <w:pPr>
        <w:spacing w:after="80" w:before="80" w:line="300"/>
        <w:jc w:val="left"/>
      </w:pPr>
      <w:r>
        <w:rPr>
          <w:rFonts w:ascii="Calibri" w:cs="Calibri" w:eastAsia="Calibri" w:hAnsi="Calibri"/>
          <w:sz w:val="22"/>
          <w:szCs w:val="22"/>
        </w:rPr>
        <w:t xml:space="preserve">FalsifierTrigger captures which falsifier from the registry was tripped, by which evidence, with which margin. ConfidenceVector is keyed by prediction class (admet, hERG, off-target, etc.) and carries a numeric confidence per class plus a method tag indicating how the confidence was derived (model uncertainty, ensemble variance, calibration set proximity).</w:t>
      </w:r>
    </w:p>
    <w:p>
      <w:pPr>
        <w:shd w:fill="F4F4F4" w:val="clear"/>
        <w:spacing w:after="0" w:before="120" w:line="260"/>
        <w:ind w:left="240"/>
      </w:pPr>
      <w:r>
        <w:rPr>
          <w:rFonts w:ascii="Consolas" w:cs="Consolas" w:eastAsia="Consolas" w:hAnsi="Consolas"/>
          <w:sz w:val="19"/>
          <w:szCs w:val="19"/>
        </w:rPr>
        <w:t xml:space="preserve">interface FalsifierTrigger {</w:t>
      </w:r>
    </w:p>
    <w:p>
      <w:pPr>
        <w:shd w:fill="F4F4F4" w:val="clear"/>
        <w:spacing w:after="0" w:before="0" w:line="260"/>
        <w:ind w:left="240"/>
      </w:pPr>
      <w:r>
        <w:rPr>
          <w:rFonts w:ascii="Consolas" w:cs="Consolas" w:eastAsia="Consolas" w:hAnsi="Consolas"/>
          <w:sz w:val="19"/>
          <w:szCs w:val="19"/>
        </w:rPr>
        <w:t xml:space="preserve">  falsifierId: FalsifierId;              // typed reference to registry</w:t>
      </w:r>
    </w:p>
    <w:p>
      <w:pPr>
        <w:shd w:fill="F4F4F4" w:val="clear"/>
        <w:spacing w:after="0" w:before="0" w:line="260"/>
        <w:ind w:left="240"/>
      </w:pPr>
      <w:r>
        <w:rPr>
          <w:rFonts w:ascii="Consolas" w:cs="Consolas" w:eastAsia="Consolas" w:hAnsi="Consolas"/>
          <w:sz w:val="19"/>
          <w:szCs w:val="19"/>
        </w:rPr>
        <w:t xml:space="preserve">  triggeredByEvidence: EvidencePointer;  // which result tripped it</w:t>
      </w:r>
    </w:p>
    <w:p>
      <w:pPr>
        <w:shd w:fill="F4F4F4" w:val="clear"/>
        <w:spacing w:after="0" w:before="0" w:line="260"/>
        <w:ind w:left="240"/>
      </w:pPr>
      <w:r>
        <w:rPr>
          <w:rFonts w:ascii="Consolas" w:cs="Consolas" w:eastAsia="Consolas" w:hAnsi="Consolas"/>
          <w:sz w:val="19"/>
          <w:szCs w:val="19"/>
        </w:rPr>
        <w:t xml:space="preserve">  marginObserved: number;                 // how badly the falsifier triggered</w:t>
      </w:r>
    </w:p>
    <w:p>
      <w:pPr>
        <w:shd w:fill="F4F4F4" w:val="clear"/>
        <w:spacing w:after="0" w:before="0" w:line="260"/>
        <w:ind w:left="240"/>
      </w:pPr>
      <w:r>
        <w:rPr>
          <w:rFonts w:ascii="Consolas" w:cs="Consolas" w:eastAsia="Consolas" w:hAnsi="Consolas"/>
          <w:sz w:val="19"/>
          <w:szCs w:val="19"/>
        </w:rPr>
        <w:t xml:space="preserve">  predictionFalsified: PredictionDomain;  // which domain is now falsified</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ConfidenceVector {</w:t>
      </w:r>
    </w:p>
    <w:p>
      <w:pPr>
        <w:shd w:fill="F4F4F4" w:val="clear"/>
        <w:spacing w:after="0" w:before="0" w:line="260"/>
        <w:ind w:left="240"/>
      </w:pPr>
      <w:r>
        <w:rPr>
          <w:rFonts w:ascii="Consolas" w:cs="Consolas" w:eastAsia="Consolas" w:hAnsi="Consolas"/>
          <w:sz w:val="19"/>
          <w:szCs w:val="19"/>
        </w:rPr>
        <w:t xml:space="preserve">  byClass: Record&lt;PredictionClass, {</w:t>
      </w:r>
    </w:p>
    <w:p>
      <w:pPr>
        <w:shd w:fill="F4F4F4" w:val="clear"/>
        <w:spacing w:after="0" w:before="0" w:line="260"/>
        <w:ind w:left="240"/>
      </w:pPr>
      <w:r>
        <w:rPr>
          <w:rFonts w:ascii="Consolas" w:cs="Consolas" w:eastAsia="Consolas" w:hAnsi="Consolas"/>
          <w:sz w:val="19"/>
          <w:szCs w:val="19"/>
        </w:rPr>
        <w:t xml:space="preserve">    value: number;                       // 0..1</w:t>
      </w:r>
    </w:p>
    <w:p>
      <w:pPr>
        <w:shd w:fill="F4F4F4" w:val="clear"/>
        <w:spacing w:after="0" w:before="0" w:line="260"/>
        <w:ind w:left="240"/>
      </w:pPr>
      <w:r>
        <w:rPr>
          <w:rFonts w:ascii="Consolas" w:cs="Consolas" w:eastAsia="Consolas" w:hAnsi="Consolas"/>
          <w:sz w:val="19"/>
          <w:szCs w:val="19"/>
        </w:rPr>
        <w:t xml:space="preserve">    method: 'model_uncertainty' | 'ensemble_variance' | 'calibration_proximity';</w:t>
      </w:r>
    </w:p>
    <w:p>
      <w:pPr>
        <w:shd w:fill="F4F4F4" w:val="clear"/>
        <w:spacing w:after="0" w:before="0" w:line="260"/>
        <w:ind w:left="240"/>
      </w:pPr>
      <w:r>
        <w:rPr>
          <w:rFonts w:ascii="Consolas" w:cs="Consolas" w:eastAsia="Consolas" w:hAnsi="Consolas"/>
          <w:sz w:val="19"/>
          <w:szCs w:val="19"/>
        </w:rPr>
        <w:t xml:space="preserve">    derivedFrom: EvidencePointer[];</w:t>
      </w:r>
    </w:p>
    <w:p>
      <w:pPr>
        <w:shd w:fill="F4F4F4" w:val="clear"/>
        <w:spacing w:after="0" w:before="0" w:line="260"/>
        <w:ind w:left="240"/>
      </w:pPr>
      <w:r>
        <w:rPr>
          <w:rFonts w:ascii="Consolas" w:cs="Consolas" w:eastAsia="Consolas" w:hAnsi="Consolas"/>
          <w:sz w:val="19"/>
          <w:szCs w:val="19"/>
        </w:rPr>
        <w:t xml:space="preserve">  }&gt;;</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5.3 PreConfirmationDirective</w:t>
      </w:r>
    </w:p>
    <w:p>
      <w:pPr>
        <w:spacing w:after="80" w:before="80" w:line="300"/>
        <w:jc w:val="left"/>
      </w:pPr>
      <w:r>
        <w:rPr>
          <w:rFonts w:ascii="Calibri" w:cs="Calibri" w:eastAsia="Calibri" w:hAnsi="Calibri"/>
          <w:sz w:val="22"/>
          <w:szCs w:val="22"/>
        </w:rPr>
        <w:t xml:space="preserve">The contract emitted by the in-silico sub-track and consumed by ex-vivo. Without one, ex-vivo cannot run (modulo CategoricalExemption). With one, ex-vivo is bound to the assay set, expected ranges, and falsifier panel that in-silico has committed to be testable against.</w:t>
      </w:r>
    </w:p>
    <w:p>
      <w:pPr>
        <w:shd w:fill="F4F4F4" w:val="clear"/>
        <w:spacing w:after="0" w:before="120" w:line="260"/>
        <w:ind w:left="240"/>
      </w:pPr>
      <w:r>
        <w:rPr>
          <w:rFonts w:ascii="Consolas" w:cs="Consolas" w:eastAsia="Consolas" w:hAnsi="Consolas"/>
          <w:sz w:val="19"/>
          <w:szCs w:val="19"/>
        </w:rPr>
        <w:t xml:space="preserve">interface PreConfirmationDirective {</w:t>
      </w:r>
    </w:p>
    <w:p>
      <w:pPr>
        <w:shd w:fill="F4F4F4" w:val="clear"/>
        <w:spacing w:after="0" w:before="0" w:line="260"/>
        <w:ind w:left="240"/>
      </w:pPr>
      <w:r>
        <w:rPr>
          <w:rFonts w:ascii="Consolas" w:cs="Consolas" w:eastAsia="Consolas" w:hAnsi="Consolas"/>
          <w:sz w:val="19"/>
          <w:szCs w:val="19"/>
        </w:rPr>
        <w:t xml:space="preserve">  directiveId: DirectiveId;</w:t>
      </w:r>
    </w:p>
    <w:p>
      <w:pPr>
        <w:shd w:fill="F4F4F4" w:val="clear"/>
        <w:spacing w:after="0" w:before="0" w:line="260"/>
        <w:ind w:left="240"/>
      </w:pPr>
      <w:r>
        <w:rPr>
          <w:rFonts w:ascii="Consolas" w:cs="Consolas" w:eastAsia="Consolas" w:hAnsi="Consolas"/>
          <w:sz w:val="19"/>
          <w:szCs w:val="19"/>
        </w:rPr>
        <w:t xml:space="preserve">  compoundId: CompoundId;</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0" w:before="0" w:line="260"/>
        <w:ind w:left="240"/>
      </w:pPr>
      <w:r>
        <w:rPr>
          <w:rFonts w:ascii="Consolas" w:cs="Consolas" w:eastAsia="Consolas" w:hAnsi="Consolas"/>
          <w:sz w:val="19"/>
          <w:szCs w:val="19"/>
        </w:rPr>
        <w:t xml:space="preserve">  emitterEngine: EngineId;</w:t>
      </w:r>
    </w:p>
    <w:p>
      <w:pPr>
        <w:shd w:fill="F4F4F4" w:val="clear"/>
        <w:spacing w:after="0" w:before="0" w:line="260"/>
        <w:ind w:left="240"/>
      </w:pPr>
      <w:r>
        <w:rPr>
          <w:rFonts w:ascii="Consolas" w:cs="Consolas" w:eastAsia="Consolas" w:hAnsi="Consolas"/>
          <w:sz w:val="19"/>
          <w:szCs w:val="19"/>
        </w:rPr>
        <w:t xml:space="preserve">  l1EvidencePointer: EvidencePointer;</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prioritisedAssays: AssaySpec[];</w:t>
      </w:r>
    </w:p>
    <w:p>
      <w:pPr>
        <w:shd w:fill="F4F4F4" w:val="clear"/>
        <w:spacing w:after="0" w:before="0" w:line="260"/>
        <w:ind w:left="240"/>
      </w:pPr>
      <w:r>
        <w:rPr>
          <w:rFonts w:ascii="Consolas" w:cs="Consolas" w:eastAsia="Consolas" w:hAnsi="Consolas"/>
          <w:sz w:val="19"/>
          <w:szCs w:val="19"/>
        </w:rPr>
        <w:t xml:space="preserve">  expectedRanges: Record&lt;AssayId, ExpectedRange&gt;;</w:t>
      </w:r>
    </w:p>
    <w:p>
      <w:pPr>
        <w:shd w:fill="F4F4F4" w:val="clear"/>
        <w:spacing w:after="0" w:before="0" w:line="260"/>
        <w:ind w:left="240"/>
      </w:pPr>
      <w:r>
        <w:rPr>
          <w:rFonts w:ascii="Consolas" w:cs="Consolas" w:eastAsia="Consolas" w:hAnsi="Consolas"/>
          <w:sz w:val="19"/>
          <w:szCs w:val="19"/>
        </w:rPr>
        <w:t xml:space="preserve">  falsifiers: FalsifierAssertion[];      // what would invalidate the predictions</w:t>
      </w:r>
    </w:p>
    <w:p>
      <w:pPr>
        <w:shd w:fill="F4F4F4" w:val="clear"/>
        <w:spacing w:after="0" w:before="0" w:line="260"/>
        <w:ind w:left="240"/>
      </w:pPr>
      <w:r>
        <w:rPr>
          <w:rFonts w:ascii="Consolas" w:cs="Consolas" w:eastAsia="Consolas" w:hAnsi="Consolas"/>
          <w:sz w:val="19"/>
          <w:szCs w:val="19"/>
        </w:rPr>
        <w:t xml:space="preserve">  recommendedDoseRanges: DoseRange[];</w:t>
      </w:r>
    </w:p>
    <w:p>
      <w:pPr>
        <w:shd w:fill="F4F4F4" w:val="clear"/>
        <w:spacing w:after="0" w:before="0" w:line="260"/>
        <w:ind w:left="240"/>
      </w:pPr>
      <w:r>
        <w:rPr>
          <w:rFonts w:ascii="Consolas" w:cs="Consolas" w:eastAsia="Consolas" w:hAnsi="Consolas"/>
          <w:sz w:val="19"/>
          <w:szCs w:val="19"/>
        </w:rPr>
        <w:t xml:space="preserve">  predictionsCovered: PredictionDomain[];</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FalsifierAssertion {</w:t>
      </w:r>
    </w:p>
    <w:p>
      <w:pPr>
        <w:shd w:fill="F4F4F4" w:val="clear"/>
        <w:spacing w:after="0" w:before="0" w:line="260"/>
        <w:ind w:left="240"/>
      </w:pPr>
      <w:r>
        <w:rPr>
          <w:rFonts w:ascii="Consolas" w:cs="Consolas" w:eastAsia="Consolas" w:hAnsi="Consolas"/>
          <w:sz w:val="19"/>
          <w:szCs w:val="19"/>
        </w:rPr>
        <w:t xml:space="preserve">  falsifierId: FalsifierId;              // from registry</w:t>
      </w:r>
    </w:p>
    <w:p>
      <w:pPr>
        <w:shd w:fill="F4F4F4" w:val="clear"/>
        <w:spacing w:after="0" w:before="0" w:line="260"/>
        <w:ind w:left="240"/>
      </w:pPr>
      <w:r>
        <w:rPr>
          <w:rFonts w:ascii="Consolas" w:cs="Consolas" w:eastAsia="Consolas" w:hAnsi="Consolas"/>
          <w:sz w:val="19"/>
          <w:szCs w:val="19"/>
        </w:rPr>
        <w:t xml:space="preserve">  appliesTo: PredictionDomain;</w:t>
      </w:r>
    </w:p>
    <w:p>
      <w:pPr>
        <w:shd w:fill="F4F4F4" w:val="clear"/>
        <w:spacing w:after="0" w:before="0" w:line="260"/>
        <w:ind w:left="240"/>
      </w:pPr>
      <w:r>
        <w:rPr>
          <w:rFonts w:ascii="Consolas" w:cs="Consolas" w:eastAsia="Consolas" w:hAnsi="Consolas"/>
          <w:sz w:val="19"/>
          <w:szCs w:val="19"/>
        </w:rPr>
        <w:t xml:space="preserve">  triggerCondition: TriggerCondition;    // what assay result trips it</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ExpectedRange {</w:t>
      </w:r>
    </w:p>
    <w:p>
      <w:pPr>
        <w:shd w:fill="F4F4F4" w:val="clear"/>
        <w:spacing w:after="0" w:before="0" w:line="260"/>
        <w:ind w:left="240"/>
      </w:pPr>
      <w:r>
        <w:rPr>
          <w:rFonts w:ascii="Consolas" w:cs="Consolas" w:eastAsia="Consolas" w:hAnsi="Consolas"/>
          <w:sz w:val="19"/>
          <w:szCs w:val="19"/>
        </w:rPr>
        <w:t xml:space="preserve">  central: number;</w:t>
      </w:r>
    </w:p>
    <w:p>
      <w:pPr>
        <w:shd w:fill="F4F4F4" w:val="clear"/>
        <w:spacing w:after="0" w:before="0" w:line="260"/>
        <w:ind w:left="240"/>
      </w:pPr>
      <w:r>
        <w:rPr>
          <w:rFonts w:ascii="Consolas" w:cs="Consolas" w:eastAsia="Consolas" w:hAnsi="Consolas"/>
          <w:sz w:val="19"/>
          <w:szCs w:val="19"/>
        </w:rPr>
        <w:t xml:space="preserve">  tolerance: Tolerance;                  // section 5.5</w:t>
      </w:r>
    </w:p>
    <w:p>
      <w:pPr>
        <w:shd w:fill="F4F4F4" w:val="clear"/>
        <w:spacing w:after="0" w:before="0" w:line="260"/>
        <w:ind w:left="240"/>
      </w:pPr>
      <w:r>
        <w:rPr>
          <w:rFonts w:ascii="Consolas" w:cs="Consolas" w:eastAsia="Consolas" w:hAnsi="Consolas"/>
          <w:sz w:val="19"/>
          <w:szCs w:val="19"/>
        </w:rPr>
        <w:t xml:space="preserve">  unit: string;                          // SI-preferred</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5.4 GatePolicy (embedded in package)</w:t>
      </w:r>
    </w:p>
    <w:p>
      <w:pPr>
        <w:spacing w:after="80" w:before="80" w:line="300"/>
        <w:jc w:val="left"/>
      </w:pPr>
      <w:r>
        <w:rPr>
          <w:rFonts w:ascii="Calibri" w:cs="Calibri" w:eastAsia="Calibri" w:hAnsi="Calibri"/>
          <w:sz w:val="22"/>
          <w:szCs w:val="22"/>
        </w:rPr>
        <w:t xml:space="preserve">The policy in effect at gate time, snapshotted into the package. This is what makes the package portable across partners — partner B's Phase1Planner can see exactly which thresholds and falsifier rules were in force when partner A's Confirmation Layer made its gate decision. The policy carries its own version tag so policy evolution is itself auditable.</w:t>
      </w:r>
    </w:p>
    <w:p>
      <w:pPr>
        <w:shd w:fill="F4F4F4" w:val="clear"/>
        <w:spacing w:after="0" w:before="120" w:line="260"/>
        <w:ind w:left="240"/>
      </w:pPr>
      <w:r>
        <w:rPr>
          <w:rFonts w:ascii="Consolas" w:cs="Consolas" w:eastAsia="Consolas" w:hAnsi="Consolas"/>
          <w:sz w:val="19"/>
          <w:szCs w:val="19"/>
        </w:rPr>
        <w:t xml:space="preserve">interface GatePolicySnapshot {</w:t>
      </w:r>
    </w:p>
    <w:p>
      <w:pPr>
        <w:shd w:fill="F4F4F4" w:val="clear"/>
        <w:spacing w:after="0" w:before="0" w:line="260"/>
        <w:ind w:left="240"/>
      </w:pPr>
      <w:r>
        <w:rPr>
          <w:rFonts w:ascii="Consolas" w:cs="Consolas" w:eastAsia="Consolas" w:hAnsi="Consolas"/>
          <w:sz w:val="19"/>
          <w:szCs w:val="19"/>
        </w:rPr>
        <w:t xml:space="preserve">  policyId: PolicyId;</w:t>
      </w:r>
    </w:p>
    <w:p>
      <w:pPr>
        <w:shd w:fill="F4F4F4" w:val="clear"/>
        <w:spacing w:after="0" w:before="0" w:line="260"/>
        <w:ind w:left="240"/>
      </w:pPr>
      <w:r>
        <w:rPr>
          <w:rFonts w:ascii="Consolas" w:cs="Consolas" w:eastAsia="Consolas" w:hAnsi="Consolas"/>
          <w:sz w:val="19"/>
          <w:szCs w:val="19"/>
        </w:rPr>
        <w:t xml:space="preserve">  policyVersion: string;</w:t>
      </w:r>
    </w:p>
    <w:p>
      <w:pPr>
        <w:shd w:fill="F4F4F4" w:val="clear"/>
        <w:spacing w:after="0" w:before="0" w:line="260"/>
        <w:ind w:left="240"/>
      </w:pPr>
      <w:r>
        <w:rPr>
          <w:rFonts w:ascii="Consolas" w:cs="Consolas" w:eastAsia="Consolas" w:hAnsi="Consolas"/>
          <w:sz w:val="19"/>
          <w:szCs w:val="19"/>
        </w:rPr>
        <w:t xml:space="preserve">  snapshottedAt: ISOTimestamp;</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inSilicoGateThresholds: Record&lt;PredictionClass, {</w:t>
      </w:r>
    </w:p>
    <w:p>
      <w:pPr>
        <w:shd w:fill="F4F4F4" w:val="clear"/>
        <w:spacing w:after="0" w:before="0" w:line="260"/>
        <w:ind w:left="240"/>
      </w:pPr>
      <w:r>
        <w:rPr>
          <w:rFonts w:ascii="Consolas" w:cs="Consolas" w:eastAsia="Consolas" w:hAnsi="Consolas"/>
          <w:sz w:val="19"/>
          <w:szCs w:val="19"/>
        </w:rPr>
        <w:t xml:space="preserve">    minConfidence: number;</w:t>
      </w:r>
    </w:p>
    <w:p>
      <w:pPr>
        <w:shd w:fill="F4F4F4" w:val="clear"/>
        <w:spacing w:after="0" w:before="0" w:line="260"/>
        <w:ind w:left="240"/>
      </w:pPr>
      <w:r>
        <w:rPr>
          <w:rFonts w:ascii="Consolas" w:cs="Consolas" w:eastAsia="Consolas" w:hAnsi="Consolas"/>
          <w:sz w:val="19"/>
          <w:szCs w:val="19"/>
        </w:rPr>
        <w:t xml:space="preserve">    falsifiersConsidered: FalsifierId[];</w:t>
      </w:r>
    </w:p>
    <w:p>
      <w:pPr>
        <w:shd w:fill="F4F4F4" w:val="clear"/>
        <w:spacing w:after="0" w:before="0" w:line="260"/>
        <w:ind w:left="240"/>
      </w:pPr>
      <w:r>
        <w:rPr>
          <w:rFonts w:ascii="Consolas" w:cs="Consolas" w:eastAsia="Consolas" w:hAnsi="Consolas"/>
          <w:sz w:val="19"/>
          <w:szCs w:val="19"/>
        </w:rPr>
        <w:t xml:space="preserve">  }&gt;;</w:t>
      </w:r>
    </w:p>
    <w:p>
      <w:pPr>
        <w:shd w:fill="F4F4F4" w:val="clear"/>
        <w:spacing w:after="0" w:before="0" w:line="260"/>
        <w:ind w:left="240"/>
      </w:pPr>
      <w:r>
        <w:rPr>
          <w:rFonts w:ascii="Consolas" w:cs="Consolas" w:eastAsia="Consolas" w:hAnsi="Consolas"/>
          <w:sz w:val="19"/>
          <w:szCs w:val="19"/>
        </w:rPr>
        <w:t xml:space="preserve">  exVivoGateRules: ExVivoGateRule[];</w:t>
      </w:r>
    </w:p>
    <w:p>
      <w:pPr>
        <w:shd w:fill="F4F4F4" w:val="clear"/>
        <w:spacing w:after="0" w:before="0" w:line="260"/>
        <w:ind w:left="240"/>
      </w:pPr>
      <w:r>
        <w:rPr>
          <w:rFonts w:ascii="Consolas" w:cs="Consolas" w:eastAsia="Consolas" w:hAnsi="Consolas"/>
          <w:sz w:val="19"/>
          <w:szCs w:val="19"/>
        </w:rPr>
        <w:t xml:space="preserve">  jointOutputTolerances: Record&lt;JointOutputDomain, Tolerance&gt;;</w:t>
      </w:r>
    </w:p>
    <w:p>
      <w:pPr>
        <w:shd w:fill="F4F4F4" w:val="clear"/>
        <w:spacing w:after="0" w:before="0" w:line="260"/>
        <w:ind w:left="240"/>
      </w:pPr>
      <w:r>
        <w:rPr>
          <w:rFonts w:ascii="Consolas" w:cs="Consolas" w:eastAsia="Consolas" w:hAnsi="Consolas"/>
          <w:sz w:val="19"/>
          <w:szCs w:val="19"/>
        </w:rPr>
        <w:t xml:space="preserve">  overrideAuthorityRequired: Record&lt;OverrideKind, AuthorityRequirement&gt;;</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5.5 Tolerance (typed)</w:t>
      </w:r>
    </w:p>
    <w:p>
      <w:pPr>
        <w:spacing w:after="80" w:before="80" w:line="300"/>
        <w:jc w:val="left"/>
      </w:pPr>
      <w:r>
        <w:rPr>
          <w:rFonts w:ascii="Calibri" w:cs="Calibri" w:eastAsia="Calibri" w:hAnsi="Calibri"/>
          <w:sz w:val="22"/>
          <w:szCs w:val="22"/>
        </w:rPr>
        <w:t xml:space="preserve">Tolerance is typed rather than a free number so 'within tolerance' has a single defined meaning across the system. The kind enum is closed; new tolerance kinds require explicit schema migration rather than silent expansion at the integration layer.</w:t>
      </w:r>
    </w:p>
    <w:p>
      <w:pPr>
        <w:shd w:fill="F4F4F4" w:val="clear"/>
        <w:spacing w:after="0" w:before="120" w:line="260"/>
        <w:ind w:left="240"/>
      </w:pPr>
      <w:r>
        <w:rPr>
          <w:rFonts w:ascii="Consolas" w:cs="Consolas" w:eastAsia="Consolas" w:hAnsi="Consolas"/>
          <w:sz w:val="19"/>
          <w:szCs w:val="19"/>
        </w:rPr>
        <w:t xml:space="preserve">interface Tolerance {</w:t>
      </w:r>
    </w:p>
    <w:p>
      <w:pPr>
        <w:shd w:fill="F4F4F4" w:val="clear"/>
        <w:spacing w:after="0" w:before="0" w:line="260"/>
        <w:ind w:left="240"/>
      </w:pPr>
      <w:r>
        <w:rPr>
          <w:rFonts w:ascii="Consolas" w:cs="Consolas" w:eastAsia="Consolas" w:hAnsi="Consolas"/>
          <w:sz w:val="19"/>
          <w:szCs w:val="19"/>
        </w:rPr>
        <w:t xml:space="preserve">  kind: 'absolute' | 'log10' | 'fold' | 'percentRelative';</w:t>
      </w:r>
    </w:p>
    <w:p>
      <w:pPr>
        <w:shd w:fill="F4F4F4" w:val="clear"/>
        <w:spacing w:after="0" w:before="0" w:line="260"/>
        <w:ind w:left="240"/>
      </w:pPr>
      <w:r>
        <w:rPr>
          <w:rFonts w:ascii="Consolas" w:cs="Consolas" w:eastAsia="Consolas" w:hAnsi="Consolas"/>
          <w:sz w:val="19"/>
          <w:szCs w:val="19"/>
        </w:rPr>
        <w:t xml:space="preserve">  value: number;</w:t>
      </w:r>
    </w:p>
    <w:p>
      <w:pPr>
        <w:shd w:fill="F4F4F4" w:val="clear"/>
        <w:spacing w:after="0" w:before="0" w:line="260"/>
        <w:ind w:left="240"/>
      </w:pPr>
      <w:r>
        <w:rPr>
          <w:rFonts w:ascii="Consolas" w:cs="Consolas" w:eastAsia="Consolas" w:hAnsi="Consolas"/>
          <w:sz w:val="19"/>
          <w:szCs w:val="19"/>
        </w:rPr>
        <w:t xml:space="preserve">  unit: string;                          // required even for fold/log10 (the underlying measure)</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5.6 FalsifierId and the Falsifier registry</w:t>
      </w:r>
    </w:p>
    <w:p>
      <w:pPr>
        <w:spacing w:after="80" w:before="80" w:line="300"/>
        <w:jc w:val="left"/>
      </w:pPr>
      <w:r>
        <w:rPr>
          <w:rFonts w:ascii="Calibri" w:cs="Calibri" w:eastAsia="Calibri" w:hAnsi="Calibri"/>
          <w:sz w:val="22"/>
          <w:szCs w:val="22"/>
        </w:rPr>
        <w:t xml:space="preserve">FalsifierId is a typed reference into a versioned registry. The registry catalogues every falsifier the platform recognises, with a stable identifier, a description, the prediction domain it applies to, and a default trigger condition. Override blocks reference FalsifierId values rather than free-text reasons, so MABEL-bias logic in Phase1Planner can branch on the specific falsifier accepted, not on the prose description.</w:t>
      </w:r>
    </w:p>
    <w:p>
      <w:pPr>
        <w:shd w:fill="F4F4F4" w:val="clear"/>
        <w:spacing w:after="0" w:before="120" w:line="260"/>
        <w:ind w:left="240"/>
      </w:pPr>
      <w:r>
        <w:rPr>
          <w:rFonts w:ascii="Consolas" w:cs="Consolas" w:eastAsia="Consolas" w:hAnsi="Consolas"/>
          <w:sz w:val="19"/>
          <w:szCs w:val="19"/>
        </w:rPr>
        <w:t xml:space="preserve">type FalsifierId = string &amp; { __brand: 'FalsifierId'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FalsifierRegistryEntry {</w:t>
      </w:r>
    </w:p>
    <w:p>
      <w:pPr>
        <w:shd w:fill="F4F4F4" w:val="clear"/>
        <w:spacing w:after="0" w:before="0" w:line="260"/>
        <w:ind w:left="240"/>
      </w:pPr>
      <w:r>
        <w:rPr>
          <w:rFonts w:ascii="Consolas" w:cs="Consolas" w:eastAsia="Consolas" w:hAnsi="Consolas"/>
          <w:sz w:val="19"/>
          <w:szCs w:val="19"/>
        </w:rPr>
        <w:t xml:space="preserve">  id: FalsifierId;</w:t>
      </w:r>
    </w:p>
    <w:p>
      <w:pPr>
        <w:shd w:fill="F4F4F4" w:val="clear"/>
        <w:spacing w:after="0" w:before="0" w:line="260"/>
        <w:ind w:left="240"/>
      </w:pPr>
      <w:r>
        <w:rPr>
          <w:rFonts w:ascii="Consolas" w:cs="Consolas" w:eastAsia="Consolas" w:hAnsi="Consolas"/>
          <w:sz w:val="19"/>
          <w:szCs w:val="19"/>
        </w:rPr>
        <w:t xml:space="preserve">  registryVersion: string;</w:t>
      </w:r>
    </w:p>
    <w:p>
      <w:pPr>
        <w:shd w:fill="F4F4F4" w:val="clear"/>
        <w:spacing w:after="0" w:before="0" w:line="260"/>
        <w:ind w:left="240"/>
      </w:pPr>
      <w:r>
        <w:rPr>
          <w:rFonts w:ascii="Consolas" w:cs="Consolas" w:eastAsia="Consolas" w:hAnsi="Consolas"/>
          <w:sz w:val="19"/>
          <w:szCs w:val="19"/>
        </w:rPr>
        <w:t xml:space="preserve">  description: string;</w:t>
      </w:r>
    </w:p>
    <w:p>
      <w:pPr>
        <w:shd w:fill="F4F4F4" w:val="clear"/>
        <w:spacing w:after="0" w:before="0" w:line="260"/>
        <w:ind w:left="240"/>
      </w:pPr>
      <w:r>
        <w:rPr>
          <w:rFonts w:ascii="Consolas" w:cs="Consolas" w:eastAsia="Consolas" w:hAnsi="Consolas"/>
          <w:sz w:val="19"/>
          <w:szCs w:val="19"/>
        </w:rPr>
        <w:t xml:space="preserve">  appliesTo: PredictionDomain;</w:t>
      </w:r>
    </w:p>
    <w:p>
      <w:pPr>
        <w:shd w:fill="F4F4F4" w:val="clear"/>
        <w:spacing w:after="0" w:before="0" w:line="260"/>
        <w:ind w:left="240"/>
      </w:pPr>
      <w:r>
        <w:rPr>
          <w:rFonts w:ascii="Consolas" w:cs="Consolas" w:eastAsia="Consolas" w:hAnsi="Consolas"/>
          <w:sz w:val="19"/>
          <w:szCs w:val="19"/>
        </w:rPr>
        <w:t xml:space="preserve">  defaultTriggerCondition: TriggerCondition;</w:t>
      </w:r>
    </w:p>
    <w:p>
      <w:pPr>
        <w:shd w:fill="F4F4F4" w:val="clear"/>
        <w:spacing w:after="0" w:before="0" w:line="260"/>
        <w:ind w:left="240"/>
      </w:pPr>
      <w:r>
        <w:rPr>
          <w:rFonts w:ascii="Consolas" w:cs="Consolas" w:eastAsia="Consolas" w:hAnsi="Consolas"/>
          <w:sz w:val="19"/>
          <w:szCs w:val="19"/>
        </w:rPr>
        <w:t xml:space="preserve">  regulatoryRelevance: RegulatoryRelevance[];  // e.g. 'ICH-S7A', 'FDA-DILI-guidance'</w:t>
      </w:r>
    </w:p>
    <w:p>
      <w:pPr>
        <w:shd w:fill="F4F4F4" w:val="clear"/>
        <w:spacing w:after="0" w:before="0" w:line="260"/>
        <w:ind w:left="240"/>
      </w:pPr>
      <w:r>
        <w:rPr>
          <w:rFonts w:ascii="Consolas" w:cs="Consolas" w:eastAsia="Consolas" w:hAnsi="Consolas"/>
          <w:sz w:val="19"/>
          <w:szCs w:val="19"/>
        </w:rPr>
        <w:t xml:space="preserve">  introducedInVersion: string;</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The registry itself is an artifact emitted by the platform team</w:t>
      </w:r>
    </w:p>
    <w:p>
      <w:pPr>
        <w:shd w:fill="F4F4F4" w:val="clear"/>
        <w:spacing w:after="0" w:before="0" w:line="260"/>
        <w:ind w:left="240"/>
      </w:pPr>
      <w:r>
        <w:rPr>
          <w:rFonts w:ascii="Consolas" w:cs="Consolas" w:eastAsia="Consolas" w:hAnsi="Consolas"/>
          <w:sz w:val="19"/>
          <w:szCs w:val="19"/>
        </w:rPr>
        <w:t xml:space="preserve">// and versioned independently of schema versions.</w:t>
      </w:r>
    </w:p>
    <w:p>
      <w:pPr>
        <w:shd w:fill="F4F4F4" w:val="clear"/>
        <w:spacing w:after="0" w:before="0" w:line="260"/>
        <w:ind w:left="240"/>
      </w:pPr>
      <w:r>
        <w:rPr>
          <w:rFonts w:ascii="Consolas" w:cs="Consolas" w:eastAsia="Consolas" w:hAnsi="Consolas"/>
          <w:sz w:val="19"/>
          <w:szCs w:val="19"/>
        </w:rPr>
        <w:t xml:space="preserve">interface FalsifierRegistry {</w:t>
      </w:r>
    </w:p>
    <w:p>
      <w:pPr>
        <w:shd w:fill="F4F4F4" w:val="clear"/>
        <w:spacing w:after="0" w:before="0" w:line="260"/>
        <w:ind w:left="240"/>
      </w:pPr>
      <w:r>
        <w:rPr>
          <w:rFonts w:ascii="Consolas" w:cs="Consolas" w:eastAsia="Consolas" w:hAnsi="Consolas"/>
          <w:sz w:val="19"/>
          <w:szCs w:val="19"/>
        </w:rPr>
        <w:t xml:space="preserve">  version: string;                       // e.g. 'falsifier-registry-2026.05'</w:t>
      </w:r>
    </w:p>
    <w:p>
      <w:pPr>
        <w:shd w:fill="F4F4F4" w:val="clear"/>
        <w:spacing w:after="0" w:before="0" w:line="260"/>
        <w:ind w:left="240"/>
      </w:pPr>
      <w:r>
        <w:rPr>
          <w:rFonts w:ascii="Consolas" w:cs="Consolas" w:eastAsia="Consolas" w:hAnsi="Consolas"/>
          <w:sz w:val="19"/>
          <w:szCs w:val="19"/>
        </w:rPr>
        <w:t xml:space="preserve">  entries: FalsifierRegistryEntry[];</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5.7 Override block with authority chain</w:t>
      </w:r>
    </w:p>
    <w:p>
      <w:pPr>
        <w:spacing w:after="80" w:before="80" w:line="300"/>
        <w:jc w:val="left"/>
      </w:pPr>
      <w:r>
        <w:rPr>
          <w:rFonts w:ascii="Calibri" w:cs="Calibri" w:eastAsia="Calibri" w:hAnsi="Calibri"/>
          <w:sz w:val="22"/>
          <w:szCs w:val="22"/>
        </w:rPr>
        <w:t xml:space="preserve">Overrides carry symmetric chains on both the evidence side (which L1 records were actually examined) and the authority side (who approved, in what role, under what policy). The policy citation is what survives an FDA inspector's scrutiny. 'Bob accepted the falsifier' does not; 'Bob in role X under policy Y accepted FalsifierId Z, citing fields A, B, C of evidence pointer P' does.</w:t>
      </w:r>
    </w:p>
    <w:p>
      <w:pPr>
        <w:shd w:fill="F4F4F4" w:val="clear"/>
        <w:spacing w:after="0" w:before="120" w:line="260"/>
        <w:ind w:left="240"/>
      </w:pPr>
      <w:r>
        <w:rPr>
          <w:rFonts w:ascii="Consolas" w:cs="Consolas" w:eastAsia="Consolas" w:hAnsi="Consolas"/>
          <w:sz w:val="19"/>
          <w:szCs w:val="19"/>
        </w:rPr>
        <w:t xml:space="preserve">interface OverrideRecord {</w:t>
      </w:r>
    </w:p>
    <w:p>
      <w:pPr>
        <w:shd w:fill="F4F4F4" w:val="clear"/>
        <w:spacing w:after="0" w:before="0" w:line="260"/>
        <w:ind w:left="240"/>
      </w:pPr>
      <w:r>
        <w:rPr>
          <w:rFonts w:ascii="Consolas" w:cs="Consolas" w:eastAsia="Consolas" w:hAnsi="Consolas"/>
          <w:sz w:val="19"/>
          <w:szCs w:val="19"/>
        </w:rPr>
        <w:t xml:space="preserve">  overrideId: OverrideId;</w:t>
      </w:r>
    </w:p>
    <w:p>
      <w:pPr>
        <w:shd w:fill="F4F4F4" w:val="clear"/>
        <w:spacing w:after="0" w:before="0" w:line="260"/>
        <w:ind w:left="240"/>
      </w:pPr>
      <w:r>
        <w:rPr>
          <w:rFonts w:ascii="Consolas" w:cs="Consolas" w:eastAsia="Consolas" w:hAnsi="Consolas"/>
          <w:sz w:val="19"/>
          <w:szCs w:val="19"/>
        </w:rPr>
        <w:t xml:space="preserve">  overrideKind: OverrideKind;            // 'inSilicoGate' | 'exVivoGate' | 'exVivoSkipped' | ...</w:t>
      </w:r>
    </w:p>
    <w:p>
      <w:pPr>
        <w:shd w:fill="F4F4F4" w:val="clear"/>
        <w:spacing w:after="0" w:before="0" w:line="260"/>
        <w:ind w:left="240"/>
      </w:pPr>
      <w:r>
        <w:rPr>
          <w:rFonts w:ascii="Consolas" w:cs="Consolas" w:eastAsia="Consolas" w:hAnsi="Consolas"/>
          <w:sz w:val="19"/>
          <w:szCs w:val="19"/>
        </w:rPr>
        <w:t xml:space="preserve">  appliedAt: ISOTimestamp;</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Authority chain (who approved, under what authority)</w:t>
      </w:r>
    </w:p>
    <w:p>
      <w:pPr>
        <w:shd w:fill="F4F4F4" w:val="clear"/>
        <w:spacing w:after="0" w:before="0" w:line="260"/>
        <w:ind w:left="240"/>
      </w:pPr>
      <w:r>
        <w:rPr>
          <w:rFonts w:ascii="Consolas" w:cs="Consolas" w:eastAsia="Consolas" w:hAnsi="Consolas"/>
          <w:sz w:val="19"/>
          <w:szCs w:val="19"/>
        </w:rPr>
        <w:t xml:space="preserve">  actor: ActorId;</w:t>
      </w:r>
    </w:p>
    <w:p>
      <w:pPr>
        <w:shd w:fill="F4F4F4" w:val="clear"/>
        <w:spacing w:after="0" w:before="0" w:line="260"/>
        <w:ind w:left="240"/>
      </w:pPr>
      <w:r>
        <w:rPr>
          <w:rFonts w:ascii="Consolas" w:cs="Consolas" w:eastAsia="Consolas" w:hAnsi="Consolas"/>
          <w:sz w:val="19"/>
          <w:szCs w:val="19"/>
        </w:rPr>
        <w:t xml:space="preserve">  role: Role;</w:t>
      </w:r>
    </w:p>
    <w:p>
      <w:pPr>
        <w:shd w:fill="F4F4F4" w:val="clear"/>
        <w:spacing w:after="0" w:before="0" w:line="260"/>
        <w:ind w:left="240"/>
      </w:pPr>
      <w:r>
        <w:rPr>
          <w:rFonts w:ascii="Consolas" w:cs="Consolas" w:eastAsia="Consolas" w:hAnsi="Consolas"/>
          <w:sz w:val="19"/>
          <w:szCs w:val="19"/>
        </w:rPr>
        <w:t xml:space="preserve">  authorityCitation: PolicyRef;          // ref to internal SOP / regulatory policy</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Substantive fields</w:t>
      </w:r>
    </w:p>
    <w:p>
      <w:pPr>
        <w:shd w:fill="F4F4F4" w:val="clear"/>
        <w:spacing w:after="0" w:before="0" w:line="260"/>
        <w:ind w:left="240"/>
      </w:pPr>
      <w:r>
        <w:rPr>
          <w:rFonts w:ascii="Consolas" w:cs="Consolas" w:eastAsia="Consolas" w:hAnsi="Consolas"/>
          <w:sz w:val="19"/>
          <w:szCs w:val="19"/>
        </w:rPr>
        <w:t xml:space="preserve">  reason: string;                        // human-written justification</w:t>
      </w:r>
    </w:p>
    <w:p>
      <w:pPr>
        <w:shd w:fill="F4F4F4" w:val="clear"/>
        <w:spacing w:after="0" w:before="0" w:line="260"/>
        <w:ind w:left="240"/>
      </w:pPr>
      <w:r>
        <w:rPr>
          <w:rFonts w:ascii="Consolas" w:cs="Consolas" w:eastAsia="Consolas" w:hAnsi="Consolas"/>
          <w:sz w:val="19"/>
          <w:szCs w:val="19"/>
        </w:rPr>
        <w:t xml:space="preserve">  falsifierAccepted: FalsifierId | null; // null only for non-falsifier overrides</w:t>
      </w:r>
    </w:p>
    <w:p>
      <w:pPr>
        <w:shd w:fill="F4F4F4" w:val="clear"/>
        <w:spacing w:after="0" w:before="0" w:line="260"/>
        <w:ind w:left="240"/>
      </w:pPr>
      <w:r>
        <w:rPr>
          <w:rFonts w:ascii="Consolas" w:cs="Consolas" w:eastAsia="Consolas" w:hAnsi="Consolas"/>
          <w:sz w:val="19"/>
          <w:szCs w:val="19"/>
        </w:rPr>
        <w:t xml:space="preserve">  l1EvidenceCited: {</w:t>
      </w:r>
    </w:p>
    <w:p>
      <w:pPr>
        <w:shd w:fill="F4F4F4" w:val="clear"/>
        <w:spacing w:after="0" w:before="0" w:line="260"/>
        <w:ind w:left="240"/>
      </w:pPr>
      <w:r>
        <w:rPr>
          <w:rFonts w:ascii="Consolas" w:cs="Consolas" w:eastAsia="Consolas" w:hAnsi="Consolas"/>
          <w:sz w:val="19"/>
          <w:szCs w:val="19"/>
        </w:rPr>
        <w:t xml:space="preserve">    pointer: EvidencePointer;</w:t>
      </w:r>
    </w:p>
    <w:p>
      <w:pPr>
        <w:shd w:fill="F4F4F4" w:val="clear"/>
        <w:spacing w:after="0" w:before="0" w:line="260"/>
        <w:ind w:left="240"/>
      </w:pPr>
      <w:r>
        <w:rPr>
          <w:rFonts w:ascii="Consolas" w:cs="Consolas" w:eastAsia="Consolas" w:hAnsi="Consolas"/>
          <w:sz w:val="19"/>
          <w:szCs w:val="19"/>
        </w:rPr>
        <w:t xml:space="preserve">    fields: string[];                    // which specific fields were examined</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Audit</w:t>
      </w:r>
    </w:p>
    <w:p>
      <w:pPr>
        <w:shd w:fill="F4F4F4" w:val="clear"/>
        <w:spacing w:after="0" w:before="0" w:line="260"/>
        <w:ind w:left="240"/>
      </w:pPr>
      <w:r>
        <w:rPr>
          <w:rFonts w:ascii="Consolas" w:cs="Consolas" w:eastAsia="Consolas" w:hAnsi="Consolas"/>
          <w:sz w:val="19"/>
          <w:szCs w:val="19"/>
        </w:rPr>
        <w:t xml:space="preserve">  signedDigest: HashDigest;              // tamper-evidence on the record itself</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5.8 notApplicable and CategoricalExemption</w:t>
      </w:r>
    </w:p>
    <w:p>
      <w:pPr>
        <w:spacing w:after="80" w:before="80" w:line="300"/>
        <w:jc w:val="left"/>
      </w:pPr>
      <w:r>
        <w:rPr>
          <w:rFonts w:ascii="Calibri" w:cs="Calibri" w:eastAsia="Calibri" w:hAnsi="Calibri"/>
          <w:sz w:val="22"/>
          <w:szCs w:val="22"/>
        </w:rPr>
        <w:t xml:space="preserve">The fast-path for cases where a prediction is categorically not applicable rather than skipped on a per-compound judgment call. Example: a CYP inhibition panel on a monoclonal antibody is not 'fast-pathed because well-characterised', it is biologically meaningless. Without a typed exemption, teams will fabricate directives to satisfy validators. v2.0.0 makes notApplicable a typed peer of consumedDirective and references a CategoricalExemption catalogue keyed on (compoundClass, predictionDomain) pairs.</w:t>
      </w:r>
    </w:p>
    <w:p>
      <w:pPr>
        <w:shd w:fill="F4F4F4" w:val="clear"/>
        <w:spacing w:after="0" w:before="120" w:line="260"/>
        <w:ind w:left="240"/>
      </w:pPr>
      <w:r>
        <w:rPr>
          <w:rFonts w:ascii="Consolas" w:cs="Consolas" w:eastAsia="Consolas" w:hAnsi="Consolas"/>
          <w:sz w:val="19"/>
          <w:szCs w:val="19"/>
        </w:rPr>
        <w:t xml:space="preserve">type ExVivoEntryMode =</w:t>
      </w:r>
    </w:p>
    <w:p>
      <w:pPr>
        <w:shd w:fill="F4F4F4" w:val="clear"/>
        <w:spacing w:after="0" w:before="0" w:line="260"/>
        <w:ind w:left="240"/>
      </w:pPr>
      <w:r>
        <w:rPr>
          <w:rFonts w:ascii="Consolas" w:cs="Consolas" w:eastAsia="Consolas" w:hAnsi="Consolas"/>
          <w:sz w:val="19"/>
          <w:szCs w:val="19"/>
        </w:rPr>
        <w:t xml:space="preserve">  | { kind: 'consumedDirective'; directiveId: DirectiveId }</w:t>
      </w:r>
    </w:p>
    <w:p>
      <w:pPr>
        <w:shd w:fill="F4F4F4" w:val="clear"/>
        <w:spacing w:after="0" w:before="0" w:line="260"/>
        <w:ind w:left="240"/>
      </w:pPr>
      <w:r>
        <w:rPr>
          <w:rFonts w:ascii="Consolas" w:cs="Consolas" w:eastAsia="Consolas" w:hAnsi="Consolas"/>
          <w:sz w:val="19"/>
          <w:szCs w:val="19"/>
        </w:rPr>
        <w:t xml:space="preserve">  | { kind: 'notApplicable'; exemption: CategoricalExemption }</w:t>
      </w:r>
    </w:p>
    <w:p>
      <w:pPr>
        <w:shd w:fill="F4F4F4" w:val="clear"/>
        <w:spacing w:after="0" w:before="0" w:line="260"/>
        <w:ind w:left="240"/>
      </w:pPr>
      <w:r>
        <w:rPr>
          <w:rFonts w:ascii="Consolas" w:cs="Consolas" w:eastAsia="Consolas" w:hAnsi="Consolas"/>
          <w:sz w:val="19"/>
          <w:szCs w:val="19"/>
        </w:rPr>
        <w:t xml:space="preserve">  | { kind: 'overrideSkipped'; override: OverrideRecord }; // section 4.8</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CategoricalExemption {</w:t>
      </w:r>
    </w:p>
    <w:p>
      <w:pPr>
        <w:shd w:fill="F4F4F4" w:val="clear"/>
        <w:spacing w:after="0" w:before="0" w:line="260"/>
        <w:ind w:left="240"/>
      </w:pPr>
      <w:r>
        <w:rPr>
          <w:rFonts w:ascii="Consolas" w:cs="Consolas" w:eastAsia="Consolas" w:hAnsi="Consolas"/>
          <w:sz w:val="19"/>
          <w:szCs w:val="19"/>
        </w:rPr>
        <w:t xml:space="preserve">  exemptionId: ExemptionId;</w:t>
      </w:r>
    </w:p>
    <w:p>
      <w:pPr>
        <w:shd w:fill="F4F4F4" w:val="clear"/>
        <w:spacing w:after="0" w:before="0" w:line="260"/>
        <w:ind w:left="240"/>
      </w:pPr>
      <w:r>
        <w:rPr>
          <w:rFonts w:ascii="Consolas" w:cs="Consolas" w:eastAsia="Consolas" w:hAnsi="Consolas"/>
          <w:sz w:val="19"/>
          <w:szCs w:val="19"/>
        </w:rPr>
        <w:t xml:space="preserve">  compoundClass: CompoundClass;          // e.g. 'monoclonal_antibody'</w:t>
      </w:r>
    </w:p>
    <w:p>
      <w:pPr>
        <w:shd w:fill="F4F4F4" w:val="clear"/>
        <w:spacing w:after="0" w:before="0" w:line="260"/>
        <w:ind w:left="240"/>
      </w:pPr>
      <w:r>
        <w:rPr>
          <w:rFonts w:ascii="Consolas" w:cs="Consolas" w:eastAsia="Consolas" w:hAnsi="Consolas"/>
          <w:sz w:val="19"/>
          <w:szCs w:val="19"/>
        </w:rPr>
        <w:t xml:space="preserve">  predictionDomain: PredictionDomain;    // e.g. 'cyp_inhibition'</w:t>
      </w:r>
    </w:p>
    <w:p>
      <w:pPr>
        <w:shd w:fill="F4F4F4" w:val="clear"/>
        <w:spacing w:after="0" w:before="0" w:line="260"/>
        <w:ind w:left="240"/>
      </w:pPr>
      <w:r>
        <w:rPr>
          <w:rFonts w:ascii="Consolas" w:cs="Consolas" w:eastAsia="Consolas" w:hAnsi="Consolas"/>
          <w:sz w:val="19"/>
          <w:szCs w:val="19"/>
        </w:rPr>
        <w:t xml:space="preserve">  reason: string;                        // 'CYP enzymes do not metabolise mAbs'</w:t>
      </w:r>
    </w:p>
    <w:p>
      <w:pPr>
        <w:shd w:fill="F4F4F4" w:val="clear"/>
        <w:spacing w:after="0" w:before="0" w:line="260"/>
        <w:ind w:left="240"/>
      </w:pPr>
      <w:r>
        <w:rPr>
          <w:rFonts w:ascii="Consolas" w:cs="Consolas" w:eastAsia="Consolas" w:hAnsi="Consolas"/>
          <w:sz w:val="19"/>
          <w:szCs w:val="19"/>
        </w:rPr>
        <w:t xml:space="preserve">  evidenceCited: EvidencePointer[];      // literature, regulatory guidance</w:t>
      </w:r>
    </w:p>
    <w:p>
      <w:pPr>
        <w:shd w:fill="F4F4F4" w:val="clear"/>
        <w:spacing w:after="0" w:before="0" w:line="260"/>
        <w:ind w:left="240"/>
      </w:pPr>
      <w:r>
        <w:rPr>
          <w:rFonts w:ascii="Consolas" w:cs="Consolas" w:eastAsia="Consolas" w:hAnsi="Consolas"/>
          <w:sz w:val="19"/>
          <w:szCs w:val="19"/>
        </w:rPr>
        <w:t xml:space="preserve">  catalogueVersion: string;              // exemptions are themselves versioned</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5.9 Joint outputs (CYP-Transporter §6.1.a, clearance-fractions §6.1.b)</w:t>
      </w:r>
    </w:p>
    <w:p>
      <w:pPr>
        <w:spacing w:after="80" w:before="80" w:line="300"/>
        <w:jc w:val="left"/>
      </w:pPr>
      <w:r>
        <w:rPr>
          <w:rFonts w:ascii="Calibri" w:cs="Calibri" w:eastAsia="Calibri" w:hAnsi="Calibri"/>
          <w:sz w:val="22"/>
          <w:szCs w:val="22"/>
        </w:rPr>
        <w:t xml:space="preserve">Joint outputs are the L1+L2 cross-layer signals that Phase1Planner reads when deriving HED, MABEL, and dose-escalation schedules. v2.0.0 relocates them from top-level fields on PreClinicalPackage to the Confirmation block, with explicit pointers up to L1 ML evidence and down to the specific ex-vivo records that produced the kinetic confirmation.</w:t>
      </w:r>
    </w:p>
    <w:p>
      <w:pPr>
        <w:shd w:fill="F4F4F4" w:val="clear"/>
        <w:spacing w:after="0" w:before="120" w:line="260"/>
        <w:ind w:left="240"/>
      </w:pPr>
      <w:r>
        <w:rPr>
          <w:rFonts w:ascii="Consolas" w:cs="Consolas" w:eastAsia="Consolas" w:hAnsi="Consolas"/>
          <w:sz w:val="19"/>
          <w:szCs w:val="19"/>
        </w:rPr>
        <w:t xml:space="preserve">interface JointOutput&lt;TDomain&gt; {</w:t>
      </w:r>
    </w:p>
    <w:p>
      <w:pPr>
        <w:shd w:fill="F4F4F4" w:val="clear"/>
        <w:spacing w:after="0" w:before="0" w:line="260"/>
        <w:ind w:left="240"/>
      </w:pPr>
      <w:r>
        <w:rPr>
          <w:rFonts w:ascii="Consolas" w:cs="Consolas" w:eastAsia="Consolas" w:hAnsi="Consolas"/>
          <w:sz w:val="19"/>
          <w:szCs w:val="19"/>
        </w:rPr>
        <w:t xml:space="preserve">  domain: TDomain;                       // 'cyp_transporter' | 'clearance_fractions' | ...</w:t>
      </w:r>
    </w:p>
    <w:p>
      <w:pPr>
        <w:shd w:fill="F4F4F4" w:val="clear"/>
        <w:spacing w:after="0" w:before="0" w:line="260"/>
        <w:ind w:left="240"/>
      </w:pPr>
      <w:r>
        <w:rPr>
          <w:rFonts w:ascii="Consolas" w:cs="Consolas" w:eastAsia="Consolas" w:hAnsi="Consolas"/>
          <w:sz w:val="19"/>
          <w:szCs w:val="19"/>
        </w:rPr>
        <w:t xml:space="preserve">  status: 'agree' | 'disagree' | 'partial' | 'mlGap';</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Pointers up and down</w:t>
      </w:r>
    </w:p>
    <w:p>
      <w:pPr>
        <w:shd w:fill="F4F4F4" w:val="clear"/>
        <w:spacing w:after="0" w:before="0" w:line="260"/>
        <w:ind w:left="240"/>
      </w:pPr>
      <w:r>
        <w:rPr>
          <w:rFonts w:ascii="Consolas" w:cs="Consolas" w:eastAsia="Consolas" w:hAnsi="Consolas"/>
          <w:sz w:val="19"/>
          <w:szCs w:val="19"/>
        </w:rPr>
        <w:t xml:space="preserve">  mlEvidenceRef: EvidencePointer;        // up to L1 ML output</w:t>
      </w:r>
    </w:p>
    <w:p>
      <w:pPr>
        <w:shd w:fill="F4F4F4" w:val="clear"/>
        <w:spacing w:after="0" w:before="0" w:line="260"/>
        <w:ind w:left="240"/>
      </w:pPr>
      <w:r>
        <w:rPr>
          <w:rFonts w:ascii="Consolas" w:cs="Consolas" w:eastAsia="Consolas" w:hAnsi="Consolas"/>
          <w:sz w:val="19"/>
          <w:szCs w:val="19"/>
        </w:rPr>
        <w:t xml:space="preserve">  kineticEvidenceRef: EvidencePointer | null; // down to ex-vivo (null if status='partial' or 'mlGap')</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Synthesis</w:t>
      </w:r>
    </w:p>
    <w:p>
      <w:pPr>
        <w:shd w:fill="F4F4F4" w:val="clear"/>
        <w:spacing w:after="0" w:before="0" w:line="260"/>
        <w:ind w:left="240"/>
      </w:pPr>
      <w:r>
        <w:rPr>
          <w:rFonts w:ascii="Consolas" w:cs="Consolas" w:eastAsia="Consolas" w:hAnsi="Consolas"/>
          <w:sz w:val="19"/>
          <w:szCs w:val="19"/>
        </w:rPr>
        <w:t xml:space="preserve">  synthesisedValue: number | null;</w:t>
      </w:r>
    </w:p>
    <w:p>
      <w:pPr>
        <w:shd w:fill="F4F4F4" w:val="clear"/>
        <w:spacing w:after="0" w:before="0" w:line="260"/>
        <w:ind w:left="240"/>
      </w:pPr>
      <w:r>
        <w:rPr>
          <w:rFonts w:ascii="Consolas" w:cs="Consolas" w:eastAsia="Consolas" w:hAnsi="Consolas"/>
          <w:sz w:val="19"/>
          <w:szCs w:val="19"/>
        </w:rPr>
        <w:t xml:space="preserve">  unit: string;</w:t>
      </w:r>
    </w:p>
    <w:p>
      <w:pPr>
        <w:shd w:fill="F4F4F4" w:val="clear"/>
        <w:spacing w:after="0" w:before="0" w:line="260"/>
        <w:ind w:left="240"/>
      </w:pPr>
      <w:r>
        <w:rPr>
          <w:rFonts w:ascii="Consolas" w:cs="Consolas" w:eastAsia="Consolas" w:hAnsi="Consolas"/>
          <w:sz w:val="19"/>
          <w:szCs w:val="19"/>
        </w:rPr>
        <w:t xml:space="preserve">  jointConfidence: number;</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Disagreement / partial machinery</w:t>
      </w:r>
    </w:p>
    <w:p>
      <w:pPr>
        <w:shd w:fill="F4F4F4" w:val="clear"/>
        <w:spacing w:after="0" w:before="0" w:line="260"/>
        <w:ind w:left="240"/>
      </w:pPr>
      <w:r>
        <w:rPr>
          <w:rFonts w:ascii="Consolas" w:cs="Consolas" w:eastAsia="Consolas" w:hAnsi="Consolas"/>
          <w:sz w:val="19"/>
          <w:szCs w:val="19"/>
        </w:rPr>
        <w:t xml:space="preserve">  falsifierTriggered: FalsifierId | null; // populated only if status='disagree'</w:t>
      </w:r>
    </w:p>
    <w:p>
      <w:pPr>
        <w:shd w:fill="F4F4F4" w:val="clear"/>
        <w:spacing w:after="0" w:before="0" w:line="260"/>
        <w:ind w:left="240"/>
      </w:pPr>
      <w:r>
        <w:rPr>
          <w:rFonts w:ascii="Consolas" w:cs="Consolas" w:eastAsia="Consolas" w:hAnsi="Consolas"/>
          <w:sz w:val="19"/>
          <w:szCs w:val="19"/>
        </w:rPr>
        <w:t xml:space="preserve">  confidenceCaveat: string | null;</w:t>
      </w:r>
    </w:p>
    <w:p>
      <w:pPr>
        <w:shd w:fill="F4F4F4" w:val="clear"/>
        <w:spacing w:after="0" w:before="0" w:line="260"/>
        <w:ind w:left="240"/>
      </w:pPr>
      <w:r>
        <w:rPr>
          <w:rFonts w:ascii="Consolas" w:cs="Consolas" w:eastAsia="Consolas" w:hAnsi="Consolas"/>
          <w:sz w:val="19"/>
          <w:szCs w:val="19"/>
        </w:rPr>
        <w:t xml:space="preserve">  repairPath: RepairPath | null;          // populated only if status='partial'</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The two §6.1 sub-payloads as concrete shapes:</w:t>
      </w:r>
    </w:p>
    <w:p>
      <w:pPr>
        <w:shd w:fill="F4F4F4" w:val="clear"/>
        <w:spacing w:after="0" w:before="0" w:line="260"/>
        <w:ind w:left="240"/>
      </w:pPr>
      <w:r>
        <w:rPr>
          <w:rFonts w:ascii="Consolas" w:cs="Consolas" w:eastAsia="Consolas" w:hAnsi="Consolas"/>
          <w:sz w:val="19"/>
          <w:szCs w:val="19"/>
        </w:rPr>
        <w:t xml:space="preserve">interface CypTransporterOutput extends JointOutput&lt;'cyp_transporter'&gt; {</w:t>
      </w:r>
    </w:p>
    <w:p>
      <w:pPr>
        <w:shd w:fill="F4F4F4" w:val="clear"/>
        <w:spacing w:after="0" w:before="0" w:line="260"/>
        <w:ind w:left="240"/>
      </w:pPr>
      <w:r>
        <w:rPr>
          <w:rFonts w:ascii="Consolas" w:cs="Consolas" w:eastAsia="Consolas" w:hAnsi="Consolas"/>
          <w:sz w:val="19"/>
          <w:szCs w:val="19"/>
        </w:rPr>
        <w:t xml:space="preserve">  perEnzyme: Record&lt;CypEnzyme, EnzymeJointSignal&gt;;</w:t>
      </w:r>
    </w:p>
    <w:p>
      <w:pPr>
        <w:shd w:fill="F4F4F4" w:val="clear"/>
        <w:spacing w:after="0" w:before="0" w:line="260"/>
        <w:ind w:left="240"/>
      </w:pPr>
      <w:r>
        <w:rPr>
          <w:rFonts w:ascii="Consolas" w:cs="Consolas" w:eastAsia="Consolas" w:hAnsi="Consolas"/>
          <w:sz w:val="19"/>
          <w:szCs w:val="19"/>
        </w:rPr>
        <w:t xml:space="preserve">  transporterPanel: TransporterJointSignal[];</w:t>
      </w:r>
    </w:p>
    <w:p>
      <w:pPr>
        <w:shd w:fill="F4F4F4" w:val="clear"/>
        <w:spacing w:after="0" w:before="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interface ClearanceFractionsOutput extends JointOutput&lt;'clearance_fractions'&gt; {</w:t>
      </w:r>
    </w:p>
    <w:p>
      <w:pPr>
        <w:shd w:fill="F4F4F4" w:val="clear"/>
        <w:spacing w:after="0" w:before="0" w:line="260"/>
        <w:ind w:left="240"/>
      </w:pPr>
      <w:r>
        <w:rPr>
          <w:rFonts w:ascii="Consolas" w:cs="Consolas" w:eastAsia="Consolas" w:hAnsi="Consolas"/>
          <w:sz w:val="19"/>
          <w:szCs w:val="19"/>
        </w:rPr>
        <w:t xml:space="preserve">  hepatic: number | null;</w:t>
      </w:r>
    </w:p>
    <w:p>
      <w:pPr>
        <w:shd w:fill="F4F4F4" w:val="clear"/>
        <w:spacing w:after="0" w:before="0" w:line="260"/>
        <w:ind w:left="240"/>
      </w:pPr>
      <w:r>
        <w:rPr>
          <w:rFonts w:ascii="Consolas" w:cs="Consolas" w:eastAsia="Consolas" w:hAnsi="Consolas"/>
          <w:sz w:val="19"/>
          <w:szCs w:val="19"/>
        </w:rPr>
        <w:t xml:space="preserve">  renal: number | null;</w:t>
      </w:r>
    </w:p>
    <w:p>
      <w:pPr>
        <w:shd w:fill="F4F4F4" w:val="clear"/>
        <w:spacing w:after="0" w:before="0" w:line="260"/>
        <w:ind w:left="240"/>
      </w:pPr>
      <w:r>
        <w:rPr>
          <w:rFonts w:ascii="Consolas" w:cs="Consolas" w:eastAsia="Consolas" w:hAnsi="Consolas"/>
          <w:sz w:val="19"/>
          <w:szCs w:val="19"/>
        </w:rPr>
        <w:t xml:space="preserve">  biliary: number | null;</w:t>
      </w:r>
    </w:p>
    <w:p>
      <w:pPr>
        <w:shd w:fill="F4F4F4" w:val="clear"/>
        <w:spacing w:after="0" w:before="0" w:line="260"/>
        <w:ind w:left="240"/>
      </w:pPr>
      <w:r>
        <w:rPr>
          <w:rFonts w:ascii="Consolas" w:cs="Consolas" w:eastAsia="Consolas" w:hAnsi="Consolas"/>
          <w:sz w:val="19"/>
          <w:szCs w:val="19"/>
        </w:rPr>
        <w:t xml:space="preserve">  totalClearance: number | null;         // synthesised total</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5.10 repairPath on partial outputs</w:t>
      </w:r>
    </w:p>
    <w:p>
      <w:pPr>
        <w:spacing w:after="80" w:before="80" w:line="300"/>
        <w:jc w:val="left"/>
      </w:pPr>
      <w:r>
        <w:rPr>
          <w:rFonts w:ascii="Calibri" w:cs="Calibri" w:eastAsia="Calibri" w:hAnsi="Calibri"/>
          <w:sz w:val="22"/>
          <w:szCs w:val="22"/>
        </w:rPr>
        <w:t xml:space="preserve">When a joint output is marked partial, repairPath names what would close it from partial to confirmed. This stops partial from becoming a graveyard bucket compounds rot in. Phase1Planner reads repairPath and can either schedule the missing assay through the lab orchestration layer or surface the blocked decisions explicitly in the planning output.</w:t>
      </w:r>
    </w:p>
    <w:p>
      <w:pPr>
        <w:shd w:fill="F4F4F4" w:val="clear"/>
        <w:spacing w:after="0" w:before="120" w:line="260"/>
        <w:ind w:left="240"/>
      </w:pPr>
      <w:r>
        <w:rPr>
          <w:rFonts w:ascii="Consolas" w:cs="Consolas" w:eastAsia="Consolas" w:hAnsi="Consolas"/>
          <w:sz w:val="19"/>
          <w:szCs w:val="19"/>
        </w:rPr>
        <w:t xml:space="preserve">interface RepairPath {</w:t>
      </w:r>
    </w:p>
    <w:p>
      <w:pPr>
        <w:shd w:fill="F4F4F4" w:val="clear"/>
        <w:spacing w:after="0" w:before="0" w:line="260"/>
        <w:ind w:left="240"/>
      </w:pPr>
      <w:r>
        <w:rPr>
          <w:rFonts w:ascii="Consolas" w:cs="Consolas" w:eastAsia="Consolas" w:hAnsi="Consolas"/>
          <w:sz w:val="19"/>
          <w:szCs w:val="19"/>
        </w:rPr>
        <w:t xml:space="preserve">  missingAssay: AssaySpec;</w:t>
      </w:r>
    </w:p>
    <w:p>
      <w:pPr>
        <w:shd w:fill="F4F4F4" w:val="clear"/>
        <w:spacing w:after="0" w:before="0" w:line="260"/>
        <w:ind w:left="240"/>
      </w:pPr>
      <w:r>
        <w:rPr>
          <w:rFonts w:ascii="Consolas" w:cs="Consolas" w:eastAsia="Consolas" w:hAnsi="Consolas"/>
          <w:sz w:val="19"/>
          <w:szCs w:val="19"/>
        </w:rPr>
        <w:t xml:space="preserve">  expectedRange: ExpectedRange;</w:t>
      </w:r>
    </w:p>
    <w:p>
      <w:pPr>
        <w:shd w:fill="F4F4F4" w:val="clear"/>
        <w:spacing w:after="0" w:before="0" w:line="260"/>
        <w:ind w:left="240"/>
      </w:pPr>
      <w:r>
        <w:rPr>
          <w:rFonts w:ascii="Consolas" w:cs="Consolas" w:eastAsia="Consolas" w:hAnsi="Consolas"/>
          <w:sz w:val="19"/>
          <w:szCs w:val="19"/>
        </w:rPr>
        <w:t xml:space="preserve">  blocksWhichDownstreamDecisions: DecisionId[];</w:t>
      </w:r>
    </w:p>
    <w:p>
      <w:pPr>
        <w:shd w:fill="F4F4F4" w:val="clear"/>
        <w:spacing w:after="0" w:before="0" w:line="260"/>
        <w:ind w:left="240"/>
      </w:pPr>
      <w:r>
        <w:rPr>
          <w:rFonts w:ascii="Consolas" w:cs="Consolas" w:eastAsia="Consolas" w:hAnsi="Consolas"/>
          <w:sz w:val="19"/>
          <w:szCs w:val="19"/>
        </w:rPr>
        <w:t xml:space="preserve">  estimatedCost: { currency: string; amount: number } | null;</w:t>
      </w:r>
    </w:p>
    <w:p>
      <w:pPr>
        <w:shd w:fill="F4F4F4" w:val="clear"/>
        <w:spacing w:after="0" w:before="0" w:line="260"/>
        <w:ind w:left="240"/>
      </w:pPr>
      <w:r>
        <w:rPr>
          <w:rFonts w:ascii="Consolas" w:cs="Consolas" w:eastAsia="Consolas" w:hAnsi="Consolas"/>
          <w:sz w:val="19"/>
          <w:szCs w:val="19"/>
        </w:rPr>
        <w:t xml:space="preserve">  estimatedTurnaround: { unit: 'day' | 'week'; value: number } | null;</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5.11 ConfirmationPackage (exit shape)</w:t>
      </w:r>
    </w:p>
    <w:p>
      <w:pPr>
        <w:spacing w:after="80" w:before="80" w:line="300"/>
        <w:jc w:val="left"/>
      </w:pPr>
      <w:r>
        <w:rPr>
          <w:rFonts w:ascii="Calibri" w:cs="Calibri" w:eastAsia="Calibri" w:hAnsi="Calibri"/>
          <w:sz w:val="22"/>
          <w:szCs w:val="22"/>
        </w:rPr>
        <w:t xml:space="preserve">The artifact emitted by the Confirmation Layer at the L3 boundary. Aggregates per-track evidence, joint outputs, the directive itself, the gate policy snapshot, and the override audit trail.</w:t>
      </w:r>
    </w:p>
    <w:p>
      <w:pPr>
        <w:shd w:fill="F4F4F4" w:val="clear"/>
        <w:spacing w:after="0" w:before="120" w:line="260"/>
        <w:ind w:left="240"/>
      </w:pPr>
      <w:r>
        <w:rPr>
          <w:rFonts w:ascii="Consolas" w:cs="Consolas" w:eastAsia="Consolas" w:hAnsi="Consolas"/>
          <w:sz w:val="19"/>
          <w:szCs w:val="19"/>
        </w:rPr>
        <w:t xml:space="preserve">interface ConfirmationEvidenceBlock {</w:t>
      </w:r>
    </w:p>
    <w:p>
      <w:pPr>
        <w:shd w:fill="F4F4F4" w:val="clear"/>
        <w:spacing w:after="0" w:before="0" w:line="260"/>
        <w:ind w:left="240"/>
      </w:pPr>
      <w:r>
        <w:rPr>
          <w:rFonts w:ascii="Consolas" w:cs="Consolas" w:eastAsia="Consolas" w:hAnsi="Consolas"/>
          <w:sz w:val="19"/>
          <w:szCs w:val="19"/>
        </w:rPr>
        <w:t xml:space="preserve">  layer: 'confirmation';</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Per-track evidence (each is a LayerEvidenceBlock)</w:t>
      </w:r>
    </w:p>
    <w:p>
      <w:pPr>
        <w:shd w:fill="F4F4F4" w:val="clear"/>
        <w:spacing w:after="0" w:before="0" w:line="260"/>
        <w:ind w:left="240"/>
      </w:pPr>
      <w:r>
        <w:rPr>
          <w:rFonts w:ascii="Consolas" w:cs="Consolas" w:eastAsia="Consolas" w:hAnsi="Consolas"/>
          <w:sz w:val="19"/>
          <w:szCs w:val="19"/>
        </w:rPr>
        <w:t xml:space="preserve">  inSilico: LayerEvidenceBlock&lt;InSilicoEvidence&gt;;</w:t>
      </w:r>
    </w:p>
    <w:p>
      <w:pPr>
        <w:shd w:fill="F4F4F4" w:val="clear"/>
        <w:spacing w:after="0" w:before="0" w:line="260"/>
        <w:ind w:left="240"/>
      </w:pPr>
      <w:r>
        <w:rPr>
          <w:rFonts w:ascii="Consolas" w:cs="Consolas" w:eastAsia="Consolas" w:hAnsi="Consolas"/>
          <w:sz w:val="19"/>
          <w:szCs w:val="19"/>
        </w:rPr>
        <w:t xml:space="preserve">  exVivo: LayerEvidenceBlock&lt;ExVivoEvidence&gt;;</w:t>
      </w:r>
    </w:p>
    <w:p>
      <w:pPr>
        <w:shd w:fill="F4F4F4" w:val="clear"/>
        <w:spacing w:after="0" w:before="0" w:line="260"/>
        <w:ind w:left="240"/>
      </w:pPr>
      <w:r>
        <w:rPr>
          <w:rFonts w:ascii="Consolas" w:cs="Consolas" w:eastAsia="Consolas" w:hAnsi="Consolas"/>
          <w:sz w:val="19"/>
          <w:szCs w:val="19"/>
        </w:rPr>
        <w:t xml:space="preserve">  exVivoEntryMode: ExVivoEntryMode;       // section 5.8</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The directive that bound the sub-tracks</w:t>
      </w:r>
    </w:p>
    <w:p>
      <w:pPr>
        <w:shd w:fill="F4F4F4" w:val="clear"/>
        <w:spacing w:after="0" w:before="0" w:line="260"/>
        <w:ind w:left="240"/>
      </w:pPr>
      <w:r>
        <w:rPr>
          <w:rFonts w:ascii="Consolas" w:cs="Consolas" w:eastAsia="Consolas" w:hAnsi="Consolas"/>
          <w:sz w:val="19"/>
          <w:szCs w:val="19"/>
        </w:rPr>
        <w:t xml:space="preserve">  directive: PreConfirmationDirective | null; // null only for notApplicable / overrideSkipped</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Joint outputs (section 5.9)</w:t>
      </w:r>
    </w:p>
    <w:p>
      <w:pPr>
        <w:shd w:fill="F4F4F4" w:val="clear"/>
        <w:spacing w:after="0" w:before="0" w:line="260"/>
        <w:ind w:left="240"/>
      </w:pPr>
      <w:r>
        <w:rPr>
          <w:rFonts w:ascii="Consolas" w:cs="Consolas" w:eastAsia="Consolas" w:hAnsi="Consolas"/>
          <w:sz w:val="19"/>
          <w:szCs w:val="19"/>
        </w:rPr>
        <w:t xml:space="preserve">  jointOutputs: {</w:t>
      </w:r>
    </w:p>
    <w:p>
      <w:pPr>
        <w:shd w:fill="F4F4F4" w:val="clear"/>
        <w:spacing w:after="0" w:before="0" w:line="260"/>
        <w:ind w:left="240"/>
      </w:pPr>
      <w:r>
        <w:rPr>
          <w:rFonts w:ascii="Consolas" w:cs="Consolas" w:eastAsia="Consolas" w:hAnsi="Consolas"/>
          <w:sz w:val="19"/>
          <w:szCs w:val="19"/>
        </w:rPr>
        <w:t xml:space="preserve">    cypTransporter: CypTransporterOutput;       // §6.1.a</w:t>
      </w:r>
    </w:p>
    <w:p>
      <w:pPr>
        <w:shd w:fill="F4F4F4" w:val="clear"/>
        <w:spacing w:after="0" w:before="0" w:line="260"/>
        <w:ind w:left="240"/>
      </w:pPr>
      <w:r>
        <w:rPr>
          <w:rFonts w:ascii="Consolas" w:cs="Consolas" w:eastAsia="Consolas" w:hAnsi="Consolas"/>
          <w:sz w:val="19"/>
          <w:szCs w:val="19"/>
        </w:rPr>
        <w:t xml:space="preserve">    clearanceFractions: ClearanceFractionsOutput; // §6.1.b</w:t>
      </w:r>
    </w:p>
    <w:p>
      <w:pPr>
        <w:shd w:fill="F4F4F4" w:val="clear"/>
        <w:spacing w:after="0" w:before="0" w:line="260"/>
        <w:ind w:left="240"/>
      </w:pPr>
      <w:r>
        <w:rPr>
          <w:rFonts w:ascii="Consolas" w:cs="Consolas" w:eastAsia="Consolas" w:hAnsi="Consolas"/>
          <w:sz w:val="19"/>
          <w:szCs w:val="19"/>
        </w:rPr>
        <w:t xml:space="preserve">    offTarget: JointOutput&lt;'off_target'&gt;;</w:t>
      </w:r>
    </w:p>
    <w:p>
      <w:pPr>
        <w:shd w:fill="F4F4F4" w:val="clear"/>
        <w:spacing w:after="0" w:before="0" w:line="260"/>
        <w:ind w:left="240"/>
      </w:pPr>
      <w:r>
        <w:rPr>
          <w:rFonts w:ascii="Consolas" w:cs="Consolas" w:eastAsia="Consolas" w:hAnsi="Consolas"/>
          <w:sz w:val="19"/>
          <w:szCs w:val="19"/>
        </w:rPr>
        <w:t xml:space="preserve">    doseResponse: JointOutput&lt;'dose_response'&gt;;</w:t>
      </w:r>
    </w:p>
    <w:p>
      <w:pPr>
        <w:shd w:fill="F4F4F4" w:val="clear"/>
        <w:spacing w:after="0" w:before="0" w:line="260"/>
        <w:ind w:left="240"/>
      </w:pPr>
      <w:r>
        <w:rPr>
          <w:rFonts w:ascii="Consolas" w:cs="Consolas" w:eastAsia="Consolas" w:hAnsi="Consolas"/>
          <w:sz w:val="19"/>
          <w:szCs w:val="19"/>
        </w:rPr>
        <w:t xml:space="preserve">    hergPbpkProjection: JointOutput&lt;'herg_pbpk'&gt;;</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Aggregated overrides (also surfaced at root for convenience)</w:t>
      </w:r>
    </w:p>
    <w:p>
      <w:pPr>
        <w:shd w:fill="F4F4F4" w:val="clear"/>
        <w:spacing w:after="0" w:before="0" w:line="260"/>
        <w:ind w:left="240"/>
      </w:pPr>
      <w:r>
        <w:rPr>
          <w:rFonts w:ascii="Consolas" w:cs="Consolas" w:eastAsia="Consolas" w:hAnsi="Consolas"/>
          <w:sz w:val="19"/>
          <w:szCs w:val="19"/>
        </w:rPr>
        <w:t xml:space="preserve">  overrides: OverrideRecord[];</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Gate decision</w:t>
      </w:r>
    </w:p>
    <w:p>
      <w:pPr>
        <w:shd w:fill="F4F4F4" w:val="clear"/>
        <w:spacing w:after="0" w:before="0" w:line="260"/>
        <w:ind w:left="240"/>
      </w:pPr>
      <w:r>
        <w:rPr>
          <w:rFonts w:ascii="Consolas" w:cs="Consolas" w:eastAsia="Consolas" w:hAnsi="Consolas"/>
          <w:sz w:val="19"/>
          <w:szCs w:val="19"/>
        </w:rPr>
        <w:t xml:space="preserve">  gateStatus: 'passed' | 'failed' | 'overridden';</w:t>
      </w:r>
    </w:p>
    <w:p>
      <w:pPr>
        <w:shd w:fill="F4F4F4" w:val="clear"/>
        <w:spacing w:after="0" w:before="0" w:line="260"/>
        <w:ind w:left="240"/>
      </w:pPr>
      <w:r>
        <w:rPr>
          <w:rFonts w:ascii="Consolas" w:cs="Consolas" w:eastAsia="Consolas" w:hAnsi="Consolas"/>
          <w:sz w:val="19"/>
          <w:szCs w:val="19"/>
        </w:rPr>
        <w:t xml:space="preserve">  gatePolicy: GatePolicySnapshot;</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Provenance</w:t>
      </w:r>
    </w:p>
    <w:p>
      <w:pPr>
        <w:shd w:fill="F4F4F4" w:val="clear"/>
        <w:spacing w:after="0" w:before="0" w:line="260"/>
        <w:ind w:left="240"/>
      </w:pPr>
      <w:r>
        <w:rPr>
          <w:rFonts w:ascii="Consolas" w:cs="Consolas" w:eastAsia="Consolas" w:hAnsi="Consolas"/>
          <w:sz w:val="19"/>
          <w:szCs w:val="19"/>
        </w:rPr>
        <w:t xml:space="preserve">  l1EvidencePointer: EvidencePointer;</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0" w:before="0" w:line="260"/>
        <w:ind w:left="240"/>
      </w:pPr>
      <w:r>
        <w:rPr>
          <w:rFonts w:ascii="Consolas" w:cs="Consolas" w:eastAsia="Consolas" w:hAnsi="Consolas"/>
          <w:sz w:val="19"/>
          <w:szCs w:val="19"/>
        </w:rPr>
        <w:t xml:space="preserve">  emitterEngine: EngineId;</w:t>
      </w:r>
    </w:p>
    <w:p>
      <w:pPr>
        <w:shd w:fill="F4F4F4" w:val="clear"/>
        <w:spacing w:after="0" w:before="0" w:line="260"/>
        <w:ind w:left="240"/>
      </w:pPr>
      <w:r>
        <w:rPr>
          <w:rFonts w:ascii="Consolas" w:cs="Consolas" w:eastAsia="Consolas" w:hAnsi="Consolas"/>
          <w:sz w:val="19"/>
          <w:szCs w:val="19"/>
        </w:rPr>
        <w:t xml:space="preserve">  emitterEngineVersion: string;</w:t>
      </w:r>
    </w:p>
    <w:p>
      <w:pPr>
        <w:shd w:fill="F4F4F4" w:val="clear"/>
        <w:spacing w:after="120" w:before="0" w:line="260"/>
        <w:ind w:left="240"/>
      </w:pPr>
      <w:r>
        <w:rPr>
          <w:rFonts w:ascii="Consolas" w:cs="Consolas" w:eastAsia="Consolas" w:hAnsi="Consolas"/>
          <w:sz w:val="19"/>
          <w:szCs w:val="19"/>
        </w:rPr>
        <w:t xml:space="preserve">}</w:t>
      </w:r>
    </w:p>
    <w:p>
      <w:r>
        <w:br w:type="page"/>
      </w:r>
    </w:p>
    <w:p>
      <w:pPr>
        <w:pStyle w:val="Heading1"/>
        <w:spacing w:after="160" w:before="320"/>
      </w:pPr>
      <w:r>
        <w:rPr>
          <w:rFonts w:ascii="Calibri" w:cs="Calibri" w:eastAsia="Calibri" w:hAnsi="Calibri"/>
          <w:b/>
          <w:bCs/>
          <w:sz w:val="32"/>
          <w:szCs w:val="32"/>
        </w:rPr>
        <w:t xml:space="preserve">6. Anti-Fabrication Invariants</w:t>
      </w:r>
    </w:p>
    <w:p>
      <w:pPr>
        <w:spacing w:after="80" w:before="80" w:line="300"/>
        <w:jc w:val="left"/>
      </w:pPr>
      <w:r>
        <w:rPr>
          <w:rFonts w:ascii="Calibri" w:cs="Calibri" w:eastAsia="Calibri" w:hAnsi="Calibri"/>
          <w:sz w:val="22"/>
          <w:szCs w:val="22"/>
        </w:rPr>
        <w:t xml:space="preserve">v2.0.0 holds five load-bearing invariants. Each is enforced at write time by the schema validators, not soft-checked at read time by consumers. The reason for write enforcement is that soft validation drifts under operational pressure — when a deadline approaches, integration engineers will fabricate the missing field rather than block. Write enforcement makes that fabrication impossible without an explicit, audit-trailed override.</w:t>
      </w:r>
    </w:p>
    <w:p>
      <w:pPr>
        <w:pStyle w:val="Heading2"/>
        <w:spacing w:after="120" w:before="260"/>
      </w:pPr>
      <w:r>
        <w:rPr>
          <w:rFonts w:ascii="Calibri" w:cs="Calibri" w:eastAsia="Calibri" w:hAnsi="Calibri"/>
          <w:b/>
          <w:bCs/>
          <w:sz w:val="28"/>
          <w:szCs w:val="28"/>
        </w:rPr>
        <w:t xml:space="preserve">6.1 Frozen L1 evidence pointer</w:t>
      </w:r>
    </w:p>
    <w:p>
      <w:pPr>
        <w:spacing w:after="80" w:before="80" w:line="300"/>
        <w:jc w:val="left"/>
      </w:pPr>
      <w:r>
        <w:rPr>
          <w:rFonts w:ascii="Calibri" w:cs="Calibri" w:eastAsia="Calibri" w:hAnsi="Calibri"/>
          <w:sz w:val="22"/>
          <w:szCs w:val="22"/>
        </w:rPr>
        <w:t xml:space="preserve">Every artifact downstream of L1 references a frozen L1 evidence pointer locked at Confirmation Layer ingest. The pointer survives any rename or refactor of the underlying L1 record, because the pointer is to a specific versioned evidence ID rather than a path or a name. Override blocks cite specific fields of the pointer's target so audits can verify which numbers a human actually examined, not just that they examined 'L1'.</w:t>
      </w:r>
    </w:p>
    <w:p>
      <w:pPr>
        <w:pStyle w:val="Heading2"/>
        <w:spacing w:after="120" w:before="260"/>
      </w:pPr>
      <w:r>
        <w:rPr>
          <w:rFonts w:ascii="Calibri" w:cs="Calibri" w:eastAsia="Calibri" w:hAnsi="Calibri"/>
          <w:b/>
          <w:bCs/>
          <w:sz w:val="28"/>
          <w:szCs w:val="28"/>
        </w:rPr>
        <w:t xml:space="preserve">6.2 Ex-vivo cannot exist without an entry mode</w:t>
      </w:r>
    </w:p>
    <w:p>
      <w:pPr>
        <w:spacing w:after="80" w:before="80" w:line="300"/>
        <w:jc w:val="left"/>
      </w:pPr>
      <w:r>
        <w:rPr>
          <w:rFonts w:ascii="Calibri" w:cs="Calibri" w:eastAsia="Calibri" w:hAnsi="Calibri"/>
          <w:sz w:val="22"/>
          <w:szCs w:val="22"/>
        </w:rPr>
        <w:t xml:space="preserve">Every ex-vivo record must carry an ExVivoEntryMode that is one of: consumedDirective (with a valid DirectiveId), notApplicable (with a CategoricalExemption from the catalogue), or overrideSkipped (with an OverrideRecord including authority chain). Ex-vivo records lacking any of these three are rejected at write time. There is no fallback to 'unblinded run with reason' — the soft escape hatch from the v2 in-flight design that preceded v2.0.0.</w:t>
      </w:r>
    </w:p>
    <w:p>
      <w:pPr>
        <w:pStyle w:val="Heading2"/>
        <w:spacing w:after="120" w:before="260"/>
      </w:pPr>
      <w:r>
        <w:rPr>
          <w:rFonts w:ascii="Calibri" w:cs="Calibri" w:eastAsia="Calibri" w:hAnsi="Calibri"/>
          <w:b/>
          <w:bCs/>
          <w:sz w:val="28"/>
          <w:szCs w:val="28"/>
        </w:rPr>
        <w:t xml:space="preserve">6.3 Falsified is a typed state, not a soft caveat</w:t>
      </w:r>
    </w:p>
    <w:p>
      <w:pPr>
        <w:spacing w:after="80" w:before="80" w:line="300"/>
        <w:jc w:val="left"/>
      </w:pPr>
      <w:r>
        <w:rPr>
          <w:rFonts w:ascii="Calibri" w:cs="Calibri" w:eastAsia="Calibri" w:hAnsi="Calibri"/>
          <w:sz w:val="22"/>
          <w:szCs w:val="22"/>
        </w:rPr>
        <w:t xml:space="preserve">A prediction that has been actively contradicted by ex-vivo (a registered FalsifierId triggered) is recorded as falsified in the per-track evidence block. Falsified predictions are excluded from joint output synthesis except via explicit override. They do not silently average with ex-vivo into a softer joint number. This is the property that makes the MABEL-bias case in Phase1Planner defensible: 'in-silico off-target prediction was falsified by ex-vivo, override was accepted with cited authority, therefore Phase 1 must apply MABEL bias regardless of HED-based dose calculation'.</w:t>
      </w:r>
    </w:p>
    <w:p>
      <w:pPr>
        <w:pStyle w:val="Heading2"/>
        <w:spacing w:after="120" w:before="260"/>
      </w:pPr>
      <w:r>
        <w:rPr>
          <w:rFonts w:ascii="Calibri" w:cs="Calibri" w:eastAsia="Calibri" w:hAnsi="Calibri"/>
          <w:b/>
          <w:bCs/>
          <w:sz w:val="28"/>
          <w:szCs w:val="28"/>
        </w:rPr>
        <w:t xml:space="preserve">6.4 No silent fallback on partial joint outputs</w:t>
      </w:r>
    </w:p>
    <w:p>
      <w:pPr>
        <w:spacing w:after="80" w:before="80" w:line="300"/>
        <w:jc w:val="left"/>
      </w:pPr>
      <w:r>
        <w:rPr>
          <w:rFonts w:ascii="Calibri" w:cs="Calibri" w:eastAsia="Calibri" w:hAnsi="Calibri"/>
          <w:sz w:val="22"/>
          <w:szCs w:val="22"/>
        </w:rPr>
        <w:t xml:space="preserve">When ex-vivo is missing the assay corresponding to a joint output domain, the synthesised value is null and the joint output is marked partial with a typed repairPath. v1's pattern of silently falling back to mlOnlyEvidence with a confidenceCaveat string is deprecated. Phase1Planner is explicitly required to handle partial as a distinct branch — either by waiting for repair or by emitting a planning output with explicit blocked-decision flags.</w:t>
      </w:r>
    </w:p>
    <w:p>
      <w:pPr>
        <w:pStyle w:val="Heading2"/>
        <w:spacing w:after="120" w:before="260"/>
      </w:pPr>
      <w:r>
        <w:rPr>
          <w:rFonts w:ascii="Calibri" w:cs="Calibri" w:eastAsia="Calibri" w:hAnsi="Calibri"/>
          <w:b/>
          <w:bCs/>
          <w:sz w:val="28"/>
          <w:szCs w:val="28"/>
        </w:rPr>
        <w:t xml:space="preserve">6.5 Override authority chain is non-optional</w:t>
      </w:r>
    </w:p>
    <w:p>
      <w:pPr>
        <w:spacing w:after="80" w:before="80" w:line="300"/>
        <w:jc w:val="left"/>
      </w:pPr>
      <w:r>
        <w:rPr>
          <w:rFonts w:ascii="Calibri" w:cs="Calibri" w:eastAsia="Calibri" w:hAnsi="Calibri"/>
          <w:sz w:val="22"/>
          <w:szCs w:val="22"/>
        </w:rPr>
        <w:t xml:space="preserve">Every OverrideRecord carries actor, role, and authorityCitation alongside the substantive fields. The authority side is symmetric with the evidence side: just as l1EvidenceCited names which fields of which pointer were examined, authorityCitation names which policy under which the override is sanctioned. Records lacking the authority chain are rejected at write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A0A0" w:sz="6"/>
              <w:left w:val="single" w:color="A0A0A0" w:sz="6"/>
              <w:bottom w:val="single" w:color="A0A0A0" w:sz="6"/>
              <w:right w:val="single" w:color="A0A0A0" w:sz="6"/>
            </w:tcBorders>
            <w:shd w:fill="FAF8E6" w:val="clear"/>
            <w:tcMar>
              <w:top w:type="dxa" w:w="120"/>
              <w:left w:type="dxa" w:w="200"/>
              <w:bottom w:type="dxa" w:w="120"/>
              <w:right w:type="dxa" w:w="200"/>
            </w:tcMar>
          </w:tcPr>
          <w:p>
            <w:pPr>
              <w:spacing w:after="60"/>
            </w:pPr>
            <w:r>
              <w:rPr>
                <w:rFonts w:ascii="Calibri" w:cs="Calibri" w:eastAsia="Calibri" w:hAnsi="Calibri"/>
                <w:b/>
                <w:bCs/>
                <w:color w:val="5A4A00"/>
                <w:sz w:val="20"/>
                <w:szCs w:val="20"/>
              </w:rPr>
              <w:t xml:space="preserve">How invariants survive v2.0.x</w:t>
            </w:r>
          </w:p>
          <w:p>
            <w:pPr>
              <w:spacing w:line="280"/>
            </w:pPr>
            <w:r>
              <w:rPr>
                <w:rFonts w:ascii="Calibri" w:cs="Calibri" w:eastAsia="Calibri" w:hAnsi="Calibri"/>
                <w:sz w:val="22"/>
                <w:szCs w:val="22"/>
              </w:rPr>
              <w:t xml:space="preserve">These five invariants are the design's load-bearing properties. Any future minor-version change that relaxes one of them — for example, allowing 'unblindedRunReason' as an ex-vivo entry mode for 'convenience', or letting joint outputs silently fall back when ex-vivo is missing — has functionally returned the system to v1. Reviewers of v2.0.x changes should explicitly verify that no invariant has been softened.</w:t>
            </w:r>
          </w:p>
        </w:tc>
      </w:tr>
    </w:tbl>
    <w:p>
      <w:r>
        <w:br w:type="page"/>
      </w:r>
    </w:p>
    <w:p>
      <w:pPr>
        <w:pStyle w:val="Heading1"/>
        <w:spacing w:after="160" w:before="320"/>
      </w:pPr>
      <w:r>
        <w:rPr>
          <w:rFonts w:ascii="Calibri" w:cs="Calibri" w:eastAsia="Calibri" w:hAnsi="Calibri"/>
          <w:b/>
          <w:bCs/>
          <w:sz w:val="32"/>
          <w:szCs w:val="32"/>
        </w:rPr>
        <w:t xml:space="preserve">7. Adjacent Contracts</w:t>
      </w:r>
    </w:p>
    <w:p>
      <w:pPr>
        <w:pStyle w:val="Heading2"/>
        <w:spacing w:after="120" w:before="260"/>
      </w:pPr>
      <w:r>
        <w:rPr>
          <w:rFonts w:ascii="Calibri" w:cs="Calibri" w:eastAsia="Calibri" w:hAnsi="Calibri"/>
          <w:b/>
          <w:bCs/>
          <w:sz w:val="28"/>
          <w:szCs w:val="28"/>
        </w:rPr>
        <w:t xml:space="preserve">7.1 L1 InVitroPackage (input contract)</w:t>
      </w:r>
    </w:p>
    <w:p>
      <w:pPr>
        <w:spacing w:after="80" w:before="80" w:line="300"/>
        <w:jc w:val="left"/>
      </w:pPr>
      <w:r>
        <w:rPr>
          <w:rFonts w:ascii="Calibri" w:cs="Calibri" w:eastAsia="Calibri" w:hAnsi="Calibri"/>
          <w:sz w:val="22"/>
          <w:szCs w:val="22"/>
        </w:rPr>
        <w:t xml:space="preserve">The Confirmation Layer requires the following from L1. Records that do not satisfy these requirements are rejected at ingest (section 4.1).</w:t>
      </w:r>
    </w:p>
    <w:p>
      <w:pPr>
        <w:shd w:fill="F4F4F4" w:val="clear"/>
        <w:spacing w:after="0" w:before="120" w:line="260"/>
        <w:ind w:left="240"/>
      </w:pPr>
      <w:r>
        <w:rPr>
          <w:rFonts w:ascii="Consolas" w:cs="Consolas" w:eastAsia="Consolas" w:hAnsi="Consolas"/>
          <w:sz w:val="19"/>
          <w:szCs w:val="19"/>
        </w:rPr>
        <w:t xml:space="preserve">interface InVitroPackage {</w:t>
      </w:r>
    </w:p>
    <w:p>
      <w:pPr>
        <w:shd w:fill="F4F4F4" w:val="clear"/>
        <w:spacing w:after="0" w:before="0" w:line="260"/>
        <w:ind w:left="240"/>
      </w:pPr>
      <w:r>
        <w:rPr>
          <w:rFonts w:ascii="Consolas" w:cs="Consolas" w:eastAsia="Consolas" w:hAnsi="Consolas"/>
          <w:sz w:val="19"/>
          <w:szCs w:val="19"/>
        </w:rPr>
        <w:t xml:space="preserve">  schemaVersion: string;</w:t>
      </w:r>
    </w:p>
    <w:p>
      <w:pPr>
        <w:shd w:fill="F4F4F4" w:val="clear"/>
        <w:spacing w:after="0" w:before="0" w:line="260"/>
        <w:ind w:left="240"/>
      </w:pPr>
      <w:r>
        <w:rPr>
          <w:rFonts w:ascii="Consolas" w:cs="Consolas" w:eastAsia="Consolas" w:hAnsi="Consolas"/>
          <w:sz w:val="19"/>
          <w:szCs w:val="19"/>
        </w:rPr>
        <w:t xml:space="preserve">  compoundId: CompoundId;</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primaryAssayResults: AssayResult[];     // required, min 1</w:t>
      </w:r>
    </w:p>
    <w:p>
      <w:pPr>
        <w:shd w:fill="F4F4F4" w:val="clear"/>
        <w:spacing w:after="0" w:before="0" w:line="260"/>
        <w:ind w:left="240"/>
      </w:pPr>
      <w:r>
        <w:rPr>
          <w:rFonts w:ascii="Consolas" w:cs="Consolas" w:eastAsia="Consolas" w:hAnsi="Consolas"/>
          <w:sz w:val="19"/>
          <w:szCs w:val="19"/>
        </w:rPr>
        <w:t xml:space="preserve">  mlFeatureVectors: FeatureVector[];      // required for in-silico sub-track</w:t>
      </w:r>
    </w:p>
    <w:p>
      <w:pPr>
        <w:shd w:fill="F4F4F4" w:val="clear"/>
        <w:spacing w:after="0" w:before="0" w:line="260"/>
        <w:ind w:left="240"/>
      </w:pPr>
      <w:r>
        <w:rPr>
          <w:rFonts w:ascii="Consolas" w:cs="Consolas" w:eastAsia="Consolas" w:hAnsi="Consolas"/>
          <w:sz w:val="19"/>
          <w:szCs w:val="19"/>
        </w:rPr>
        <w:t xml:space="preserve">  candidateRanking: { rank: number; confidence: number }; // L1's own ranking</w:t>
      </w:r>
    </w:p>
    <w:p>
      <w:pPr>
        <w:shd w:fill="F4F4F4" w:val="clear"/>
        <w:spacing w:after="0" w:before="0" w:line="260"/>
        <w:ind w:left="240"/>
      </w:pPr>
      <w:r>
        <w:rPr>
          <w:rFonts w:ascii="Consolas" w:cs="Consolas" w:eastAsia="Consolas" w:hAnsi="Consolas"/>
          <w:sz w:val="19"/>
          <w:szCs w:val="19"/>
        </w:rPr>
        <w:t xml:space="preserve">  hitMetadata: HitMetadata;</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0" w:before="0" w:line="260"/>
        <w:ind w:left="240"/>
      </w:pPr>
      <w:r>
        <w:rPr>
          <w:rFonts w:ascii="Consolas" w:cs="Consolas" w:eastAsia="Consolas" w:hAnsi="Consolas"/>
          <w:sz w:val="19"/>
          <w:szCs w:val="19"/>
        </w:rPr>
        <w:t xml:space="preserve">  emitterEngine: EngineId;</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7.2 L3 AnimalCohortPackage (output contract)</w:t>
      </w:r>
    </w:p>
    <w:p>
      <w:pPr>
        <w:spacing w:after="80" w:before="80" w:line="300"/>
        <w:jc w:val="left"/>
      </w:pPr>
      <w:r>
        <w:rPr>
          <w:rFonts w:ascii="Calibri" w:cs="Calibri" w:eastAsia="Calibri" w:hAnsi="Calibri"/>
          <w:sz w:val="22"/>
          <w:szCs w:val="22"/>
        </w:rPr>
        <w:t xml:space="preserve">The Animal Cohort layer emits its package shaped per CDISC SEND v3.x at the outbound regulatory boundary, with an internal representation that carries a typed reference back to the ConfirmationPackage that drove the study design. Phase1Planner reads the internal representation; external regulatory consumers read the SEND projection.</w:t>
      </w:r>
    </w:p>
    <w:p>
      <w:pPr>
        <w:shd w:fill="F4F4F4" w:val="clear"/>
        <w:spacing w:after="0" w:before="120" w:line="260"/>
        <w:ind w:left="240"/>
      </w:pPr>
      <w:r>
        <w:rPr>
          <w:rFonts w:ascii="Consolas" w:cs="Consolas" w:eastAsia="Consolas" w:hAnsi="Consolas"/>
          <w:sz w:val="19"/>
          <w:szCs w:val="19"/>
        </w:rPr>
        <w:t xml:space="preserve">interface AnimalCohortPackage {</w:t>
      </w:r>
    </w:p>
    <w:p>
      <w:pPr>
        <w:shd w:fill="F4F4F4" w:val="clear"/>
        <w:spacing w:after="0" w:before="0" w:line="260"/>
        <w:ind w:left="240"/>
      </w:pPr>
      <w:r>
        <w:rPr>
          <w:rFonts w:ascii="Consolas" w:cs="Consolas" w:eastAsia="Consolas" w:hAnsi="Consolas"/>
          <w:sz w:val="19"/>
          <w:szCs w:val="19"/>
        </w:rPr>
        <w:t xml:space="preserve">  schemaVersion: string;</w:t>
      </w:r>
    </w:p>
    <w:p>
      <w:pPr>
        <w:shd w:fill="F4F4F4" w:val="clear"/>
        <w:spacing w:after="0" w:before="0" w:line="260"/>
        <w:ind w:left="240"/>
      </w:pPr>
      <w:r>
        <w:rPr>
          <w:rFonts w:ascii="Consolas" w:cs="Consolas" w:eastAsia="Consolas" w:hAnsi="Consolas"/>
          <w:sz w:val="19"/>
          <w:szCs w:val="19"/>
        </w:rPr>
        <w:t xml:space="preserve">  compoundId: CompoundId;</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Internal representation (read by Phase1Planner)</w:t>
      </w:r>
    </w:p>
    <w:p>
      <w:pPr>
        <w:shd w:fill="F4F4F4" w:val="clear"/>
        <w:spacing w:after="0" w:before="0" w:line="260"/>
        <w:ind w:left="240"/>
      </w:pPr>
      <w:r>
        <w:rPr>
          <w:rFonts w:ascii="Consolas" w:cs="Consolas" w:eastAsia="Consolas" w:hAnsi="Consolas"/>
          <w:sz w:val="19"/>
          <w:szCs w:val="19"/>
        </w:rPr>
        <w:t xml:space="preserve">  studies: AnimalStudy[];                 // PK, repeat-dose tox, safety pharm, etc.</w:t>
      </w:r>
    </w:p>
    <w:p>
      <w:pPr>
        <w:shd w:fill="F4F4F4" w:val="clear"/>
        <w:spacing w:after="0" w:before="0" w:line="260"/>
        <w:ind w:left="240"/>
      </w:pPr>
      <w:r>
        <w:rPr>
          <w:rFonts w:ascii="Consolas" w:cs="Consolas" w:eastAsia="Consolas" w:hAnsi="Consolas"/>
          <w:sz w:val="19"/>
          <w:szCs w:val="19"/>
        </w:rPr>
        <w:t xml:space="preserve">  confirmationPackageRef: ConfirmationPackageRef; // upstream provenance</w:t>
      </w:r>
    </w:p>
    <w:p>
      <w:pPr>
        <w:shd w:fill="F4F4F4" w:val="clear"/>
        <w:spacing w:after="0" w:before="0" w:line="260"/>
        <w:ind w:left="240"/>
      </w:pPr>
      <w:r>
        <w:rPr>
          <w:rFonts w:ascii="Consolas" w:cs="Consolas" w:eastAsia="Consolas" w:hAnsi="Consolas"/>
          <w:sz w:val="19"/>
          <w:szCs w:val="19"/>
        </w:rPr>
        <w:t xml:space="preserve">  directivesConfirmedByAnimal: DirectiveId[];     // which L2 directives were vivo-confirmed</w:t>
      </w:r>
    </w:p>
    <w:p>
      <w:pPr>
        <w:shd w:fill="F4F4F4" w:val="clear"/>
        <w:spacing w:after="0" w:before="0" w:line="260"/>
        <w:ind w:left="240"/>
      </w:pPr>
      <w:r>
        <w:rPr>
          <w:rFonts w:ascii="Consolas" w:cs="Consolas" w:eastAsia="Consolas" w:hAnsi="Consolas"/>
          <w:sz w:val="19"/>
          <w:szCs w:val="19"/>
        </w:rPr>
        <w:t xml:space="preserve">  falsifiersTriggeredInVivo: FalsifierTrigger[];  // in-vivo falsifier hits</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External representation (read by FDA / regulatory)</w:t>
      </w:r>
    </w:p>
    <w:p>
      <w:pPr>
        <w:shd w:fill="F4F4F4" w:val="clear"/>
        <w:spacing w:after="0" w:before="0" w:line="260"/>
        <w:ind w:left="240"/>
      </w:pPr>
      <w:r>
        <w:rPr>
          <w:rFonts w:ascii="Consolas" w:cs="Consolas" w:eastAsia="Consolas" w:hAnsi="Consolas"/>
          <w:sz w:val="19"/>
          <w:szCs w:val="19"/>
        </w:rPr>
        <w:t xml:space="preserve">  sendProjection: SendV3xDataset;         // CDISC SEND v3.x compliant</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 Cross-cutting</w:t>
      </w:r>
    </w:p>
    <w:p>
      <w:pPr>
        <w:shd w:fill="F4F4F4" w:val="clear"/>
        <w:spacing w:after="0" w:before="0" w:line="260"/>
        <w:ind w:left="240"/>
      </w:pPr>
      <w:r>
        <w:rPr>
          <w:rFonts w:ascii="Consolas" w:cs="Consolas" w:eastAsia="Consolas" w:hAnsi="Consolas"/>
          <w:sz w:val="19"/>
          <w:szCs w:val="19"/>
        </w:rPr>
        <w:t xml:space="preserve">  gateStatus: 'passed' | 'failed' | 'overridden';</w:t>
      </w:r>
    </w:p>
    <w:p>
      <w:pPr>
        <w:shd w:fill="F4F4F4" w:val="clear"/>
        <w:spacing w:after="0" w:before="0" w:line="260"/>
        <w:ind w:left="240"/>
      </w:pPr>
      <w:r>
        <w:rPr>
          <w:rFonts w:ascii="Consolas" w:cs="Consolas" w:eastAsia="Consolas" w:hAnsi="Consolas"/>
          <w:sz w:val="19"/>
          <w:szCs w:val="19"/>
        </w:rPr>
        <w:t xml:space="preserve">  overrides: OverrideRecord[];</w:t>
      </w:r>
    </w:p>
    <w:p>
      <w:pPr>
        <w:shd w:fill="F4F4F4" w:val="clear"/>
        <w:spacing w:after="0" w:before="0" w:line="260"/>
        <w:ind w:left="240"/>
      </w:pPr>
      <w:r>
        <w:rPr>
          <w:rFonts w:ascii="Consolas" w:cs="Consolas" w:eastAsia="Consolas" w:hAnsi="Consolas"/>
          <w:sz w:val="19"/>
          <w:szCs w:val="19"/>
        </w:rPr>
        <w:t xml:space="preserve">  emittedAt: ISOTimestamp;</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7.3 Phase 1 Planning consumer interface</w:t>
      </w:r>
    </w:p>
    <w:p>
      <w:pPr>
        <w:spacing w:after="80" w:before="80" w:line="300"/>
        <w:jc w:val="left"/>
      </w:pPr>
      <w:r>
        <w:rPr>
          <w:rFonts w:ascii="Calibri" w:cs="Calibri" w:eastAsia="Calibri" w:hAnsi="Calibri"/>
          <w:sz w:val="22"/>
          <w:szCs w:val="22"/>
        </w:rPr>
        <w:t xml:space="preserve">Phase1Planner is a pure consumer of PreClinicalPackage. It does not write back into the upstream layers. Its key entry points are:</w:t>
      </w:r>
    </w:p>
    <w:p>
      <w:pPr>
        <w:shd w:fill="F4F4F4" w:val="clear"/>
        <w:spacing w:after="0" w:before="120" w:line="260"/>
        <w:ind w:left="240"/>
      </w:pPr>
      <w:r>
        <w:rPr>
          <w:rFonts w:ascii="Consolas" w:cs="Consolas" w:eastAsia="Consolas" w:hAnsi="Consolas"/>
          <w:sz w:val="19"/>
          <w:szCs w:val="19"/>
        </w:rPr>
        <w:t xml:space="preserve">// MABEL / HED / FIH derivation</w:t>
      </w:r>
    </w:p>
    <w:p>
      <w:pPr>
        <w:shd w:fill="F4F4F4" w:val="clear"/>
        <w:spacing w:after="0" w:before="0" w:line="260"/>
        <w:ind w:left="240"/>
      </w:pPr>
      <w:r>
        <w:rPr>
          <w:rFonts w:ascii="Consolas" w:cs="Consolas" w:eastAsia="Consolas" w:hAnsi="Consolas"/>
          <w:sz w:val="19"/>
          <w:szCs w:val="19"/>
        </w:rPr>
        <w:t xml:space="preserve">function derivePhase1Defaults(pkg: PreClinicalPackage): Phase1DefaultsDraft;</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IND-supporting section drafts</w:t>
      </w:r>
    </w:p>
    <w:p>
      <w:pPr>
        <w:shd w:fill="F4F4F4" w:val="clear"/>
        <w:spacing w:after="0" w:before="0" w:line="260"/>
        <w:ind w:left="240"/>
      </w:pPr>
      <w:r>
        <w:rPr>
          <w:rFonts w:ascii="Consolas" w:cs="Consolas" w:eastAsia="Consolas" w:hAnsi="Consolas"/>
          <w:sz w:val="19"/>
          <w:szCs w:val="19"/>
        </w:rPr>
        <w:t xml:space="preserve">function deriveM26NonclinicalSummary(pkg: PreClinicalPackage): M26Draft;</w:t>
      </w:r>
    </w:p>
    <w:p>
      <w:pPr>
        <w:shd w:fill="F4F4F4" w:val="clear"/>
        <w:spacing w:after="0" w:before="0" w:line="260"/>
        <w:ind w:left="240"/>
      </w:pPr>
      <w:r>
        <w:rPr>
          <w:rFonts w:ascii="Consolas" w:cs="Consolas" w:eastAsia="Consolas" w:hAnsi="Consolas"/>
          <w:sz w:val="19"/>
          <w:szCs w:val="19"/>
        </w:rPr>
        <w:t xml:space="preserve">function deriveM2NonclinicalTabulated(pkg: PreClinicalPackage): M2TabulatedDraft;</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IND gate decision</w:t>
      </w:r>
    </w:p>
    <w:p>
      <w:pPr>
        <w:shd w:fill="F4F4F4" w:val="clear"/>
        <w:spacing w:after="0" w:before="0" w:line="260"/>
        <w:ind w:left="240"/>
      </w:pPr>
      <w:r>
        <w:rPr>
          <w:rFonts w:ascii="Consolas" w:cs="Consolas" w:eastAsia="Consolas" w:hAnsi="Consolas"/>
          <w:sz w:val="19"/>
          <w:szCs w:val="19"/>
        </w:rPr>
        <w:t xml:space="preserve">function evaluateINDGate(</w:t>
      </w:r>
    </w:p>
    <w:p>
      <w:pPr>
        <w:shd w:fill="F4F4F4" w:val="clear"/>
        <w:spacing w:after="0" w:before="0" w:line="260"/>
        <w:ind w:left="240"/>
      </w:pPr>
      <w:r>
        <w:rPr>
          <w:rFonts w:ascii="Consolas" w:cs="Consolas" w:eastAsia="Consolas" w:hAnsi="Consolas"/>
          <w:sz w:val="19"/>
          <w:szCs w:val="19"/>
        </w:rPr>
        <w:t xml:space="preserve">  pkg: PreClinicalPackage,</w:t>
      </w:r>
    </w:p>
    <w:p>
      <w:pPr>
        <w:shd w:fill="F4F4F4" w:val="clear"/>
        <w:spacing w:after="0" w:before="0" w:line="260"/>
        <w:ind w:left="240"/>
      </w:pPr>
      <w:r>
        <w:rPr>
          <w:rFonts w:ascii="Consolas" w:cs="Consolas" w:eastAsia="Consolas" w:hAnsi="Consolas"/>
          <w:sz w:val="19"/>
          <w:szCs w:val="19"/>
        </w:rPr>
        <w:t xml:space="preserve">  policyOverride?: GatePolicySnapshot</w:t>
      </w:r>
    </w:p>
    <w:p>
      <w:pPr>
        <w:shd w:fill="F4F4F4" w:val="clear"/>
        <w:spacing w:after="0" w:before="0" w:line="260"/>
        <w:ind w:left="240"/>
      </w:pPr>
      <w:r>
        <w:rPr>
          <w:rFonts w:ascii="Consolas" w:cs="Consolas" w:eastAsia="Consolas" w:hAnsi="Consolas"/>
          <w:sz w:val="19"/>
          <w:szCs w:val="19"/>
        </w:rPr>
        <w:t xml:space="preserve">): INDGateDecision;</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MABEL bias logic — branches on accepted FalsifierId values</w:t>
      </w:r>
    </w:p>
    <w:p>
      <w:pPr>
        <w:shd w:fill="F4F4F4" w:val="clear"/>
        <w:spacing w:after="0" w:before="0" w:line="260"/>
        <w:ind w:left="240"/>
      </w:pPr>
      <w:r>
        <w:rPr>
          <w:rFonts w:ascii="Consolas" w:cs="Consolas" w:eastAsia="Consolas" w:hAnsi="Consolas"/>
          <w:sz w:val="19"/>
          <w:szCs w:val="19"/>
        </w:rPr>
        <w:t xml:space="preserve">function shouldApplyMabelBias(</w:t>
      </w:r>
    </w:p>
    <w:p>
      <w:pPr>
        <w:shd w:fill="F4F4F4" w:val="clear"/>
        <w:spacing w:after="0" w:before="0" w:line="260"/>
        <w:ind w:left="240"/>
      </w:pPr>
      <w:r>
        <w:rPr>
          <w:rFonts w:ascii="Consolas" w:cs="Consolas" w:eastAsia="Consolas" w:hAnsi="Consolas"/>
          <w:sz w:val="19"/>
          <w:szCs w:val="19"/>
        </w:rPr>
        <w:t xml:space="preserve">  pkg: PreClinicalPackage</w:t>
      </w:r>
    </w:p>
    <w:p>
      <w:pPr>
        <w:shd w:fill="F4F4F4" w:val="clear"/>
        <w:spacing w:after="120" w:before="0" w:line="260"/>
        <w:ind w:left="240"/>
      </w:pPr>
      <w:r>
        <w:rPr>
          <w:rFonts w:ascii="Consolas" w:cs="Consolas" w:eastAsia="Consolas" w:hAnsi="Consolas"/>
          <w:sz w:val="19"/>
          <w:szCs w:val="19"/>
        </w:rPr>
        <w:t xml:space="preserve">): { apply: boolean; reasonFalsifierId: FalsifierId | null };</w:t>
      </w:r>
    </w:p>
    <w:p>
      <w:pPr>
        <w:spacing w:after="80" w:before="80" w:line="300"/>
        <w:jc w:val="left"/>
      </w:pPr>
      <w:r>
        <w:rPr>
          <w:rFonts w:ascii="Calibri" w:cs="Calibri" w:eastAsia="Calibri" w:hAnsi="Calibri"/>
          <w:sz w:val="22"/>
          <w:szCs w:val="22"/>
        </w:rPr>
        <w:t xml:space="preserve">derivePhase1Defaults reads per-layer confidence directly. evaluateINDGate reads the embedded gatePolicy from the package rather than from program configuration, which is what makes the package portable across organisations. shouldApplyMabelBias is the function that branches on accepted FalsifierIds and is the canonical example of why FalsifierId is typed rather than free-text.</w:t>
      </w:r>
    </w:p>
    <w:p>
      <w:r>
        <w:br w:type="page"/>
      </w:r>
    </w:p>
    <w:p>
      <w:pPr>
        <w:pStyle w:val="Heading1"/>
        <w:spacing w:after="160" w:before="320"/>
      </w:pPr>
      <w:r>
        <w:rPr>
          <w:rFonts w:ascii="Calibri" w:cs="Calibri" w:eastAsia="Calibri" w:hAnsi="Calibri"/>
          <w:b/>
          <w:bCs/>
          <w:sz w:val="32"/>
          <w:szCs w:val="32"/>
        </w:rPr>
        <w:t xml:space="preserve">8. Migration Plan</w:t>
      </w:r>
    </w:p>
    <w:p>
      <w:pPr>
        <w:pStyle w:val="Heading2"/>
        <w:spacing w:after="120" w:before="260"/>
      </w:pPr>
      <w:r>
        <w:rPr>
          <w:rFonts w:ascii="Calibri" w:cs="Calibri" w:eastAsia="Calibri" w:hAnsi="Calibri"/>
          <w:b/>
          <w:bCs/>
          <w:sz w:val="28"/>
          <w:szCs w:val="28"/>
        </w:rPr>
        <w:t xml:space="preserve">8.1 v1 → v2.0.0 supersession</w:t>
      </w:r>
    </w:p>
    <w:p>
      <w:pPr>
        <w:spacing w:after="80" w:before="80" w:line="300"/>
        <w:jc w:val="left"/>
      </w:pPr>
      <w:r>
        <w:rPr>
          <w:rFonts w:ascii="Calibri" w:cs="Calibri" w:eastAsia="Calibri" w:hAnsi="Calibri"/>
          <w:sz w:val="22"/>
          <w:szCs w:val="22"/>
        </w:rPr>
        <w:t xml:space="preserve">v1.x is the version Phase1Planner currently consumes. v2.0.0 is a breaking change in two specific ways: (1) the top-level §6.1.a CYP-Transporter and §6.1.b clearance-fractions fields move to confirmation.jointOutputs; (2) the flat derivedFrom provenance list is replaced by per-layer evidence blocks. Because v2 had no production consumers — the half-step v2 work was in flight when this design landed — there is no migration burden on external consumers, only on the internal Phase1Planner code path.</w:t>
      </w:r>
    </w:p>
    <w:p>
      <w:pPr>
        <w:pStyle w:val="Heading2"/>
        <w:spacing w:after="120" w:before="260"/>
      </w:pPr>
      <w:r>
        <w:rPr>
          <w:rFonts w:ascii="Calibri" w:cs="Calibri" w:eastAsia="Calibri" w:hAnsi="Calibri"/>
          <w:b/>
          <w:bCs/>
          <w:sz w:val="28"/>
          <w:szCs w:val="28"/>
        </w:rPr>
        <w:t xml:space="preserve">8.2 Implementation sequence</w:t>
      </w:r>
    </w:p>
    <w:p>
      <w:pPr>
        <w:spacing w:after="80" w:before="80" w:line="300"/>
        <w:jc w:val="left"/>
      </w:pPr>
      <w:r>
        <w:rPr>
          <w:rFonts w:ascii="Calibri" w:cs="Calibri" w:eastAsia="Calibri" w:hAnsi="Calibri"/>
          <w:sz w:val="22"/>
          <w:szCs w:val="22"/>
        </w:rPr>
        <w:t xml:space="preserve">Sub-milestones in order. The temptation will be to parallelise because no consumer is blocking; the sequence is non-negotiable because each phase depends on the locked output of the prior phase.</w:t>
      </w:r>
    </w:p>
    <w:p>
      <w:pPr>
        <w:pStyle w:val="ListParagraph"/>
        <w:numPr>
          <w:ilvl w:val="0"/>
          <w:numId w:val="2"/>
        </w:numPr>
        <w:spacing w:after="60" w:before="60" w:line="300"/>
      </w:pPr>
      <w:r>
        <w:rPr>
          <w:rFonts w:ascii="Calibri" w:cs="Calibri" w:eastAsia="Calibri" w:hAnsi="Calibri"/>
          <w:b/>
          <w:bCs/>
          <w:sz w:val="22"/>
          <w:szCs w:val="22"/>
        </w:rPr>
        <w:t xml:space="preserve">Phase A — Lock the schema.</w:t>
      </w:r>
      <w:r>
        <w:rPr>
          <w:rFonts w:ascii="Calibri" w:cs="Calibri" w:eastAsia="Calibri" w:hAnsi="Calibri"/>
          <w:sz w:val="22"/>
          <w:szCs w:val="22"/>
        </w:rPr>
        <w:t xml:space="preserve"> Typed states, evidence blocks, gatePolicy, tolerance, repairPath, override authority chain, falsifier registry, categorical exemption catalogue. Schema only, no validators yet. This is where alignment matters most and where churn is cheapest.</w:t>
      </w:r>
    </w:p>
    <w:p>
      <w:pPr>
        <w:pStyle w:val="ListParagraph"/>
        <w:numPr>
          <w:ilvl w:val="0"/>
          <w:numId w:val="2"/>
        </w:numPr>
        <w:spacing w:after="60" w:before="60" w:line="300"/>
      </w:pPr>
      <w:r>
        <w:rPr>
          <w:rFonts w:ascii="Calibri" w:cs="Calibri" w:eastAsia="Calibri" w:hAnsi="Calibri"/>
          <w:b/>
          <w:bCs/>
          <w:sz w:val="22"/>
          <w:szCs w:val="22"/>
        </w:rPr>
        <w:t xml:space="preserve">Phase B — Write the validators.</w:t>
      </w:r>
      <w:r>
        <w:rPr>
          <w:rFonts w:ascii="Calibri" w:cs="Calibri" w:eastAsia="Calibri" w:hAnsi="Calibri"/>
          <w:sz w:val="22"/>
          <w:szCs w:val="22"/>
        </w:rPr>
        <w:t xml:space="preserve"> Write-time enforcement is what makes the anti-fabrication invariants real. Validators come second because they are meaningless without locked types but must ship before any producer code lands. Without B, producers fabricate against an unenforced contract and the eventual refactor compounds painfully.</w:t>
      </w:r>
    </w:p>
    <w:p>
      <w:pPr>
        <w:pStyle w:val="ListParagraph"/>
        <w:numPr>
          <w:ilvl w:val="0"/>
          <w:numId w:val="2"/>
        </w:numPr>
        <w:spacing w:after="60" w:before="60" w:line="300"/>
      </w:pPr>
      <w:r>
        <w:rPr>
          <w:rFonts w:ascii="Calibri" w:cs="Calibri" w:eastAsia="Calibri" w:hAnsi="Calibri"/>
          <w:b/>
          <w:bCs/>
          <w:sz w:val="22"/>
          <w:szCs w:val="22"/>
        </w:rPr>
        <w:t xml:space="preserve">Phase C — Migrate derivePhase1Defaults.</w:t>
      </w:r>
      <w:r>
        <w:rPr>
          <w:rFonts w:ascii="Calibri" w:cs="Calibri" w:eastAsia="Calibri" w:hAnsi="Calibri"/>
          <w:sz w:val="22"/>
          <w:szCs w:val="22"/>
        </w:rPr>
        <w:t xml:space="preserve"> Read per-layer confidence and the new joint-output blocks. The signature change from flat-provenance to per-layer-confidence is the breaking change that affects Phase1Planner's internal logic. This is where the actual refactor pain lives.</w:t>
      </w:r>
    </w:p>
    <w:p>
      <w:pPr>
        <w:pStyle w:val="ListParagraph"/>
        <w:numPr>
          <w:ilvl w:val="0"/>
          <w:numId w:val="2"/>
        </w:numPr>
        <w:spacing w:after="60" w:before="60" w:line="300"/>
      </w:pPr>
      <w:r>
        <w:rPr>
          <w:rFonts w:ascii="Calibri" w:cs="Calibri" w:eastAsia="Calibri" w:hAnsi="Calibri"/>
          <w:b/>
          <w:bCs/>
          <w:sz w:val="22"/>
          <w:szCs w:val="22"/>
        </w:rPr>
        <w:t xml:space="preserve">Phase D — Phase1Planner consumer changes.</w:t>
      </w:r>
      <w:r>
        <w:rPr>
          <w:rFonts w:ascii="Calibri" w:cs="Calibri" w:eastAsia="Calibri" w:hAnsi="Calibri"/>
          <w:sz w:val="22"/>
          <w:szCs w:val="22"/>
        </w:rPr>
        <w:t xml:space="preserve"> MABEL-bias logic branches on accepted FalsifierId. evaluateINDGate reads embedded gatePolicy. Override audit display surfaces authority chain. M2.6 / M2 tabulated draft generation reads per-layer evidence.</w:t>
      </w:r>
    </w:p>
    <w:p>
      <w:pPr>
        <w:pStyle w:val="Heading2"/>
        <w:spacing w:after="120" w:before="260"/>
      </w:pPr>
      <w:r>
        <w:rPr>
          <w:rFonts w:ascii="Calibri" w:cs="Calibri" w:eastAsia="Calibri" w:hAnsi="Calibri"/>
          <w:b/>
          <w:bCs/>
          <w:sz w:val="28"/>
          <w:szCs w:val="28"/>
        </w:rPr>
        <w:t xml:space="preserve">8.3 What gets deprecated</w:t>
      </w:r>
    </w:p>
    <w:p>
      <w:pPr>
        <w:pStyle w:val="ListParagraph"/>
        <w:numPr>
          <w:ilvl w:val="0"/>
          <w:numId w:val="2"/>
        </w:numPr>
        <w:spacing w:after="60" w:before="60" w:line="300"/>
      </w:pPr>
      <w:r>
        <w:rPr>
          <w:rFonts w:ascii="Calibri" w:cs="Calibri" w:eastAsia="Calibri" w:hAnsi="Calibri"/>
          <w:sz w:val="22"/>
          <w:szCs w:val="22"/>
        </w:rPr>
        <w:t xml:space="preserve">PreClinicalPackage.cypTransporter (top-level) — moved to confirmation.jointOutputs.cypTransporter.</w:t>
      </w:r>
    </w:p>
    <w:p>
      <w:pPr>
        <w:pStyle w:val="ListParagraph"/>
        <w:numPr>
          <w:ilvl w:val="0"/>
          <w:numId w:val="2"/>
        </w:numPr>
        <w:spacing w:after="60" w:before="60" w:line="300"/>
      </w:pPr>
      <w:r>
        <w:rPr>
          <w:rFonts w:ascii="Calibri" w:cs="Calibri" w:eastAsia="Calibri" w:hAnsi="Calibri"/>
          <w:sz w:val="22"/>
          <w:szCs w:val="22"/>
        </w:rPr>
        <w:t xml:space="preserve">PreClinicalPackage.clearanceFractions (top-level) — moved to confirmation.jointOutputs.clearanceFractions.</w:t>
      </w:r>
    </w:p>
    <w:p>
      <w:pPr>
        <w:pStyle w:val="ListParagraph"/>
        <w:numPr>
          <w:ilvl w:val="0"/>
          <w:numId w:val="2"/>
        </w:numPr>
        <w:spacing w:after="60" w:before="60" w:line="300"/>
      </w:pPr>
      <w:r>
        <w:rPr>
          <w:rFonts w:ascii="Calibri" w:cs="Calibri" w:eastAsia="Calibri" w:hAnsi="Calibri"/>
          <w:sz w:val="22"/>
          <w:szCs w:val="22"/>
        </w:rPr>
        <w:t xml:space="preserve">PreClinicalPackage.derivedFrom (flat list) — replaced by per-layer evidence blocks.</w:t>
      </w:r>
    </w:p>
    <w:p>
      <w:pPr>
        <w:pStyle w:val="ListParagraph"/>
        <w:numPr>
          <w:ilvl w:val="0"/>
          <w:numId w:val="2"/>
        </w:numPr>
        <w:spacing w:after="60" w:before="60" w:line="300"/>
      </w:pPr>
      <w:r>
        <w:rPr>
          <w:rFonts w:ascii="Calibri" w:cs="Calibri" w:eastAsia="Calibri" w:hAnsi="Calibri"/>
          <w:sz w:val="22"/>
          <w:szCs w:val="22"/>
        </w:rPr>
        <w:t xml:space="preserve">The confidenceCaveat free-text field on joint outputs — replaced by typed falsified state, partial state with repairPath, and FalsifierId-referenced disagreement.</w:t>
      </w:r>
    </w:p>
    <w:p>
      <w:pPr>
        <w:pStyle w:val="ListParagraph"/>
        <w:numPr>
          <w:ilvl w:val="0"/>
          <w:numId w:val="2"/>
        </w:numPr>
        <w:spacing w:after="60" w:before="60" w:line="300"/>
      </w:pPr>
      <w:r>
        <w:rPr>
          <w:rFonts w:ascii="Calibri" w:cs="Calibri" w:eastAsia="Calibri" w:hAnsi="Calibri"/>
          <w:sz w:val="22"/>
          <w:szCs w:val="22"/>
        </w:rPr>
        <w:t xml:space="preserve">ExVivoRun.unblindedRunReason — replaced by ExVivoEntryMode discriminated union.</w:t>
      </w:r>
    </w:p>
    <w:p>
      <w:pPr>
        <w:pStyle w:val="ListParagraph"/>
        <w:numPr>
          <w:ilvl w:val="0"/>
          <w:numId w:val="2"/>
        </w:numPr>
        <w:spacing w:after="60" w:before="60" w:line="300"/>
      </w:pPr>
      <w:r>
        <w:rPr>
          <w:rFonts w:ascii="Calibri" w:cs="Calibri" w:eastAsia="Calibri" w:hAnsi="Calibri"/>
          <w:sz w:val="22"/>
          <w:szCs w:val="22"/>
        </w:rPr>
        <w:t xml:space="preserve">Program-config-only gate thresholds — replaced by gatePolicy embedded in the ConfirmationPackage at gate time.</w:t>
      </w:r>
    </w:p>
    <w:p>
      <w:pPr>
        <w:pStyle w:val="Heading2"/>
        <w:spacing w:after="120" w:before="260"/>
      </w:pPr>
      <w:r>
        <w:rPr>
          <w:rFonts w:ascii="Calibri" w:cs="Calibri" w:eastAsia="Calibri" w:hAnsi="Calibri"/>
          <w:b/>
          <w:bCs/>
          <w:sz w:val="28"/>
          <w:szCs w:val="28"/>
        </w:rPr>
        <w:t xml:space="preserve">8.4 Coordination cost of the pivot</w:t>
      </w:r>
    </w:p>
    <w:p>
      <w:pPr>
        <w:spacing w:after="80" w:before="80" w:line="300"/>
        <w:jc w:val="left"/>
      </w:pPr>
      <w:r>
        <w:rPr>
          <w:rFonts w:ascii="Calibri" w:cs="Calibri" w:eastAsia="Calibri" w:hAnsi="Calibri"/>
          <w:sz w:val="22"/>
          <w:szCs w:val="22"/>
        </w:rPr>
        <w:t xml:space="preserve">The half-step v2 work that was in flight before v2.0.0 landed needs to be explicitly stopped, not silently abandoned. The unblinded-run XOR fix, the synthetic handoff repair, and the silent-default derivedFrom remediation all need an explicit 'superseded by v2.0.0' note in their issue tracker. This document is the natural artifact to point at. The architect who flagged the original v2 issues should be CC'd on the supersession so the resolution path is visible.</w:t>
      </w:r>
    </w:p>
    <w:p>
      <w:r>
        <w:br w:type="page"/>
      </w:r>
    </w:p>
    <w:p>
      <w:pPr>
        <w:pStyle w:val="Heading1"/>
        <w:spacing w:after="160" w:before="320"/>
      </w:pPr>
      <w:r>
        <w:rPr>
          <w:rFonts w:ascii="Calibri" w:cs="Calibri" w:eastAsia="Calibri" w:hAnsi="Calibri"/>
          <w:b/>
          <w:bCs/>
          <w:sz w:val="32"/>
          <w:szCs w:val="32"/>
        </w:rPr>
        <w:t xml:space="preserve">9. Worked Example: A Compound Through the Pipeline</w:t>
      </w:r>
    </w:p>
    <w:p>
      <w:pPr>
        <w:spacing w:after="80" w:before="80" w:line="300"/>
        <w:jc w:val="left"/>
      </w:pPr>
      <w:r>
        <w:rPr>
          <w:rFonts w:ascii="Calibri" w:cs="Calibri" w:eastAsia="Calibri" w:hAnsi="Calibri"/>
          <w:sz w:val="22"/>
          <w:szCs w:val="22"/>
        </w:rPr>
        <w:t xml:space="preserve">Compound HKB-2461 is a small-molecule FXR agonist candidate in the metabolic-disease therapeutic area. The example traces it through the v2.0.0 pipeline, showing concrete fields populated at each stage, including one falsified prediction and one accepted override. It is illustrative; real engine outputs will carry more detail than is shown here.</w:t>
      </w:r>
    </w:p>
    <w:p>
      <w:pPr>
        <w:pStyle w:val="Heading2"/>
        <w:spacing w:after="120" w:before="260"/>
      </w:pPr>
      <w:r>
        <w:rPr>
          <w:rFonts w:ascii="Calibri" w:cs="Calibri" w:eastAsia="Calibri" w:hAnsi="Calibri"/>
          <w:b/>
          <w:bCs/>
          <w:sz w:val="28"/>
          <w:szCs w:val="28"/>
        </w:rPr>
        <w:t xml:space="preserve">9.1 L1 In-Vitro emits InVitroPackage</w:t>
      </w:r>
    </w:p>
    <w:p>
      <w:pPr>
        <w:shd w:fill="F4F4F4" w:val="clear"/>
        <w:spacing w:after="0" w:before="12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schemaVersion: '2.0.0',</w:t>
      </w:r>
    </w:p>
    <w:p>
      <w:pPr>
        <w:shd w:fill="F4F4F4" w:val="clear"/>
        <w:spacing w:after="0" w:before="0" w:line="260"/>
        <w:ind w:left="240"/>
      </w:pPr>
      <w:r>
        <w:rPr>
          <w:rFonts w:ascii="Consolas" w:cs="Consolas" w:eastAsia="Consolas" w:hAnsi="Consolas"/>
          <w:sz w:val="19"/>
          <w:szCs w:val="19"/>
        </w:rPr>
        <w:t xml:space="preserve">  compoundId: 'HKB-2461',</w:t>
      </w:r>
    </w:p>
    <w:p>
      <w:pPr>
        <w:shd w:fill="F4F4F4" w:val="clear"/>
        <w:spacing w:after="0" w:before="0" w:line="260"/>
        <w:ind w:left="240"/>
      </w:pPr>
      <w:r>
        <w:rPr>
          <w:rFonts w:ascii="Consolas" w:cs="Consolas" w:eastAsia="Consolas" w:hAnsi="Consolas"/>
          <w:sz w:val="19"/>
          <w:szCs w:val="19"/>
        </w:rPr>
        <w:t xml:space="preserve">  primaryAssayResults: [</w:t>
      </w:r>
    </w:p>
    <w:p>
      <w:pPr>
        <w:shd w:fill="F4F4F4" w:val="clear"/>
        <w:spacing w:after="0" w:before="0" w:line="260"/>
        <w:ind w:left="240"/>
      </w:pPr>
      <w:r>
        <w:rPr>
          <w:rFonts w:ascii="Consolas" w:cs="Consolas" w:eastAsia="Consolas" w:hAnsi="Consolas"/>
          <w:sz w:val="19"/>
          <w:szCs w:val="19"/>
        </w:rPr>
        <w:t xml:space="preserve">    { assay: 'fxr_binding_kd', value: 18.4, unit: 'nM' },</w:t>
      </w:r>
    </w:p>
    <w:p>
      <w:pPr>
        <w:shd w:fill="F4F4F4" w:val="clear"/>
        <w:spacing w:after="0" w:before="0" w:line="260"/>
        <w:ind w:left="240"/>
      </w:pPr>
      <w:r>
        <w:rPr>
          <w:rFonts w:ascii="Consolas" w:cs="Consolas" w:eastAsia="Consolas" w:hAnsi="Consolas"/>
          <w:sz w:val="19"/>
          <w:szCs w:val="19"/>
        </w:rPr>
        <w:t xml:space="preserve">    { assay: 'hepg2_cytotox_ic50', value: 42.1, unit: 'µM' },</w:t>
      </w:r>
    </w:p>
    <w:p>
      <w:pPr>
        <w:shd w:fill="F4F4F4" w:val="clear"/>
        <w:spacing w:after="0" w:before="0" w:line="260"/>
        <w:ind w:left="240"/>
      </w:pPr>
      <w:r>
        <w:rPr>
          <w:rFonts w:ascii="Consolas" w:cs="Consolas" w:eastAsia="Consolas" w:hAnsi="Consolas"/>
          <w:sz w:val="19"/>
          <w:szCs w:val="19"/>
        </w:rPr>
        <w:t xml:space="preserve">    { assay: 'herg_patch_clamp_ic50', value: 11.2, unit: 'µM'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mlFeatureVectors: [/* 2048-d Morgan + ADMET features */],</w:t>
      </w:r>
    </w:p>
    <w:p>
      <w:pPr>
        <w:shd w:fill="F4F4F4" w:val="clear"/>
        <w:spacing w:after="0" w:before="0" w:line="260"/>
        <w:ind w:left="240"/>
      </w:pPr>
      <w:r>
        <w:rPr>
          <w:rFonts w:ascii="Consolas" w:cs="Consolas" w:eastAsia="Consolas" w:hAnsi="Consolas"/>
          <w:sz w:val="19"/>
          <w:szCs w:val="19"/>
        </w:rPr>
        <w:t xml:space="preserve">  candidateRanking: { rank: 3, confidence: 0.78 },</w:t>
      </w:r>
    </w:p>
    <w:p>
      <w:pPr>
        <w:shd w:fill="F4F4F4" w:val="clear"/>
        <w:spacing w:after="0" w:before="0" w:line="260"/>
        <w:ind w:left="240"/>
      </w:pPr>
      <w:r>
        <w:rPr>
          <w:rFonts w:ascii="Consolas" w:cs="Consolas" w:eastAsia="Consolas" w:hAnsi="Consolas"/>
          <w:sz w:val="19"/>
          <w:szCs w:val="19"/>
        </w:rPr>
        <w:t xml:space="preserve">  emittedAt: '2026-05-04T09:14:22Z',</w:t>
      </w:r>
    </w:p>
    <w:p>
      <w:pPr>
        <w:shd w:fill="F4F4F4" w:val="clear"/>
        <w:spacing w:after="0" w:before="0" w:line="260"/>
        <w:ind w:left="240"/>
      </w:pPr>
      <w:r>
        <w:rPr>
          <w:rFonts w:ascii="Consolas" w:cs="Consolas" w:eastAsia="Consolas" w:hAnsi="Consolas"/>
          <w:sz w:val="19"/>
          <w:szCs w:val="19"/>
        </w:rPr>
        <w:t xml:space="preserve">  emitterEngine: 'akt-l1@1.4.0'</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9.2 L2 Confirmation: in-silico sub-track emits PreConfirmationDirective</w:t>
      </w:r>
    </w:p>
    <w:p>
      <w:pPr>
        <w:shd w:fill="F4F4F4" w:val="clear"/>
        <w:spacing w:after="0" w:before="12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directiveId: 'dir-HKB-2461-v1',</w:t>
      </w:r>
    </w:p>
    <w:p>
      <w:pPr>
        <w:shd w:fill="F4F4F4" w:val="clear"/>
        <w:spacing w:after="0" w:before="0" w:line="260"/>
        <w:ind w:left="240"/>
      </w:pPr>
      <w:r>
        <w:rPr>
          <w:rFonts w:ascii="Consolas" w:cs="Consolas" w:eastAsia="Consolas" w:hAnsi="Consolas"/>
          <w:sz w:val="19"/>
          <w:szCs w:val="19"/>
        </w:rPr>
        <w:t xml:space="preserve">  prioritisedAssays: [</w:t>
      </w:r>
    </w:p>
    <w:p>
      <w:pPr>
        <w:shd w:fill="F4F4F4" w:val="clear"/>
        <w:spacing w:after="0" w:before="0" w:line="260"/>
        <w:ind w:left="240"/>
      </w:pPr>
      <w:r>
        <w:rPr>
          <w:rFonts w:ascii="Consolas" w:cs="Consolas" w:eastAsia="Consolas" w:hAnsi="Consolas"/>
          <w:sz w:val="19"/>
          <w:szCs w:val="19"/>
        </w:rPr>
        <w:t xml:space="preserve">    'primary_hepatocyte_clearance',</w:t>
      </w:r>
    </w:p>
    <w:p>
      <w:pPr>
        <w:shd w:fill="F4F4F4" w:val="clear"/>
        <w:spacing w:after="0" w:before="0" w:line="260"/>
        <w:ind w:left="240"/>
      </w:pPr>
      <w:r>
        <w:rPr>
          <w:rFonts w:ascii="Consolas" w:cs="Consolas" w:eastAsia="Consolas" w:hAnsi="Consolas"/>
          <w:sz w:val="19"/>
          <w:szCs w:val="19"/>
        </w:rPr>
        <w:t xml:space="preserve">    'cyp3a4_inhibition_panel',</w:t>
      </w:r>
    </w:p>
    <w:p>
      <w:pPr>
        <w:shd w:fill="F4F4F4" w:val="clear"/>
        <w:spacing w:after="0" w:before="0" w:line="260"/>
        <w:ind w:left="240"/>
      </w:pPr>
      <w:r>
        <w:rPr>
          <w:rFonts w:ascii="Consolas" w:cs="Consolas" w:eastAsia="Consolas" w:hAnsi="Consolas"/>
          <w:sz w:val="19"/>
          <w:szCs w:val="19"/>
        </w:rPr>
        <w:t xml:space="preserve">    'bsep_inhibition',</w:t>
      </w:r>
    </w:p>
    <w:p>
      <w:pPr>
        <w:shd w:fill="F4F4F4" w:val="clear"/>
        <w:spacing w:after="0" w:before="0" w:line="260"/>
        <w:ind w:left="240"/>
      </w:pPr>
      <w:r>
        <w:rPr>
          <w:rFonts w:ascii="Consolas" w:cs="Consolas" w:eastAsia="Consolas" w:hAnsi="Consolas"/>
          <w:sz w:val="19"/>
          <w:szCs w:val="19"/>
        </w:rPr>
        <w:t xml:space="preserve">    '3d_liver_organoid_tox'</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expectedRanges: {</w:t>
      </w:r>
    </w:p>
    <w:p>
      <w:pPr>
        <w:shd w:fill="F4F4F4" w:val="clear"/>
        <w:spacing w:after="0" w:before="0" w:line="260"/>
        <w:ind w:left="240"/>
      </w:pPr>
      <w:r>
        <w:rPr>
          <w:rFonts w:ascii="Consolas" w:cs="Consolas" w:eastAsia="Consolas" w:hAnsi="Consolas"/>
          <w:sz w:val="19"/>
          <w:szCs w:val="19"/>
        </w:rPr>
        <w:t xml:space="preserve">    primary_hepatocyte_clearance: { central: 12.4, tolerance: { kind: 'fold', value: 2, unit: 'mL/min/kg' } },</w:t>
      </w:r>
    </w:p>
    <w:p>
      <w:pPr>
        <w:shd w:fill="F4F4F4" w:val="clear"/>
        <w:spacing w:after="0" w:before="0" w:line="260"/>
        <w:ind w:left="240"/>
      </w:pPr>
      <w:r>
        <w:rPr>
          <w:rFonts w:ascii="Consolas" w:cs="Consolas" w:eastAsia="Consolas" w:hAnsi="Consolas"/>
          <w:sz w:val="19"/>
          <w:szCs w:val="19"/>
        </w:rPr>
        <w:t xml:space="preserve">    cyp3a4_inhibition_ic50:        { central: 8.7,  tolerance: { kind: 'log10', value: 0.5, unit: 'µM' }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falsifiers: [</w:t>
      </w:r>
    </w:p>
    <w:p>
      <w:pPr>
        <w:shd w:fill="F4F4F4" w:val="clear"/>
        <w:spacing w:after="0" w:before="0" w:line="260"/>
        <w:ind w:left="240"/>
      </w:pPr>
      <w:r>
        <w:rPr>
          <w:rFonts w:ascii="Consolas" w:cs="Consolas" w:eastAsia="Consolas" w:hAnsi="Consolas"/>
          <w:sz w:val="19"/>
          <w:szCs w:val="19"/>
        </w:rPr>
        <w:t xml:space="preserve">    { falsifierId: 'FX-OFFTARGET-BSEP-INHIB', appliesTo: 'off_target',</w:t>
      </w:r>
    </w:p>
    <w:p>
      <w:pPr>
        <w:shd w:fill="F4F4F4" w:val="clear"/>
        <w:spacing w:after="0" w:before="0" w:line="260"/>
        <w:ind w:left="240"/>
      </w:pPr>
      <w:r>
        <w:rPr>
          <w:rFonts w:ascii="Consolas" w:cs="Consolas" w:eastAsia="Consolas" w:hAnsi="Consolas"/>
          <w:sz w:val="19"/>
          <w:szCs w:val="19"/>
        </w:rPr>
        <w:t xml:space="preserve">      triggerCondition: 'bsep_ic50 &lt; 25 µM' },</w:t>
      </w:r>
    </w:p>
    <w:p>
      <w:pPr>
        <w:shd w:fill="F4F4F4" w:val="clear"/>
        <w:spacing w:after="0" w:before="0" w:line="260"/>
        <w:ind w:left="240"/>
      </w:pPr>
      <w:r>
        <w:rPr>
          <w:rFonts w:ascii="Consolas" w:cs="Consolas" w:eastAsia="Consolas" w:hAnsi="Consolas"/>
          <w:sz w:val="19"/>
          <w:szCs w:val="19"/>
        </w:rPr>
        <w:t xml:space="preserve">    { falsifierId: 'FX-CLEARANCE-OVERPREDICT', appliesTo: 'clearance_fractions',</w:t>
      </w:r>
    </w:p>
    <w:p>
      <w:pPr>
        <w:shd w:fill="F4F4F4" w:val="clear"/>
        <w:spacing w:after="0" w:before="0" w:line="260"/>
        <w:ind w:left="240"/>
      </w:pPr>
      <w:r>
        <w:rPr>
          <w:rFonts w:ascii="Consolas" w:cs="Consolas" w:eastAsia="Consolas" w:hAnsi="Consolas"/>
          <w:sz w:val="19"/>
          <w:szCs w:val="19"/>
        </w:rPr>
        <w:t xml:space="preserve">      triggerCondition: 'measured_clearance &gt; 3x predicted' }</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recommendedDoseRanges: [{ route: 'po', minMgKg: 0.3, maxMgKg: 30 }],</w:t>
      </w:r>
    </w:p>
    <w:p>
      <w:pPr>
        <w:shd w:fill="F4F4F4" w:val="clear"/>
        <w:spacing w:after="0" w:before="0" w:line="260"/>
        <w:ind w:left="240"/>
      </w:pPr>
      <w:r>
        <w:rPr>
          <w:rFonts w:ascii="Consolas" w:cs="Consolas" w:eastAsia="Consolas" w:hAnsi="Consolas"/>
          <w:sz w:val="19"/>
          <w:szCs w:val="19"/>
        </w:rPr>
        <w:t xml:space="preserve">  predictionsCovered: ['admet','clearance_fractions','cyp_transporter','herg_pbpk','off_target']</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9.3 L2 Confirmation: ex-vivo sub-track consumes directive, runs assays</w:t>
      </w:r>
    </w:p>
    <w:p>
      <w:pPr>
        <w:spacing w:after="80" w:before="80" w:line="300"/>
        <w:jc w:val="left"/>
      </w:pPr>
      <w:r>
        <w:rPr>
          <w:rFonts w:ascii="Calibri" w:cs="Calibri" w:eastAsia="Calibri" w:hAnsi="Calibri"/>
          <w:sz w:val="22"/>
          <w:szCs w:val="22"/>
        </w:rPr>
        <w:t xml:space="preserve">Hepatocyte clearance comes back at 14.1 mL/min/kg — within the fold-2 tolerance, agree. CYP3A4 inhibition IC50 comes back at 5.9 µM — within the log10-0.5 tolerance, agree. BSEP inhibition IC50 comes back at 18.2 µM — below the falsifier trigger threshold of 25 µM, so falsifier FX-OFFTARGET-BSEP-INHIB triggers. The off-target prediction in the in-silico evidence block transitions to falsified.</w:t>
      </w:r>
    </w:p>
    <w:p>
      <w:pPr>
        <w:pStyle w:val="Heading2"/>
        <w:spacing w:after="120" w:before="260"/>
      </w:pPr>
      <w:r>
        <w:rPr>
          <w:rFonts w:ascii="Calibri" w:cs="Calibri" w:eastAsia="Calibri" w:hAnsi="Calibri"/>
          <w:b/>
          <w:bCs/>
          <w:sz w:val="28"/>
          <w:szCs w:val="28"/>
        </w:rPr>
        <w:t xml:space="preserve">9.4 Override accepted on the off-target falsifier</w:t>
      </w:r>
    </w:p>
    <w:p>
      <w:pPr>
        <w:spacing w:after="80" w:before="80" w:line="300"/>
        <w:jc w:val="left"/>
      </w:pPr>
      <w:r>
        <w:rPr>
          <w:rFonts w:ascii="Calibri" w:cs="Calibri" w:eastAsia="Calibri" w:hAnsi="Calibri"/>
          <w:sz w:val="22"/>
          <w:szCs w:val="22"/>
        </w:rPr>
        <w:t xml:space="preserve">A pre-clinical safety reviewer determines that the BSEP inhibition signal at 18.2 µM is acceptable in context: the predicted clinical Cmax is 0.42 µM, giving a 43-fold safety margin even with the falsifier triggered. The reviewer files an override.</w:t>
      </w:r>
    </w:p>
    <w:p>
      <w:pPr>
        <w:shd w:fill="F4F4F4" w:val="clear"/>
        <w:spacing w:after="0" w:before="120" w:line="260"/>
        <w:ind w:left="240"/>
      </w:pPr>
      <w:r>
        <w:rPr>
          <w:rFonts w:ascii="Consolas" w:cs="Consolas" w:eastAsia="Consolas" w:hAnsi="Consolas"/>
          <w:sz w:val="19"/>
          <w:szCs w:val="19"/>
        </w:rPr>
        <w:t xml:space="preserve">{</w:t>
      </w:r>
    </w:p>
    <w:p>
      <w:pPr>
        <w:shd w:fill="F4F4F4" w:val="clear"/>
        <w:spacing w:after="0" w:before="0" w:line="260"/>
        <w:ind w:left="240"/>
      </w:pPr>
      <w:r>
        <w:rPr>
          <w:rFonts w:ascii="Consolas" w:cs="Consolas" w:eastAsia="Consolas" w:hAnsi="Consolas"/>
          <w:sz w:val="19"/>
          <w:szCs w:val="19"/>
        </w:rPr>
        <w:t xml:space="preserve">  overrideId: 'ovr-HKB-2461-bsep-1',</w:t>
      </w:r>
    </w:p>
    <w:p>
      <w:pPr>
        <w:shd w:fill="F4F4F4" w:val="clear"/>
        <w:spacing w:after="0" w:before="0" w:line="260"/>
        <w:ind w:left="240"/>
      </w:pPr>
      <w:r>
        <w:rPr>
          <w:rFonts w:ascii="Consolas" w:cs="Consolas" w:eastAsia="Consolas" w:hAnsi="Consolas"/>
          <w:sz w:val="19"/>
          <w:szCs w:val="19"/>
        </w:rPr>
        <w:t xml:space="preserve">  overrideKind: 'exVivoGate',</w:t>
      </w:r>
    </w:p>
    <w:p>
      <w:pPr>
        <w:shd w:fill="F4F4F4" w:val="clear"/>
        <w:spacing w:after="0" w:before="0" w:line="260"/>
        <w:ind w:left="240"/>
      </w:pPr>
      <w:r>
        <w:rPr>
          <w:rFonts w:ascii="Consolas" w:cs="Consolas" w:eastAsia="Consolas" w:hAnsi="Consolas"/>
          <w:sz w:val="19"/>
          <w:szCs w:val="19"/>
        </w:rPr>
        <w:t xml:space="preserve">  appliedAt: '2026-05-04T17:32:11Z',</w:t>
      </w:r>
    </w:p>
    <w:p>
      <w:pPr>
        <w:shd w:fill="F4F4F4" w:val="clear"/>
        <w:spacing w:after="0" w:before="0" w:line="260"/>
        <w:ind w:left="240"/>
      </w:pPr>
      <w:r>
        <w:rPr>
          <w:rFonts w:ascii="Consolas" w:cs="Consolas" w:eastAsia="Consolas" w:hAnsi="Consolas"/>
          <w:sz w:val="19"/>
          <w:szCs w:val="19"/>
        </w:rPr>
        <w:t xml:space="preserve">  actor: 'a.takeshita@akthealth',</w:t>
      </w:r>
    </w:p>
    <w:p>
      <w:pPr>
        <w:shd w:fill="F4F4F4" w:val="clear"/>
        <w:spacing w:after="0" w:before="0" w:line="260"/>
        <w:ind w:left="240"/>
      </w:pPr>
      <w:r>
        <w:rPr>
          <w:rFonts w:ascii="Consolas" w:cs="Consolas" w:eastAsia="Consolas" w:hAnsi="Consolas"/>
          <w:sz w:val="19"/>
          <w:szCs w:val="19"/>
        </w:rPr>
        <w:t xml:space="preserve">  role: 'PreClinicalSafetyReviewer',</w:t>
      </w:r>
    </w:p>
    <w:p>
      <w:pPr>
        <w:shd w:fill="F4F4F4" w:val="clear"/>
        <w:spacing w:after="0" w:before="0" w:line="260"/>
        <w:ind w:left="240"/>
      </w:pPr>
      <w:r>
        <w:rPr>
          <w:rFonts w:ascii="Consolas" w:cs="Consolas" w:eastAsia="Consolas" w:hAnsi="Consolas"/>
          <w:sz w:val="19"/>
          <w:szCs w:val="19"/>
        </w:rPr>
        <w:t xml:space="preserve">  authorityCitation: 'AKTHealth-SOP-PCS-007-rev3',</w:t>
      </w:r>
    </w:p>
    <w:p>
      <w:pPr>
        <w:shd w:fill="F4F4F4" w:val="clear"/>
        <w:spacing w:after="0" w:before="0" w:line="260"/>
        <w:ind w:left="240"/>
      </w:pPr>
      <w:r>
        <w:rPr>
          <w:rFonts w:ascii="Consolas" w:cs="Consolas" w:eastAsia="Consolas" w:hAnsi="Consolas"/>
          <w:sz w:val="19"/>
          <w:szCs w:val="19"/>
        </w:rPr>
        <w:t xml:space="preserve">  reason: 'BSEP IC50 18.2 µM vs predicted Cmax 0.42 µM — 43x margin acceptable per SOP 4.2.b',</w:t>
      </w:r>
    </w:p>
    <w:p>
      <w:pPr>
        <w:shd w:fill="F4F4F4" w:val="clear"/>
        <w:spacing w:after="0" w:before="0" w:line="260"/>
        <w:ind w:left="240"/>
      </w:pPr>
      <w:r>
        <w:rPr>
          <w:rFonts w:ascii="Consolas" w:cs="Consolas" w:eastAsia="Consolas" w:hAnsi="Consolas"/>
          <w:sz w:val="19"/>
          <w:szCs w:val="19"/>
        </w:rPr>
        <w:t xml:space="preserve">  falsifierAccepted: 'FX-OFFTARGET-BSEP-INHIB',</w:t>
      </w:r>
    </w:p>
    <w:p>
      <w:pPr>
        <w:shd w:fill="F4F4F4" w:val="clear"/>
        <w:spacing w:after="0" w:before="0" w:line="260"/>
        <w:ind w:left="240"/>
      </w:pPr>
      <w:r>
        <w:rPr>
          <w:rFonts w:ascii="Consolas" w:cs="Consolas" w:eastAsia="Consolas" w:hAnsi="Consolas"/>
          <w:sz w:val="19"/>
          <w:szCs w:val="19"/>
        </w:rPr>
        <w:t xml:space="preserve">  l1EvidenceCited: {</w:t>
      </w:r>
    </w:p>
    <w:p>
      <w:pPr>
        <w:shd w:fill="F4F4F4" w:val="clear"/>
        <w:spacing w:after="0" w:before="0" w:line="260"/>
        <w:ind w:left="240"/>
      </w:pPr>
      <w:r>
        <w:rPr>
          <w:rFonts w:ascii="Consolas" w:cs="Consolas" w:eastAsia="Consolas" w:hAnsi="Consolas"/>
          <w:sz w:val="19"/>
          <w:szCs w:val="19"/>
        </w:rPr>
        <w:t xml:space="preserve">    pointer: 'evt://l1/HKB-2461/2026-05-04#assays',</w:t>
      </w:r>
    </w:p>
    <w:p>
      <w:pPr>
        <w:shd w:fill="F4F4F4" w:val="clear"/>
        <w:spacing w:after="0" w:before="0" w:line="260"/>
        <w:ind w:left="240"/>
      </w:pPr>
      <w:r>
        <w:rPr>
          <w:rFonts w:ascii="Consolas" w:cs="Consolas" w:eastAsia="Consolas" w:hAnsi="Consolas"/>
          <w:sz w:val="19"/>
          <w:szCs w:val="19"/>
        </w:rPr>
        <w:t xml:space="preserve">    fields: ['herg_patch_clamp_ic50', 'hepg2_cytotox_ic50']</w:t>
      </w:r>
    </w:p>
    <w:p>
      <w:pPr>
        <w:shd w:fill="F4F4F4" w:val="clear"/>
        <w:spacing w:after="0" w:before="0" w:line="260"/>
        <w:ind w:left="240"/>
      </w:pPr>
      <w:r>
        <w:rPr>
          <w:rFonts w:ascii="Consolas" w:cs="Consolas" w:eastAsia="Consolas" w:hAnsi="Consolas"/>
          <w:sz w:val="19"/>
          <w:szCs w:val="19"/>
        </w:rPr>
        <w:t xml:space="preserve">  },</w:t>
      </w:r>
    </w:p>
    <w:p>
      <w:pPr>
        <w:shd w:fill="F4F4F4" w:val="clear"/>
        <w:spacing w:after="0" w:before="0" w:line="260"/>
        <w:ind w:left="240"/>
      </w:pPr>
      <w:r>
        <w:rPr>
          <w:rFonts w:ascii="Consolas" w:cs="Consolas" w:eastAsia="Consolas" w:hAnsi="Consolas"/>
          <w:sz w:val="19"/>
          <w:szCs w:val="19"/>
        </w:rPr>
        <w:t xml:space="preserve">  signedDigest: 'sha256:9a4c…'</w:t>
      </w:r>
    </w:p>
    <w:p>
      <w:pPr>
        <w:shd w:fill="F4F4F4" w:val="clear"/>
        <w:spacing w:after="120" w:before="0" w:line="260"/>
        <w:ind w:left="240"/>
      </w:pPr>
      <w:r>
        <w:rPr>
          <w:rFonts w:ascii="Consolas" w:cs="Consolas" w:eastAsia="Consolas" w:hAnsi="Consolas"/>
          <w:sz w:val="19"/>
          <w:szCs w:val="19"/>
        </w:rPr>
        <w:t xml:space="preserve">}</w:t>
      </w:r>
    </w:p>
    <w:p>
      <w:pPr>
        <w:pStyle w:val="Heading2"/>
        <w:spacing w:after="120" w:before="260"/>
      </w:pPr>
      <w:r>
        <w:rPr>
          <w:rFonts w:ascii="Calibri" w:cs="Calibri" w:eastAsia="Calibri" w:hAnsi="Calibri"/>
          <w:b/>
          <w:bCs/>
          <w:sz w:val="28"/>
          <w:szCs w:val="28"/>
        </w:rPr>
        <w:t xml:space="preserve">9.5 ConfirmationPackage emitted to L3</w:t>
      </w:r>
    </w:p>
    <w:p>
      <w:pPr>
        <w:spacing w:after="80" w:before="80" w:line="300"/>
        <w:jc w:val="left"/>
      </w:pPr>
      <w:r>
        <w:rPr>
          <w:rFonts w:ascii="Calibri" w:cs="Calibri" w:eastAsia="Calibri" w:hAnsi="Calibri"/>
          <w:sz w:val="22"/>
          <w:szCs w:val="22"/>
        </w:rPr>
        <w:t xml:space="preserve">The confirmation block carries: in-silico evidence with off-target marked falsified; ex-vivo evidence with the BSEP result and falsifier trigger; the directive itself; jointOutputs with cypTransporter status='agree' and clearanceFractions status='agree' (both confirmed); offTarget status='disagree' with falsifierTriggered='FX-OFFTARGET-BSEP-INHIB'; the gatePolicy snapshot in effect at gate time; and the override block above. gateStatus is 'overridden'.</w:t>
      </w:r>
    </w:p>
    <w:p>
      <w:pPr>
        <w:pStyle w:val="Heading2"/>
        <w:spacing w:after="120" w:before="260"/>
      </w:pPr>
      <w:r>
        <w:rPr>
          <w:rFonts w:ascii="Calibri" w:cs="Calibri" w:eastAsia="Calibri" w:hAnsi="Calibri"/>
          <w:b/>
          <w:bCs/>
          <w:sz w:val="28"/>
          <w:szCs w:val="28"/>
        </w:rPr>
        <w:t xml:space="preserve">9.6 Phase 1 Planning reads the package</w:t>
      </w:r>
    </w:p>
    <w:p>
      <w:pPr>
        <w:spacing w:after="80" w:before="80" w:line="300"/>
        <w:jc w:val="left"/>
      </w:pPr>
      <w:r>
        <w:rPr>
          <w:rFonts w:ascii="Calibri" w:cs="Calibri" w:eastAsia="Calibri" w:hAnsi="Calibri"/>
          <w:sz w:val="22"/>
          <w:szCs w:val="22"/>
        </w:rPr>
        <w:t xml:space="preserve">derivePhase1Defaults sees per-layer confidence: in-silico high (0.81), ex-vivo high for confirmed domains (0.86), explicit falsified marker on off-target. shouldApplyMabelBias returns { apply: true, reasonFalsifierId: 'FX-OFFTARGET-BSEP-INHIB' } — the override was accepted, but the accepted falsifier is on the registry's MABEL-bias-required list. Phase1Planner therefore derives FIH starting dose using MABEL rather than HED-based scaling, and the IND-supporting M2.6 draft includes a written narrative referencing both the falsifier acceptance and the SOP authority citation.</w:t>
      </w:r>
    </w:p>
    <w:p>
      <w:r>
        <w:br w:type="page"/>
      </w:r>
    </w:p>
    <w:p>
      <w:pPr>
        <w:pStyle w:val="Heading1"/>
        <w:spacing w:after="160" w:before="320"/>
      </w:pPr>
      <w:r>
        <w:rPr>
          <w:rFonts w:ascii="Calibri" w:cs="Calibri" w:eastAsia="Calibri" w:hAnsi="Calibri"/>
          <w:b/>
          <w:bCs/>
          <w:sz w:val="32"/>
          <w:szCs w:val="32"/>
        </w:rPr>
        <w:t xml:space="preserve">10. Open Questions and Decisions Deferred</w:t>
      </w:r>
    </w:p>
    <w:p>
      <w:pPr>
        <w:pStyle w:val="Heading2"/>
        <w:spacing w:after="120" w:before="260"/>
      </w:pPr>
      <w:r>
        <w:rPr>
          <w:rFonts w:ascii="Calibri" w:cs="Calibri" w:eastAsia="Calibri" w:hAnsi="Calibri"/>
          <w:b/>
          <w:bCs/>
          <w:sz w:val="28"/>
          <w:szCs w:val="28"/>
        </w:rPr>
        <w:t xml:space="preserve">10.1 Falsifier registry governance</w:t>
      </w:r>
    </w:p>
    <w:p>
      <w:pPr>
        <w:spacing w:after="80" w:before="80" w:line="300"/>
        <w:jc w:val="left"/>
      </w:pPr>
      <w:r>
        <w:rPr>
          <w:rFonts w:ascii="Calibri" w:cs="Calibri" w:eastAsia="Calibri" w:hAnsi="Calibri"/>
          <w:sz w:val="22"/>
          <w:szCs w:val="22"/>
        </w:rPr>
        <w:t xml:space="preserve">The FalsifierId registry is itself a versioned artifact (section 5.6). Open questions: who owns it, how often does it version, how are entries deprecated, and how do programs in flight react to a registry version bump that retires a FalsifierId they have been depending on. The default position is that the registry versions independently of schema versions and the package carries falsifierRegistryVersion so consumers can detect drift. Governance process is deferred to a separate document.</w:t>
      </w:r>
    </w:p>
    <w:p>
      <w:pPr>
        <w:pStyle w:val="Heading2"/>
        <w:spacing w:after="120" w:before="260"/>
      </w:pPr>
      <w:r>
        <w:rPr>
          <w:rFonts w:ascii="Calibri" w:cs="Calibri" w:eastAsia="Calibri" w:hAnsi="Calibri"/>
          <w:b/>
          <w:bCs/>
          <w:sz w:val="28"/>
          <w:szCs w:val="28"/>
        </w:rPr>
        <w:t xml:space="preserve">10.2 Categorical exemption catalogue scope</w:t>
      </w:r>
    </w:p>
    <w:p>
      <w:pPr>
        <w:spacing w:after="80" w:before="80" w:line="300"/>
        <w:jc w:val="left"/>
      </w:pPr>
      <w:r>
        <w:rPr>
          <w:rFonts w:ascii="Calibri" w:cs="Calibri" w:eastAsia="Calibri" w:hAnsi="Calibri"/>
          <w:sz w:val="22"/>
          <w:szCs w:val="22"/>
        </w:rPr>
        <w:t xml:space="preserve">CategoricalExemption applies to (compoundClass, predictionDomain) pairs. The catalogue must enumerate these pairs explicitly. Scope is deferred: the v2.0.0 launch needs the catalogue populated for small-molecule + standard-mAb combinations; cell and gene therapy compound classes are out of scope for v2.0.0 but the catalogue must be designed so they can be added without schema migration.</w:t>
      </w:r>
    </w:p>
    <w:p>
      <w:pPr>
        <w:pStyle w:val="Heading2"/>
        <w:spacing w:after="120" w:before="260"/>
      </w:pPr>
      <w:r>
        <w:rPr>
          <w:rFonts w:ascii="Calibri" w:cs="Calibri" w:eastAsia="Calibri" w:hAnsi="Calibri"/>
          <w:b/>
          <w:bCs/>
          <w:sz w:val="28"/>
          <w:szCs w:val="28"/>
        </w:rPr>
        <w:t xml:space="preserve">10.3 IVIVE recalibration cadence</w:t>
      </w:r>
    </w:p>
    <w:p>
      <w:pPr>
        <w:spacing w:after="80" w:before="80" w:line="300"/>
        <w:jc w:val="left"/>
      </w:pPr>
      <w:r>
        <w:rPr>
          <w:rFonts w:ascii="Calibri" w:cs="Calibri" w:eastAsia="Calibri" w:hAnsi="Calibri"/>
          <w:sz w:val="22"/>
          <w:szCs w:val="22"/>
        </w:rPr>
        <w:t xml:space="preserve">The April 2026 redesign identified IVIVE engine recalibration against modern liver-chip and PCLS data as the highest-leverage two-quarter project. v2.0.0 inherits this work. Open question: how often do the recalibrated priors update, and how is the package's emitterEngineVersion field tied to the underlying calibration version. Deferred to the L1/L2 engineering team.</w:t>
      </w:r>
    </w:p>
    <w:p>
      <w:pPr>
        <w:pStyle w:val="Heading2"/>
        <w:spacing w:after="120" w:before="260"/>
      </w:pPr>
      <w:r>
        <w:rPr>
          <w:rFonts w:ascii="Calibri" w:cs="Calibri" w:eastAsia="Calibri" w:hAnsi="Calibri"/>
          <w:b/>
          <w:bCs/>
          <w:sz w:val="28"/>
          <w:szCs w:val="28"/>
        </w:rPr>
        <w:t xml:space="preserve">10.4 Override authority requirements per overrideKind</w:t>
      </w:r>
    </w:p>
    <w:p>
      <w:pPr>
        <w:spacing w:after="80" w:before="80" w:line="300"/>
        <w:jc w:val="left"/>
      </w:pPr>
      <w:r>
        <w:rPr>
          <w:rFonts w:ascii="Calibri" w:cs="Calibri" w:eastAsia="Calibri" w:hAnsi="Calibri"/>
          <w:sz w:val="22"/>
          <w:szCs w:val="22"/>
        </w:rPr>
        <w:t xml:space="preserve">GatePolicySnapshot.overrideAuthorityRequired carries a Record&lt;OverrideKind, AuthorityRequirement&gt;. The concrete authority requirements (which roles can sign which overrideKinds, which policies must be cited) are deferred to AKTHealth's SOP authoring process. The schema is locked; the policy content is not.</w:t>
      </w:r>
    </w:p>
    <w:p>
      <w:pPr>
        <w:pStyle w:val="Heading2"/>
        <w:spacing w:after="120" w:before="260"/>
      </w:pPr>
      <w:r>
        <w:rPr>
          <w:rFonts w:ascii="Calibri" w:cs="Calibri" w:eastAsia="Calibri" w:hAnsi="Calibri"/>
          <w:b/>
          <w:bCs/>
          <w:sz w:val="28"/>
          <w:szCs w:val="28"/>
        </w:rPr>
        <w:t xml:space="preserve">10.5 SEND v3.x mapping completeness</w:t>
      </w:r>
    </w:p>
    <w:p>
      <w:pPr>
        <w:spacing w:after="80" w:before="80" w:line="300"/>
        <w:jc w:val="left"/>
      </w:pPr>
      <w:r>
        <w:rPr>
          <w:rFonts w:ascii="Calibri" w:cs="Calibri" w:eastAsia="Calibri" w:hAnsi="Calibri"/>
          <w:sz w:val="22"/>
          <w:szCs w:val="22"/>
        </w:rPr>
        <w:t xml:space="preserve">The AnimalCohortPackage's sendProjection field is shaped per CDISC SEND v3.x. v2.0.0 specifies the structural relationship between the internal representation and the SEND projection but does not enumerate the full mapping. The owned bridge layer that performs this translation is a separately scoped engineering deliverable referenced in the April redesign.</w:t>
      </w:r>
    </w:p>
    <w:p>
      <w:r>
        <w:br w:type="page"/>
      </w:r>
    </w:p>
    <w:p>
      <w:pPr>
        <w:pStyle w:val="Heading1"/>
        <w:spacing w:after="160" w:before="320"/>
      </w:pPr>
      <w:r>
        <w:rPr>
          <w:rFonts w:ascii="Calibri" w:cs="Calibri" w:eastAsia="Calibri" w:hAnsi="Calibri"/>
          <w:b/>
          <w:bCs/>
          <w:sz w:val="32"/>
          <w:szCs w:val="32"/>
        </w:rPr>
        <w:t xml:space="preserve">Appendix A: Regulatory Anchors</w:t>
      </w:r>
    </w:p>
    <w:p>
      <w:pPr>
        <w:spacing w:after="80" w:before="80" w:line="300"/>
        <w:jc w:val="left"/>
      </w:pPr>
      <w:r>
        <w:rPr>
          <w:rFonts w:ascii="Calibri" w:cs="Calibri" w:eastAsia="Calibri" w:hAnsi="Calibri"/>
          <w:sz w:val="22"/>
          <w:szCs w:val="22"/>
        </w:rPr>
        <w:t xml:space="preserve">v2.0.0 inherits the regulatory anchor stack from the April 2026 redesign. Each anchor maps to one or more enforcement points in the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rFonts w:ascii="Calibri" w:cs="Calibri" w:eastAsia="Calibri" w:hAnsi="Calibri"/>
                <w:b/>
                <w:bCs/>
                <w:sz w:val="21"/>
                <w:szCs w:val="21"/>
              </w:rPr>
              <w:t xml:space="preserve">Field</w:t>
            </w:r>
          </w:p>
        </w:tc>
        <w:tc>
          <w:tcPr>
            <w:tcW w:type="dxa" w:w="616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rFonts w:ascii="Calibri" w:cs="Calibri" w:eastAsia="Calibri" w:hAnsi="Calibri"/>
                <w:b/>
                <w:bCs/>
                <w:sz w:val="21"/>
                <w:szCs w:val="21"/>
              </w:rPr>
              <w:t xml:space="preserve">Description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GAMP 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Platform validation framework. Anchors the schema validators and the per-layer evidence block discipline.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21 CFR Part 11</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Electronic records and signatures. Anchors the override block's signedDigest field and the authority chain requirement.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OECD QSAR Principles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Validation framework for in-silico models. Anchors the in-silico sub-track's confidence and falsifier mechanics.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GLP</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Good Laboratory Practice. Anchors the AnimalCohortPackage and its CDISC SEND projection.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CDISC SEND v3.x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Standard for Exchange of Nonclinical Data. Anchor for the L3 outbound regulatory boundary.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FHIR R5</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Health data exchange standard. Anchor for any external clinical-side projection of pre-clinical data.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ICH M3(R2)</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Nonclinical safety studies for clinical trial conduct. Anchors the IND-enabling deliverable shape.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ICH S7A / S7B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Safety pharmacology / hERG. Anchors specific FalsifierIds in the registry (e.g. FX-HERG-* family).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ASME V&amp;V40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Verification and validation credibility scaffolding for computational modelling. Anchors the in-silico sub-track's documentation requirements.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FDA ISTAND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Innovative Science and Technology Approaches for New Drugs. Anchor for a tightly-scoped letter of intent against a single slice of the platform.</w:t>
            </w:r>
          </w:p>
        </w:tc>
      </w:tr>
    </w:tbl>
    <w:p>
      <w:r>
        <w:br w:type="page"/>
      </w:r>
    </w:p>
    <w:p>
      <w:pPr>
        <w:pStyle w:val="Heading1"/>
        <w:spacing w:after="160" w:before="320"/>
      </w:pPr>
      <w:r>
        <w:rPr>
          <w:rFonts w:ascii="Calibri" w:cs="Calibri" w:eastAsia="Calibri" w:hAnsi="Calibri"/>
          <w:b/>
          <w:bCs/>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rFonts w:ascii="Calibri" w:cs="Calibri" w:eastAsia="Calibri" w:hAnsi="Calibri"/>
                <w:b/>
                <w:bCs/>
                <w:sz w:val="21"/>
                <w:szCs w:val="21"/>
              </w:rPr>
              <w:t xml:space="preserve">Field</w:t>
            </w:r>
          </w:p>
        </w:tc>
        <w:tc>
          <w:tcPr>
            <w:tcW w:type="dxa" w:w="6160"/>
            <w:tcBorders>
              <w:top w:val="single" w:color="BFBFBF" w:sz="4"/>
              <w:left w:val="single" w:color="BFBFBF" w:sz="4"/>
              <w:bottom w:val="single" w:color="BFBFBF" w:sz="4"/>
              <w:right w:val="single" w:color="BFBFBF" w:sz="4"/>
            </w:tcBorders>
            <w:shd w:fill="E8EEF4" w:val="clear"/>
            <w:tcMar>
              <w:top w:type="dxa" w:w="80"/>
              <w:left w:type="dxa" w:w="120"/>
              <w:bottom w:type="dxa" w:w="80"/>
              <w:right w:type="dxa" w:w="120"/>
            </w:tcMar>
          </w:tcPr>
          <w:p>
            <w:r>
              <w:rPr>
                <w:rFonts w:ascii="Calibri" w:cs="Calibri" w:eastAsia="Calibri" w:hAnsi="Calibri"/>
                <w:b/>
                <w:bCs/>
                <w:sz w:val="21"/>
                <w:szCs w:val="21"/>
              </w:rPr>
              <w:t xml:space="preserve">Description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BioDigital Twin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The Pre-Clinical module of HakaseAI. v2.0.0 collapses its previously four-layer structure to three layers plus integrated Phase 1 Planning.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Confirmation Layer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The merged in-silico + ex-vivo layer in v2.0.0. Single external waypoint with two internal sub-tracks.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PreConfirmationDirective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Typed contract emitted by in-silico, consumed by ex-vivo. Without it, ex-vivo cannot run except via CategoricalExemption.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FalsifierId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Typed reference into the falsifier registry. Override blocks cite FalsifierId values rather than free-text reasons.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Falsified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A typed state distinct from low-confidence. A prediction is falsified when a registered FalsifierId triggers in ex-vivo. Excluded from joint synthesis.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GatePolicy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Snapshot of the gate thresholds and rules in effect at gate time, embedded in the package. Makes the package portable across organisations.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CategoricalExemption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Typed peer of consumedDirective. Used when a prediction is biologically inapplicable (e.g. CYP panel on a mAb).</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repairPath</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Field on partial joint outputs naming the missing assay, expected range, and blocked downstream decisions. Stops 'partial' from becoming a graveyard bucket.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MABEL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Minimum Anticipated Biological Effect Level. Phase 1 dose-derivation method. v2.0.0's MABEL-bias logic branches on accepted FalsifierId values.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HED</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Human Equivalent Dose. Animal-to-human dose scaling using body surface area or PK-driven projection.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IVIVE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In Vitro to In Vivo Extrapolation. Core in-silico mechanism. Recalibration against modern liver-chip and PCLS data is an inherited priority from the April 2026 redesign.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§6.1.a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Internal section reference for the CYP-Transporter joint output. v2.0.0 relocates it from a top-level field to confirmation.jointOutputs.cypTransporter.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§6.1.b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Internal section reference for the clearance-fractions joint output. Same relocation as §6.1.a.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9"/>
                <w:szCs w:val="19"/>
              </w:rPr>
              <w:t xml:space="preserve">L1 / L2 / L3</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80"/>
            </w:pPr>
            <w:r>
              <w:rPr>
                <w:rFonts w:ascii="Calibri" w:cs="Calibri" w:eastAsia="Calibri" w:hAnsi="Calibri"/>
                <w:sz w:val="21"/>
                <w:szCs w:val="21"/>
              </w:rPr>
              <w:t xml:space="preserve">In-Vitro / Confirmation / Animal Cohort layers in v2.0.0. The April 2026 redesign used L1 / L2 / L3 / L4 with separate L2 (in-silico) and L3 (ex-vivo); v2.0.0 collapses them.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AKTHealth · HakaseAI · Pre-Clinical Module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HakaseBio v2.0.0 — Confirmation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HakaseBio v2.0.0 Confirmation Architecture Specification</dc:title>
  <dc:creator>AKTHealth · HakaseAI</dc:creator>
  <dc:description>Three-Layer Pre-Clinical Architecture with Integrated Phase 1 Planning</dc:description>
  <cp:lastModifiedBy>Un-named</cp:lastModifiedBy>
  <cp:revision>1</cp:revision>
  <dcterms:created xsi:type="dcterms:W3CDTF">2026-05-05T06:09:58.182Z</dcterms:created>
  <dcterms:modified xsi:type="dcterms:W3CDTF">2026-05-05T06:09:58.182Z</dcterms:modified>
</cp:coreProperties>
</file>

<file path=docProps/custom.xml><?xml version="1.0" encoding="utf-8"?>
<Properties xmlns="http://schemas.openxmlformats.org/officeDocument/2006/custom-properties" xmlns:vt="http://schemas.openxmlformats.org/officeDocument/2006/docPropsVTypes"/>
</file>