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A5276"/>
          <w:sz w:val="56"/>
          <w:szCs w:val="56"/>
        </w:rPr>
        <w:t xml:space="preserve">HAKASE AI</w:t>
      </w:r>
    </w:p>
    <w:p>
      <w:pPr>
        <w:spacing w:after="120"/>
        <w:jc w:val="center"/>
      </w:pPr>
      <w:r>
        <w:rPr>
          <w:rFonts w:ascii="Arial" w:cs="Arial" w:eastAsia="Arial" w:hAnsi="Arial"/>
          <w:b/>
          <w:bCs/>
          <w:color w:val="2C3E50"/>
          <w:sz w:val="44"/>
          <w:szCs w:val="44"/>
        </w:rPr>
        <w:t xml:space="preserve">Animal Testing Simulation Module</w:t>
      </w:r>
    </w:p>
    <w:p>
      <w:pPr>
        <w:pBdr>
          <w:bottom w:val="single" w:color="1A5276" w:sz="6" w:space="1"/>
        </w:pBdr>
        <w:spacing w:after="600"/>
        <w:jc w:val="center"/>
      </w:pPr>
      <w:r>
        <w:rPr>
          <w:rFonts w:ascii="Arial" w:cs="Arial" w:eastAsia="Arial" w:hAnsi="Arial"/>
          <w:color w:val="27AE60"/>
          <w:sz w:val="28"/>
          <w:szCs w:val="28"/>
        </w:rPr>
        <w:t xml:space="preserve">Product Specification &amp; Feature Brief</w:t>
      </w:r>
    </w:p>
    <w:p>
      <w:pPr>
        <w:spacing w:after="800"/>
      </w:pPr>
    </w:p>
    <w:p>
      <w:pPr>
        <w:spacing w:after="80"/>
        <w:jc w:val="center"/>
      </w:pPr>
      <w:r>
        <w:rPr>
          <w:rFonts w:ascii="Arial" w:cs="Arial" w:eastAsia="Arial" w:hAnsi="Arial"/>
          <w:color w:val="2C3E50"/>
          <w:sz w:val="24"/>
          <w:szCs w:val="24"/>
        </w:rPr>
        <w:t xml:space="preserve">Version 1.0</w:t>
      </w:r>
    </w:p>
    <w:p>
      <w:pPr>
        <w:spacing w:after="80"/>
        <w:jc w:val="center"/>
      </w:pPr>
      <w:r>
        <w:rPr>
          <w:rFonts w:ascii="Arial" w:cs="Arial" w:eastAsia="Arial" w:hAnsi="Arial"/>
          <w:color w:val="2C3E50"/>
          <w:sz w:val="24"/>
          <w:szCs w:val="24"/>
        </w:rPr>
        <w:t xml:space="preserve">March 2026</w:t>
      </w:r>
    </w:p>
    <w:p>
      <w:pPr>
        <w:spacing w:after="80"/>
        <w:jc w:val="center"/>
      </w:pPr>
      <w:r>
        <w:rPr>
          <w:rFonts w:ascii="Arial" w:cs="Arial" w:eastAsia="Arial" w:hAnsi="Arial"/>
          <w:b/>
          <w:bCs/>
          <w:color w:val="E74C3C"/>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A5276"/>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5276"/>
          <w:sz w:val="36"/>
          <w:szCs w:val="36"/>
        </w:rPr>
        <w:t xml:space="preserve">1. Executive Summary</w:t>
      </w:r>
    </w:p>
    <w:p>
      <w:pPr>
        <w:pStyle w:val="Heading2"/>
        <w:spacing w:after="200" w:before="240"/>
      </w:pPr>
      <w:r>
        <w:rPr>
          <w:rFonts w:ascii="Arial" w:cs="Arial" w:eastAsia="Arial" w:hAnsi="Arial"/>
          <w:b/>
          <w:bCs/>
          <w:color w:val="1A5276"/>
          <w:sz w:val="30"/>
          <w:szCs w:val="30"/>
        </w:rPr>
        <w:t xml:space="preserve">1.1 Purpose</w:t>
      </w:r>
    </w:p>
    <w:p>
      <w:pPr>
        <w:spacing w:after="160" w:line="276"/>
      </w:pPr>
      <w:r>
        <w:rPr>
          <w:rFonts w:ascii="Arial" w:cs="Arial" w:eastAsia="Arial" w:hAnsi="Arial"/>
          <w:color w:val="2C3E50"/>
          <w:sz w:val="22"/>
          <w:szCs w:val="22"/>
        </w:rPr>
        <w:t xml:space="preserve">This document specifies the Animal Testing Simulation Module for the Hakase AI platform. The module addresses the critical gap in pre-clinical development tooling by providing biotech companies with an integrated suite for in-silico modeling, preclinical study design, and regulatory compliance, all powered by AI and backed by curated public datasets.</w:t>
      </w:r>
    </w:p>
    <w:p>
      <w:pPr>
        <w:pStyle w:val="Heading2"/>
        <w:spacing w:after="200" w:before="240"/>
      </w:pPr>
      <w:r>
        <w:rPr>
          <w:rFonts w:ascii="Arial" w:cs="Arial" w:eastAsia="Arial" w:hAnsi="Arial"/>
          <w:b/>
          <w:bCs/>
          <w:color w:val="1A5276"/>
          <w:sz w:val="30"/>
          <w:szCs w:val="30"/>
        </w:rPr>
        <w:t xml:space="preserve">1.2 Strategic Context</w:t>
      </w:r>
    </w:p>
    <w:p>
      <w:pPr>
        <w:spacing w:after="160" w:line="276"/>
      </w:pPr>
      <w:r>
        <w:rPr>
          <w:rFonts w:ascii="Arial" w:cs="Arial" w:eastAsia="Arial" w:hAnsi="Arial"/>
          <w:color w:val="2C3E50"/>
          <w:sz w:val="22"/>
          <w:szCs w:val="22"/>
        </w:rPr>
        <w:t xml:space="preserve">The pre-clinical landscape is undergoing a fundamental transformation. The FDA Modernization Act 2.0 (signed December 2022) eliminated the decades-old mandate for animal testing in drug development. In April 2025, the FDA released a formal roadmap to phase out animal testing, initially targeting monoclonal antibodies. The FDA Modernization Act 3.0, passed by the Senate in December 2025, further instructs the FDA to establish formal qualification processes for New Approach Methodologies (NAMs). In July 2025, the NIH announced $150M in funding for human-based research alternatives and declared that proposals relying exclusively on animal data would no longer be eligible for agency support.</w:t>
      </w:r>
    </w:p>
    <w:p>
      <w:pPr>
        <w:spacing w:after="160" w:line="276"/>
      </w:pPr>
      <w:r>
        <w:rPr>
          <w:rFonts w:ascii="Arial" w:cs="Arial" w:eastAsia="Arial" w:hAnsi="Arial"/>
          <w:color w:val="2C3E50"/>
          <w:sz w:val="22"/>
          <w:szCs w:val="22"/>
        </w:rPr>
        <w:t xml:space="preserve">This creates an unprecedented opportunity for Hakase AI. Small biotechs navigating pre-clinical development need tools that bridge the gap between traditional animal testing and the emerging NAM-first regulatory paradigm. The Animal Testing Simulation Module positions Hakase as the first integrated platform to combine in-silico prediction, hybrid study design, and regulatory pathway guidance in a single product.</w:t>
      </w:r>
    </w:p>
    <w:p>
      <w:pPr>
        <w:pStyle w:val="Heading2"/>
        <w:spacing w:after="200" w:before="240"/>
      </w:pPr>
      <w:r>
        <w:rPr>
          <w:rFonts w:ascii="Arial" w:cs="Arial" w:eastAsia="Arial" w:hAnsi="Arial"/>
          <w:b/>
          <w:bCs/>
          <w:color w:val="1A5276"/>
          <w:sz w:val="30"/>
          <w:szCs w:val="30"/>
        </w:rPr>
        <w:t xml:space="preserve">1.3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Traditional Approach</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Hakase Simulation Module</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Pre-clinical timeline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36–42 months</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18–24 months (projected)</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Animal study costs (Phase I-enabling)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$2–5M per program</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40–60% reduction via NAM integration</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IND submission rejection rate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~30% first-cycle</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&lt;15% (AI-guided compliance)</w:t>
            </w:r>
          </w:p>
        </w:tc>
      </w:tr>
      <w:tr>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Species selection accuracy</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Manual, literature-based</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AI-driven, pharmacologically validated</w:t>
            </w:r>
          </w:p>
        </w:tc>
      </w:tr>
      <w:tr>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Dose prediction accuracy</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50–100x safety margins</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PBPK-refined, tighter margins</w:t>
            </w:r>
          </w:p>
        </w:tc>
      </w:tr>
    </w:tbl>
    <w:p>
      <w:pPr>
        <w:spacing w:after="120"/>
      </w:pPr>
    </w:p>
    <w:p>
      <w:pPr>
        <w:pStyle w:val="Heading1"/>
        <w:spacing w:after="200" w:before="360"/>
      </w:pPr>
      <w:r>
        <w:rPr>
          <w:rFonts w:ascii="Arial" w:cs="Arial" w:eastAsia="Arial" w:hAnsi="Arial"/>
          <w:b/>
          <w:bCs/>
          <w:color w:val="1A5276"/>
          <w:sz w:val="36"/>
          <w:szCs w:val="36"/>
        </w:rPr>
        <w:t xml:space="preserve">2. Market &amp; Regulatory Landscape</w:t>
      </w:r>
    </w:p>
    <w:p>
      <w:pPr>
        <w:pStyle w:val="Heading2"/>
        <w:spacing w:after="200" w:before="240"/>
      </w:pPr>
      <w:r>
        <w:rPr>
          <w:rFonts w:ascii="Arial" w:cs="Arial" w:eastAsia="Arial" w:hAnsi="Arial"/>
          <w:b/>
          <w:bCs/>
          <w:color w:val="1A5276"/>
          <w:sz w:val="30"/>
          <w:szCs w:val="30"/>
        </w:rPr>
        <w:t xml:space="preserve">2.1 Regulatory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Dec 2022</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FDA Modernization Act 2.0 signed</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Removed statutory animal testing requirement for INDs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Apr 2025</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FDA Roadmap for Reducing Animal Testing</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Formal phased plan starting with monoclonal antibodies</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Jul 2025</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NIH $150M NAM funding + animal-only exclusion</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Funding incentives shift toward human-relevant models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Jul 2025</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FDA Public Workshop on NAMs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Industry-regulator collaboration framework established</w:t>
            </w:r>
          </w:p>
        </w:tc>
      </w:tr>
      <w:tr>
        <w:tc>
          <w:tcPr>
            <w:tcW w:type="dxa" w:w="1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Dec 2025</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FDA Modernization Act 3.0 passed</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FDA must create formal NAM qualification process</w:t>
            </w:r>
          </w:p>
        </w:tc>
      </w:tr>
      <w:tr>
        <w:tc>
          <w:tcPr>
            <w:tcW w:type="dxa" w:w="1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2026+</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FDA pilot: non-animal mAb testing</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First products approved with primarily NAM-based packages</w:t>
            </w:r>
          </w:p>
        </w:tc>
      </w:tr>
    </w:tbl>
    <w:p>
      <w:pPr>
        <w:spacing w:after="120"/>
      </w:pPr>
    </w:p>
    <w:p>
      <w:pPr>
        <w:pStyle w:val="Heading2"/>
        <w:spacing w:after="200" w:before="240"/>
      </w:pPr>
      <w:r>
        <w:rPr>
          <w:rFonts w:ascii="Arial" w:cs="Arial" w:eastAsia="Arial" w:hAnsi="Arial"/>
          <w:b/>
          <w:bCs/>
          <w:color w:val="1A5276"/>
          <w:sz w:val="30"/>
          <w:szCs w:val="30"/>
        </w:rPr>
        <w:t xml:space="preserve">2.2 Market Opportunity</w:t>
      </w:r>
    </w:p>
    <w:p>
      <w:pPr>
        <w:spacing w:after="160" w:line="276"/>
      </w:pPr>
      <w:r>
        <w:rPr>
          <w:rFonts w:ascii="Arial" w:cs="Arial" w:eastAsia="Arial" w:hAnsi="Arial"/>
          <w:color w:val="2C3E50"/>
          <w:sz w:val="22"/>
          <w:szCs w:val="22"/>
        </w:rPr>
        <w:t xml:space="preserve">The organ-on-a-chip market is projected to grow from $157M (2024) to nearly $1B by 2030 (Grand View Research). The organoid market could reach $2.72B by 2030. The broader in-silico pharmacology and toxicology market is expanding rapidly as regulatory acceptance accelerates. Contract research organizations already generate over $200M annually from non-animal models. Hakase AI targets the underserved segment: small biotechs (10–200 employees) in pre-clinical and Phase I stages that lack the internal infrastructure to build or integrate these tools independently.</w:t>
      </w:r>
    </w:p>
    <w:p>
      <w:pPr>
        <w:pStyle w:val="Heading2"/>
        <w:spacing w:after="200" w:before="240"/>
      </w:pPr>
      <w:r>
        <w:rPr>
          <w:rFonts w:ascii="Arial" w:cs="Arial" w:eastAsia="Arial" w:hAnsi="Arial"/>
          <w:b/>
          <w:bCs/>
          <w:color w:val="1A5276"/>
          <w:sz w:val="30"/>
          <w:szCs w:val="30"/>
        </w:rPr>
        <w:t xml:space="preserve">2.3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 / Tool</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Gap Hakase Fills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Certara (Simcyp / Phoenix)</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PBPK modeling &amp; PK/PD</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Enterprise-priced; no integrated study design or regulatory guidance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Simulations Plus (GastroPlus)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ADME / PBPK simulation</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Standalone tool; no NAM integration or AI-driven recommendations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Instem Provantis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Study management software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Data capture focus; no predictive modeling or in-silico simulation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Emulate (Organ-on-Chip)</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 vitro NAM platform</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Hardware-dependent; no in-silico layer or regulatory pathway mapping</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Deep Origin (PREDICTS)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ARPA-H funded virtual human</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Research-stage; not a commercial product; no study design tools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Insilico Medicine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AI drug discovery</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Discovery-focused; limited pre-clinical study design features</w:t>
            </w:r>
          </w:p>
        </w:tc>
      </w:tr>
    </w:tbl>
    <w:p>
      <w:pPr>
        <w:spacing w:after="120"/>
      </w:pPr>
    </w:p>
    <w:p>
      <w:pPr>
        <w:spacing w:after="160" w:line="276"/>
      </w:pPr>
      <w:r>
        <w:rPr>
          <w:rFonts w:ascii="Arial" w:cs="Arial" w:eastAsia="Arial" w:hAnsi="Arial"/>
          <w:color w:val="2C3E50"/>
          <w:sz w:val="22"/>
          <w:szCs w:val="22"/>
        </w:rPr>
        <w:t xml:space="preserve">Hakase AI differentiates by integrating all three pillars (in-silico prediction, study design, and regulatory compliance) into a single platform purpose-built for small biotechs, with AI-driven guidance at every step.</w:t>
      </w:r>
    </w:p>
    <w:p>
      <w:r>
        <w:br w:type="page"/>
      </w:r>
    </w:p>
    <w:p>
      <w:pPr>
        <w:pStyle w:val="Heading1"/>
        <w:spacing w:after="200" w:before="360"/>
      </w:pPr>
      <w:r>
        <w:rPr>
          <w:rFonts w:ascii="Arial" w:cs="Arial" w:eastAsia="Arial" w:hAnsi="Arial"/>
          <w:b/>
          <w:bCs/>
          <w:color w:val="1A5276"/>
          <w:sz w:val="36"/>
          <w:szCs w:val="36"/>
        </w:rPr>
        <w:t xml:space="preserve">3. Module Architecture</w:t>
      </w:r>
    </w:p>
    <w:p>
      <w:pPr>
        <w:pStyle w:val="Heading2"/>
        <w:spacing w:after="200" w:before="240"/>
      </w:pPr>
      <w:r>
        <w:rPr>
          <w:rFonts w:ascii="Arial" w:cs="Arial" w:eastAsia="Arial" w:hAnsi="Arial"/>
          <w:b/>
          <w:bCs/>
          <w:color w:val="1A5276"/>
          <w:sz w:val="30"/>
          <w:szCs w:val="30"/>
        </w:rPr>
        <w:t xml:space="preserve">3.1 Three-Pillar Design</w:t>
      </w:r>
    </w:p>
    <w:p>
      <w:pPr>
        <w:spacing w:after="160" w:line="276"/>
      </w:pPr>
      <w:r>
        <w:rPr>
          <w:rFonts w:ascii="Arial" w:cs="Arial" w:eastAsia="Arial" w:hAnsi="Arial"/>
          <w:color w:val="2C3E50"/>
          <w:sz w:val="22"/>
          <w:szCs w:val="22"/>
        </w:rPr>
        <w:t xml:space="preserve">The Animal Testing Simulation Module is built on three integrated pillars that map directly to the pre-clinical development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Pillar</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Pillar 1: In-Silico Simulation Engine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Predict animal study outcomes computationally</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PBPK modeling, toxicity prediction, ADME simulation, organ-system modeling, species-specific pharmacology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Pillar 2: Study Design Intelligence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Design optimized preclinical study protocols</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Species selection, dose range finding, endpoint optimization, sample size calculation, protocol generation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Pillar 3: Regulatory Compliance Navigator</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Ensure IND-enabling studies meet requirements</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GLP compliance checking, FDA/EMA requirement mapping, NAM qualification guidance, submission package builder</w:t>
            </w:r>
          </w:p>
        </w:tc>
      </w:tr>
    </w:tbl>
    <w:p>
      <w:pPr>
        <w:spacing w:after="120"/>
      </w:pPr>
    </w:p>
    <w:p>
      <w:pPr>
        <w:pStyle w:val="Heading2"/>
        <w:spacing w:after="200" w:before="240"/>
      </w:pPr>
      <w:r>
        <w:rPr>
          <w:rFonts w:ascii="Arial" w:cs="Arial" w:eastAsia="Arial" w:hAnsi="Arial"/>
          <w:b/>
          <w:bCs/>
          <w:color w:val="1A5276"/>
          <w:sz w:val="30"/>
          <w:szCs w:val="30"/>
        </w:rPr>
        <w:t xml:space="preserve">3.2 Data Integration Layer</w:t>
      </w:r>
    </w:p>
    <w:p>
      <w:pPr>
        <w:spacing w:after="160" w:line="276"/>
      </w:pPr>
      <w:r>
        <w:rPr>
          <w:rFonts w:ascii="Arial" w:cs="Arial" w:eastAsia="Arial" w:hAnsi="Arial"/>
          <w:color w:val="2C3E50"/>
          <w:sz w:val="22"/>
          <w:szCs w:val="22"/>
        </w:rPr>
        <w:t xml:space="preserve">The module integrates with the following public databases and data sources, extending Hakase AI’s existing 15+ database integration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Database</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Use in Module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EPA ToxCast / Tox21</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HTS toxicity assays (9,000+ chemicals, 1,200+ endpoints)</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In-silico toxicity prediction, cross-species extrapolation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ChEMBL</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Bioactivity data (1.8M compounds, 1.1M assays)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Target-activity modeling, SAR-based toxicity estimation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PubChem</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Chemical structures &amp; bioassays (97M compounds)</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Compound profiling, structural similarity analysis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TOXRIC</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Toxicological benchmarks (15+ species, 1,474 endpoints)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Multi-species toxicity benchmarking</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OECD QSAR Toolbox</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69 profilers, 55 databases</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Read-across predictions, structural alerts</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DrugBank</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Drug-target interactions, ADME properties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PK parameter estimation, drug interaction prediction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PhysioNet / MIMIC-IV</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Clinical outcome data</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Translational bridge: animal-to-human correlation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ClinicalTrials.gov</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400,000+ trial protocols</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Historical dose-response data, endpoint benchmarking</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FDA FAERS</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20M+ adverse event reports</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Post-market safety signal correlation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OpenTox</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Predictive toxicology framework</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Model validation and cross-referencing</w:t>
            </w:r>
          </w:p>
        </w:tc>
      </w:tr>
    </w:tbl>
    <w:p>
      <w:pPr>
        <w:spacing w:after="120"/>
      </w:pPr>
    </w:p>
    <w:p>
      <w:pPr>
        <w:pStyle w:val="Heading2"/>
        <w:spacing w:after="200" w:before="240"/>
      </w:pPr>
      <w:r>
        <w:rPr>
          <w:rFonts w:ascii="Arial" w:cs="Arial" w:eastAsia="Arial" w:hAnsi="Arial"/>
          <w:b/>
          <w:bCs/>
          <w:color w:val="1A5276"/>
          <w:sz w:val="30"/>
          <w:szCs w:val="30"/>
        </w:rPr>
        <w:t xml:space="preserve">3.3 AI Model Stack</w:t>
      </w:r>
    </w:p>
    <w:p>
      <w:pPr>
        <w:spacing w:after="160" w:line="276"/>
      </w:pPr>
      <w:r>
        <w:rPr>
          <w:rFonts w:ascii="Arial" w:cs="Arial" w:eastAsia="Arial" w:hAnsi="Arial"/>
          <w:color w:val="2C3E50"/>
          <w:sz w:val="22"/>
          <w:szCs w:val="22"/>
        </w:rPr>
        <w:t xml:space="preserve">The module leverages Hakase AI’s existing model infrastructure and introduces new specialized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12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Base</w:t>
            </w:r>
          </w:p>
        </w:tc>
        <w:tc>
          <w:tcPr>
            <w:tcW w:type="dxa" w:w="39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ToxBERT (new)</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BioBERT fine-tuned on ToxCast + TOXRIC</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Toxicity prediction from molecular descriptors and text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PK-Translator (new)</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GastroPlus-compatible PBPK engine</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Cross-species PK extrapolation and first-in-human dose prediction</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ProtocolGPT (existing)</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BioGPT fine-tuned on clinical protocols</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Preclinical protocol generation and optimization</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ClinicalBERT (existing)</w:t>
            </w:r>
          </w:p>
        </w:tc>
        <w:tc>
          <w:tcPr>
            <w:tcW w:type="dxa" w:w="312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BERT fine-tuned on MIMIC-III</w:t>
            </w:r>
          </w:p>
        </w:tc>
        <w:tc>
          <w:tcPr>
            <w:tcW w:type="dxa" w:w="39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Clinical outcome prediction for translational bridging</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RegDoc-T5 (new)</w:t>
            </w:r>
          </w:p>
        </w:tc>
        <w:tc>
          <w:tcPr>
            <w:tcW w:type="dxa" w:w="312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Clinical-T5 fine-tuned on FDA guidance docs</w:t>
            </w:r>
          </w:p>
        </w:tc>
        <w:tc>
          <w:tcPr>
            <w:tcW w:type="dxa" w:w="39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Regulatory document analysis and compliance checking</w:t>
            </w:r>
          </w:p>
        </w:tc>
      </w:tr>
    </w:tbl>
    <w:p>
      <w:r>
        <w:br w:type="page"/>
      </w:r>
    </w:p>
    <w:p>
      <w:pPr>
        <w:pStyle w:val="Heading1"/>
        <w:spacing w:after="200" w:before="360"/>
      </w:pPr>
      <w:r>
        <w:rPr>
          <w:rFonts w:ascii="Arial" w:cs="Arial" w:eastAsia="Arial" w:hAnsi="Arial"/>
          <w:b/>
          <w:bCs/>
          <w:color w:val="1A5276"/>
          <w:sz w:val="36"/>
          <w:szCs w:val="36"/>
        </w:rPr>
        <w:t xml:space="preserve">4. Pillar 1: In-Silico Simulation Engine</w:t>
      </w:r>
    </w:p>
    <w:p>
      <w:pPr>
        <w:pStyle w:val="Heading2"/>
        <w:spacing w:after="200" w:before="240"/>
      </w:pPr>
      <w:r>
        <w:rPr>
          <w:rFonts w:ascii="Arial" w:cs="Arial" w:eastAsia="Arial" w:hAnsi="Arial"/>
          <w:b/>
          <w:bCs/>
          <w:color w:val="1A5276"/>
          <w:sz w:val="30"/>
          <w:szCs w:val="30"/>
        </w:rPr>
        <w:t xml:space="preserve">4.1 PBPK Modeling Suite</w:t>
      </w:r>
    </w:p>
    <w:p>
      <w:pPr>
        <w:spacing w:after="160" w:line="276"/>
      </w:pPr>
      <w:r>
        <w:rPr>
          <w:rFonts w:ascii="Arial" w:cs="Arial" w:eastAsia="Arial" w:hAnsi="Arial"/>
          <w:color w:val="2C3E50"/>
          <w:sz w:val="22"/>
          <w:szCs w:val="22"/>
        </w:rPr>
        <w:t xml:space="preserve">The physiologically-based pharmacokinetic (PBPK) modeling suite enables users to simulate drug absorption, distribution, metabolism, and excretion across species without running a physical study. This is the core computational engine of the module.</w:t>
      </w:r>
    </w:p>
    <w:p>
      <w:pPr>
        <w:pStyle w:val="Heading3"/>
        <w:spacing w:after="200" w:before="240"/>
      </w:pPr>
      <w:r>
        <w:rPr>
          <w:rFonts w:ascii="Arial" w:cs="Arial" w:eastAsia="Arial" w:hAnsi="Arial"/>
          <w:b/>
          <w:bCs/>
          <w:color w:val="1A5276"/>
          <w:sz w:val="26"/>
          <w:szCs w:val="26"/>
        </w:rPr>
        <w:t xml:space="preserve">4.1.1 Species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Species</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Maturity</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Use Cases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Mouse (Mus musculus)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Validated</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Efficacy studies, oncology, immunology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Rat (Rattus norvegicus)</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Validated</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General toxicology, GLP repeat-dose, ADME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Dog (Beagle)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Validated</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Non-rodent tox, cardiovascular safety pharmacology</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Cynomolgus monkey</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Validated</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Biologics, CNS penetration, immunogenicity</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Minipig</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Beta</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Dermal studies, oral absorption, cardiovascular</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Rabbit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Beta</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Reproductive/developmental toxicology (ICH S5)</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Zebrafish</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Alpha</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High-throughput screening, developmental tox</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Human (reference)</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Validated</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First-in-human dose prediction, translational bridging</w:t>
            </w:r>
          </w:p>
        </w:tc>
      </w:tr>
    </w:tbl>
    <w:p>
      <w:pPr>
        <w:spacing w:after="120"/>
      </w:pPr>
    </w:p>
    <w:p>
      <w:pPr>
        <w:pStyle w:val="Heading3"/>
        <w:spacing w:after="200" w:before="240"/>
      </w:pPr>
      <w:r>
        <w:rPr>
          <w:rFonts w:ascii="Arial" w:cs="Arial" w:eastAsia="Arial" w:hAnsi="Arial"/>
          <w:b/>
          <w:bCs/>
          <w:color w:val="1A5276"/>
          <w:sz w:val="26"/>
          <w:szCs w:val="26"/>
        </w:rPr>
        <w:t xml:space="preserve">4.1.2 Simulation Capabilities</w:t>
      </w:r>
    </w:p>
    <w:p>
      <w:pPr>
        <w:pStyle w:val="ListParagraph"/>
        <w:numPr>
          <w:ilvl w:val="0"/>
          <w:numId w:val="2"/>
        </w:numPr>
        <w:spacing w:after="80" w:line="276"/>
      </w:pPr>
      <w:r>
        <w:rPr>
          <w:rFonts w:ascii="Arial" w:cs="Arial" w:eastAsia="Arial" w:hAnsi="Arial"/>
          <w:b/>
          <w:bCs/>
          <w:color w:val="2C3E50"/>
          <w:sz w:val="22"/>
          <w:szCs w:val="22"/>
        </w:rPr>
        <w:t xml:space="preserve">Absorption modeling: </w:t>
      </w:r>
      <w:r>
        <w:rPr>
          <w:rFonts w:ascii="Arial" w:cs="Arial" w:eastAsia="Arial" w:hAnsi="Arial"/>
          <w:color w:val="2C3E50"/>
          <w:sz w:val="22"/>
          <w:szCs w:val="22"/>
        </w:rPr>
        <w:t xml:space="preserve">Simulate oral, IV, SC, IM, transdermal, and inhalation routes with species-specific GI physiology and formulation effects</w:t>
      </w:r>
    </w:p>
    <w:p>
      <w:pPr>
        <w:pStyle w:val="ListParagraph"/>
        <w:numPr>
          <w:ilvl w:val="0"/>
          <w:numId w:val="2"/>
        </w:numPr>
        <w:spacing w:after="80" w:line="276"/>
      </w:pPr>
      <w:r>
        <w:rPr>
          <w:rFonts w:ascii="Arial" w:cs="Arial" w:eastAsia="Arial" w:hAnsi="Arial"/>
          <w:b/>
          <w:bCs/>
          <w:color w:val="2C3E50"/>
          <w:sz w:val="22"/>
          <w:szCs w:val="22"/>
        </w:rPr>
        <w:t xml:space="preserve">Distribution modeling: </w:t>
      </w:r>
      <w:r>
        <w:rPr>
          <w:rFonts w:ascii="Arial" w:cs="Arial" w:eastAsia="Arial" w:hAnsi="Arial"/>
          <w:color w:val="2C3E50"/>
          <w:sz w:val="22"/>
          <w:szCs w:val="22"/>
        </w:rPr>
        <w:t xml:space="preserve">Tissue-to-plasma partition coefficients across 14 organ compartments per species, including blood-brain barrier permeability</w:t>
      </w:r>
    </w:p>
    <w:p>
      <w:pPr>
        <w:pStyle w:val="ListParagraph"/>
        <w:numPr>
          <w:ilvl w:val="0"/>
          <w:numId w:val="2"/>
        </w:numPr>
        <w:spacing w:after="80" w:line="276"/>
      </w:pPr>
      <w:r>
        <w:rPr>
          <w:rFonts w:ascii="Arial" w:cs="Arial" w:eastAsia="Arial" w:hAnsi="Arial"/>
          <w:b/>
          <w:bCs/>
          <w:color w:val="2C3E50"/>
          <w:sz w:val="22"/>
          <w:szCs w:val="22"/>
        </w:rPr>
        <w:t xml:space="preserve">Metabolism prediction: </w:t>
      </w:r>
      <w:r>
        <w:rPr>
          <w:rFonts w:ascii="Arial" w:cs="Arial" w:eastAsia="Arial" w:hAnsi="Arial"/>
          <w:color w:val="2C3E50"/>
          <w:sz w:val="22"/>
          <w:szCs w:val="22"/>
        </w:rPr>
        <w:t xml:space="preserve">CYP enzyme mapping across species, metabolite identification, clearance estimation using in-vitro-to-in-vivo extrapolation (IVIVE)</w:t>
      </w:r>
    </w:p>
    <w:p>
      <w:pPr>
        <w:pStyle w:val="ListParagraph"/>
        <w:numPr>
          <w:ilvl w:val="0"/>
          <w:numId w:val="2"/>
        </w:numPr>
        <w:spacing w:after="80" w:line="276"/>
      </w:pPr>
      <w:r>
        <w:rPr>
          <w:rFonts w:ascii="Arial" w:cs="Arial" w:eastAsia="Arial" w:hAnsi="Arial"/>
          <w:b/>
          <w:bCs/>
          <w:color w:val="2C3E50"/>
          <w:sz w:val="22"/>
          <w:szCs w:val="22"/>
        </w:rPr>
        <w:t xml:space="preserve">Excretion modeling: </w:t>
      </w:r>
      <w:r>
        <w:rPr>
          <w:rFonts w:ascii="Arial" w:cs="Arial" w:eastAsia="Arial" w:hAnsi="Arial"/>
          <w:color w:val="2C3E50"/>
          <w:sz w:val="22"/>
          <w:szCs w:val="22"/>
        </w:rPr>
        <w:t xml:space="preserve">Renal and biliary clearance pathways with species-specific parameters</w:t>
      </w:r>
    </w:p>
    <w:p>
      <w:pPr>
        <w:pStyle w:val="ListParagraph"/>
        <w:numPr>
          <w:ilvl w:val="0"/>
          <w:numId w:val="2"/>
        </w:numPr>
        <w:spacing w:after="80" w:line="276"/>
      </w:pPr>
      <w:r>
        <w:rPr>
          <w:rFonts w:ascii="Arial" w:cs="Arial" w:eastAsia="Arial" w:hAnsi="Arial"/>
          <w:b/>
          <w:bCs/>
          <w:color w:val="2C3E50"/>
          <w:sz w:val="22"/>
          <w:szCs w:val="22"/>
        </w:rPr>
        <w:t xml:space="preserve">Population simulation: </w:t>
      </w:r>
      <w:r>
        <w:rPr>
          <w:rFonts w:ascii="Arial" w:cs="Arial" w:eastAsia="Arial" w:hAnsi="Arial"/>
          <w:color w:val="2C3E50"/>
          <w:sz w:val="22"/>
          <w:szCs w:val="22"/>
        </w:rPr>
        <w:t xml:space="preserve">Monte Carlo-based variability modeling incorporating weight, age, sex, and genetic polymorphisms</w:t>
      </w:r>
    </w:p>
    <w:p>
      <w:pPr>
        <w:pStyle w:val="Heading2"/>
        <w:spacing w:after="200" w:before="240"/>
      </w:pPr>
      <w:r>
        <w:rPr>
          <w:rFonts w:ascii="Arial" w:cs="Arial" w:eastAsia="Arial" w:hAnsi="Arial"/>
          <w:b/>
          <w:bCs/>
          <w:color w:val="1A5276"/>
          <w:sz w:val="30"/>
          <w:szCs w:val="30"/>
        </w:rPr>
        <w:t xml:space="preserve">4.2 Toxicity Prediction Engine</w:t>
      </w:r>
    </w:p>
    <w:p>
      <w:pPr>
        <w:spacing w:after="160" w:line="276"/>
      </w:pPr>
      <w:r>
        <w:rPr>
          <w:rFonts w:ascii="Arial" w:cs="Arial" w:eastAsia="Arial" w:hAnsi="Arial"/>
          <w:color w:val="2C3E50"/>
          <w:sz w:val="22"/>
          <w:szCs w:val="22"/>
        </w:rPr>
        <w:t xml:space="preserve">The toxicity prediction engine combines structural alerts, QSAR models, and deep learning to predict safety outcomes before any in-vivo study is conducted.</w:t>
      </w:r>
    </w:p>
    <w:p>
      <w:pPr>
        <w:pStyle w:val="Heading3"/>
        <w:spacing w:after="200" w:before="240"/>
      </w:pPr>
      <w:r>
        <w:rPr>
          <w:rFonts w:ascii="Arial" w:cs="Arial" w:eastAsia="Arial" w:hAnsi="Arial"/>
          <w:b/>
          <w:bCs/>
          <w:color w:val="1A5276"/>
          <w:sz w:val="26"/>
          <w:szCs w:val="26"/>
        </w:rPr>
        <w:t xml:space="preserve">4.2.1 Prediction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Endpoints</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Acute toxicity</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LD50, maximum tolerated dose (MTD), NOAEL estimation</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TOXRIC, ToxCast, ChEMBL</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Organ toxicity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Hepatotoxicity (DILI), cardiotoxicity (hERG), nephrotoxicity, neurotoxicity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ToxCast, FAERS, literature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Genotoxicity</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Ames test prediction, chromosomal aberration, micronucleus</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OECD QSAR Toolbox, ToxCast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Reproductive toxicity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Teratogenicity risk, fertility effects, developmental tox</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TOXRIC, DART database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Immunotoxicity</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Cytokine release, immunosuppression, hypersensitivity</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ChEMBL bioassays, ToxCast</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Carcinogenicity</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2-year bioassay prediction, structural alerts</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CPDB, OECD Toolbox profilers</w:t>
            </w:r>
          </w:p>
        </w:tc>
      </w:tr>
    </w:tbl>
    <w:p>
      <w:pPr>
        <w:spacing w:after="120"/>
      </w:pPr>
    </w:p>
    <w:p>
      <w:pPr>
        <w:pStyle w:val="Heading2"/>
        <w:spacing w:after="200" w:before="240"/>
      </w:pPr>
      <w:r>
        <w:rPr>
          <w:rFonts w:ascii="Arial" w:cs="Arial" w:eastAsia="Arial" w:hAnsi="Arial"/>
          <w:b/>
          <w:bCs/>
          <w:color w:val="1A5276"/>
          <w:sz w:val="30"/>
          <w:szCs w:val="30"/>
        </w:rPr>
        <w:t xml:space="preserve">4.3 Digital Twin Integration</w:t>
      </w:r>
    </w:p>
    <w:p>
      <w:pPr>
        <w:spacing w:after="160" w:line="276"/>
      </w:pPr>
      <w:r>
        <w:rPr>
          <w:rFonts w:ascii="Arial" w:cs="Arial" w:eastAsia="Arial" w:hAnsi="Arial"/>
          <w:color w:val="2C3E50"/>
          <w:sz w:val="22"/>
          <w:szCs w:val="22"/>
        </w:rPr>
        <w:t xml:space="preserve">Building on Hakase AI’s existing BioDigital Twin architecture, the module extends digital twin capabilities to preclinical species. Each virtual animal model incorporates organ-level physiological parameters, enabling multi-compartment simulation that predicts systemic drug effects across interconnected biological systems. The digital twin framework supports what-if scenarios: users can modify dose, route, formulation, and species parameters and instantly see projected PK/PD curves, toxicity thresholds, and safety margins.</w:t>
      </w:r>
    </w:p>
    <w:p>
      <w:r>
        <w:br w:type="page"/>
      </w:r>
    </w:p>
    <w:p>
      <w:pPr>
        <w:pStyle w:val="Heading1"/>
        <w:spacing w:after="200" w:before="360"/>
      </w:pPr>
      <w:r>
        <w:rPr>
          <w:rFonts w:ascii="Arial" w:cs="Arial" w:eastAsia="Arial" w:hAnsi="Arial"/>
          <w:b/>
          <w:bCs/>
          <w:color w:val="1A5276"/>
          <w:sz w:val="36"/>
          <w:szCs w:val="36"/>
        </w:rPr>
        <w:t xml:space="preserve">5. Pillar 2: Study Design Intelligence</w:t>
      </w:r>
    </w:p>
    <w:p>
      <w:pPr>
        <w:pStyle w:val="Heading2"/>
        <w:spacing w:after="200" w:before="240"/>
      </w:pPr>
      <w:r>
        <w:rPr>
          <w:rFonts w:ascii="Arial" w:cs="Arial" w:eastAsia="Arial" w:hAnsi="Arial"/>
          <w:b/>
          <w:bCs/>
          <w:color w:val="1A5276"/>
          <w:sz w:val="30"/>
          <w:szCs w:val="30"/>
        </w:rPr>
        <w:t xml:space="preserve">5.1 AI-Powered Species Selection</w:t>
      </w:r>
    </w:p>
    <w:p>
      <w:pPr>
        <w:spacing w:after="160" w:line="276"/>
      </w:pPr>
      <w:r>
        <w:rPr>
          <w:rFonts w:ascii="Arial" w:cs="Arial" w:eastAsia="Arial" w:hAnsi="Arial"/>
          <w:color w:val="2C3E50"/>
          <w:sz w:val="22"/>
          <w:szCs w:val="22"/>
        </w:rPr>
        <w:t xml:space="preserve">FDA guidance requires toxicology evaluation in at least two species (one rodent, one non-rodent) for IND submission. The module’s AI recommends optimal species based on pharmacological relevance, target homology, and historical precedent.</w:t>
      </w:r>
    </w:p>
    <w:p>
      <w:pPr>
        <w:pStyle w:val="Heading3"/>
        <w:spacing w:after="200" w:before="240"/>
      </w:pPr>
      <w:r>
        <w:rPr>
          <w:rFonts w:ascii="Arial" w:cs="Arial" w:eastAsia="Arial" w:hAnsi="Arial"/>
          <w:b/>
          <w:bCs/>
          <w:color w:val="1A5276"/>
          <w:sz w:val="26"/>
          <w:szCs w:val="26"/>
        </w:rPr>
        <w:t xml:space="preserve">5.1.1 Selection Algorithm</w:t>
      </w:r>
    </w:p>
    <w:p>
      <w:pPr>
        <w:pStyle w:val="ListParagraph"/>
        <w:numPr>
          <w:ilvl w:val="0"/>
          <w:numId w:val="3"/>
        </w:numPr>
        <w:spacing w:after="80" w:line="276"/>
      </w:pPr>
      <w:r>
        <w:rPr>
          <w:rFonts w:ascii="Arial" w:cs="Arial" w:eastAsia="Arial" w:hAnsi="Arial"/>
          <w:b/>
          <w:bCs/>
          <w:color w:val="2C3E50"/>
          <w:sz w:val="22"/>
          <w:szCs w:val="22"/>
        </w:rPr>
        <w:t xml:space="preserve">Target homology analysis: </w:t>
      </w:r>
      <w:r>
        <w:rPr>
          <w:rFonts w:ascii="Arial" w:cs="Arial" w:eastAsia="Arial" w:hAnsi="Arial"/>
          <w:color w:val="2C3E50"/>
          <w:sz w:val="22"/>
          <w:szCs w:val="22"/>
        </w:rPr>
        <w:t xml:space="preserve">Cross-references drug target sequence against species proteomes to identify pharmacologically relevant models</w:t>
      </w:r>
    </w:p>
    <w:p>
      <w:pPr>
        <w:pStyle w:val="ListParagraph"/>
        <w:numPr>
          <w:ilvl w:val="0"/>
          <w:numId w:val="3"/>
        </w:numPr>
        <w:spacing w:after="80" w:line="276"/>
      </w:pPr>
      <w:r>
        <w:rPr>
          <w:rFonts w:ascii="Arial" w:cs="Arial" w:eastAsia="Arial" w:hAnsi="Arial"/>
          <w:b/>
          <w:bCs/>
          <w:color w:val="2C3E50"/>
          <w:sz w:val="22"/>
          <w:szCs w:val="22"/>
        </w:rPr>
        <w:t xml:space="preserve">Metabolic pathway matching: </w:t>
      </w:r>
      <w:r>
        <w:rPr>
          <w:rFonts w:ascii="Arial" w:cs="Arial" w:eastAsia="Arial" w:hAnsi="Arial"/>
          <w:color w:val="2C3E50"/>
          <w:sz w:val="22"/>
          <w:szCs w:val="22"/>
        </w:rPr>
        <w:t xml:space="preserve">Compares CYP isoform profiles and metabolic pathways to ensure the chosen species metabolizes the compound similarly to humans</w:t>
      </w:r>
    </w:p>
    <w:p>
      <w:pPr>
        <w:pStyle w:val="ListParagraph"/>
        <w:numPr>
          <w:ilvl w:val="0"/>
          <w:numId w:val="3"/>
        </w:numPr>
        <w:spacing w:after="80" w:line="276"/>
      </w:pPr>
      <w:r>
        <w:rPr>
          <w:rFonts w:ascii="Arial" w:cs="Arial" w:eastAsia="Arial" w:hAnsi="Arial"/>
          <w:b/>
          <w:bCs/>
          <w:color w:val="2C3E50"/>
          <w:sz w:val="22"/>
          <w:szCs w:val="22"/>
        </w:rPr>
        <w:t xml:space="preserve">Historical precedent search: </w:t>
      </w:r>
      <w:r>
        <w:rPr>
          <w:rFonts w:ascii="Arial" w:cs="Arial" w:eastAsia="Arial" w:hAnsi="Arial"/>
          <w:color w:val="2C3E50"/>
          <w:sz w:val="22"/>
          <w:szCs w:val="22"/>
        </w:rPr>
        <w:t xml:space="preserve">Scans ClinicalTrials.gov and FDA review documents for species used in approved programs for the same drug class</w:t>
      </w:r>
    </w:p>
    <w:p>
      <w:pPr>
        <w:pStyle w:val="ListParagraph"/>
        <w:numPr>
          <w:ilvl w:val="0"/>
          <w:numId w:val="3"/>
        </w:numPr>
        <w:spacing w:after="80" w:line="276"/>
      </w:pPr>
      <w:r>
        <w:rPr>
          <w:rFonts w:ascii="Arial" w:cs="Arial" w:eastAsia="Arial" w:hAnsi="Arial"/>
          <w:b/>
          <w:bCs/>
          <w:color w:val="2C3E50"/>
          <w:sz w:val="22"/>
          <w:szCs w:val="22"/>
        </w:rPr>
        <w:t xml:space="preserve">Practical feasibility scoring: </w:t>
      </w:r>
      <w:r>
        <w:rPr>
          <w:rFonts w:ascii="Arial" w:cs="Arial" w:eastAsia="Arial" w:hAnsi="Arial"/>
          <w:color w:val="2C3E50"/>
          <w:sz w:val="22"/>
          <w:szCs w:val="22"/>
        </w:rPr>
        <w:t xml:space="preserve">Factors in availability, cost, ethical considerations, housing requirements, and regulatory acceptability</w:t>
      </w:r>
    </w:p>
    <w:p>
      <w:pPr>
        <w:pStyle w:val="ListParagraph"/>
        <w:numPr>
          <w:ilvl w:val="0"/>
          <w:numId w:val="3"/>
        </w:numPr>
        <w:spacing w:after="80" w:line="276"/>
      </w:pPr>
      <w:r>
        <w:rPr>
          <w:rFonts w:ascii="Arial" w:cs="Arial" w:eastAsia="Arial" w:hAnsi="Arial"/>
          <w:b/>
          <w:bCs/>
          <w:color w:val="2C3E50"/>
          <w:sz w:val="22"/>
          <w:szCs w:val="22"/>
        </w:rPr>
        <w:t xml:space="preserve">FDA pre-IND alignment: </w:t>
      </w:r>
      <w:r>
        <w:rPr>
          <w:rFonts w:ascii="Arial" w:cs="Arial" w:eastAsia="Arial" w:hAnsi="Arial"/>
          <w:color w:val="2C3E50"/>
          <w:sz w:val="22"/>
          <w:szCs w:val="22"/>
        </w:rPr>
        <w:t xml:space="preserve">Generates a species justification document suitable for a pre-IND meeting package</w:t>
      </w:r>
    </w:p>
    <w:p>
      <w:pPr>
        <w:pStyle w:val="Heading2"/>
        <w:spacing w:after="200" w:before="240"/>
      </w:pPr>
      <w:r>
        <w:rPr>
          <w:rFonts w:ascii="Arial" w:cs="Arial" w:eastAsia="Arial" w:hAnsi="Arial"/>
          <w:b/>
          <w:bCs/>
          <w:color w:val="1A5276"/>
          <w:sz w:val="30"/>
          <w:szCs w:val="30"/>
        </w:rPr>
        <w:t xml:space="preserve">5.2 Dose Range Finding (DRF) Simulator</w:t>
      </w:r>
    </w:p>
    <w:p>
      <w:pPr>
        <w:spacing w:after="160" w:line="276"/>
      </w:pPr>
      <w:r>
        <w:rPr>
          <w:rFonts w:ascii="Arial" w:cs="Arial" w:eastAsia="Arial" w:hAnsi="Arial"/>
          <w:color w:val="2C3E50"/>
          <w:sz w:val="22"/>
          <w:szCs w:val="22"/>
        </w:rPr>
        <w:t xml:space="preserve">Before GLP toxicology studies, DRF studies identify appropriate dose levels. The simulator predicts dose-response relationships using PBPK outputs and historical data, reducing the need for preliminary animal studies.</w:t>
      </w:r>
    </w:p>
    <w:p>
      <w:pPr>
        <w:pStyle w:val="ListParagraph"/>
        <w:numPr>
          <w:ilvl w:val="0"/>
          <w:numId w:val="2"/>
        </w:numPr>
        <w:spacing w:after="80" w:line="276"/>
      </w:pPr>
      <w:r>
        <w:rPr>
          <w:rFonts w:ascii="Arial" w:cs="Arial" w:eastAsia="Arial" w:hAnsi="Arial"/>
          <w:b/>
          <w:bCs/>
          <w:color w:val="2C3E50"/>
          <w:sz w:val="22"/>
          <w:szCs w:val="22"/>
        </w:rPr>
        <w:t xml:space="preserve">Starting dose estimation: </w:t>
      </w:r>
      <w:r>
        <w:rPr>
          <w:rFonts w:ascii="Arial" w:cs="Arial" w:eastAsia="Arial" w:hAnsi="Arial"/>
          <w:color w:val="2C3E50"/>
          <w:sz w:val="22"/>
          <w:szCs w:val="22"/>
        </w:rPr>
        <w:t xml:space="preserve">Based on in-vitro IC50/EC50, PBPK-predicted exposures, and allometric scaling</w:t>
      </w:r>
    </w:p>
    <w:p>
      <w:pPr>
        <w:pStyle w:val="ListParagraph"/>
        <w:numPr>
          <w:ilvl w:val="0"/>
          <w:numId w:val="2"/>
        </w:numPr>
        <w:spacing w:after="80" w:line="276"/>
      </w:pPr>
      <w:r>
        <w:rPr>
          <w:rFonts w:ascii="Arial" w:cs="Arial" w:eastAsia="Arial" w:hAnsi="Arial"/>
          <w:b/>
          <w:bCs/>
          <w:color w:val="2C3E50"/>
          <w:sz w:val="22"/>
          <w:szCs w:val="22"/>
        </w:rPr>
        <w:t xml:space="preserve">Dose escalation modeling: </w:t>
      </w:r>
      <w:r>
        <w:rPr>
          <w:rFonts w:ascii="Arial" w:cs="Arial" w:eastAsia="Arial" w:hAnsi="Arial"/>
          <w:color w:val="2C3E50"/>
          <w:sz w:val="22"/>
          <w:szCs w:val="22"/>
        </w:rPr>
        <w:t xml:space="preserve">Simulates multiple dose levels with predicted exposure multiples and safety margins</w:t>
      </w:r>
    </w:p>
    <w:p>
      <w:pPr>
        <w:pStyle w:val="ListParagraph"/>
        <w:numPr>
          <w:ilvl w:val="0"/>
          <w:numId w:val="2"/>
        </w:numPr>
        <w:spacing w:after="80" w:line="276"/>
      </w:pPr>
      <w:r>
        <w:rPr>
          <w:rFonts w:ascii="Arial" w:cs="Arial" w:eastAsia="Arial" w:hAnsi="Arial"/>
          <w:b/>
          <w:bCs/>
          <w:color w:val="2C3E50"/>
          <w:sz w:val="22"/>
          <w:szCs w:val="22"/>
        </w:rPr>
        <w:t xml:space="preserve">MTD prediction: </w:t>
      </w:r>
      <w:r>
        <w:rPr>
          <w:rFonts w:ascii="Arial" w:cs="Arial" w:eastAsia="Arial" w:hAnsi="Arial"/>
          <w:color w:val="2C3E50"/>
          <w:sz w:val="22"/>
          <w:szCs w:val="22"/>
        </w:rPr>
        <w:t xml:space="preserve">Combines toxicity prediction engine outputs with PK exposure data to estimate maximum tolerated dose</w:t>
      </w:r>
    </w:p>
    <w:p>
      <w:pPr>
        <w:pStyle w:val="ListParagraph"/>
        <w:numPr>
          <w:ilvl w:val="0"/>
          <w:numId w:val="2"/>
        </w:numPr>
        <w:spacing w:after="80" w:line="276"/>
      </w:pPr>
      <w:r>
        <w:rPr>
          <w:rFonts w:ascii="Arial" w:cs="Arial" w:eastAsia="Arial" w:hAnsi="Arial"/>
          <w:b/>
          <w:bCs/>
          <w:color w:val="2C3E50"/>
          <w:sz w:val="22"/>
          <w:szCs w:val="22"/>
        </w:rPr>
        <w:t xml:space="preserve">First-in-human (FIH) dose projection: </w:t>
      </w:r>
      <w:r>
        <w:rPr>
          <w:rFonts w:ascii="Arial" w:cs="Arial" w:eastAsia="Arial" w:hAnsi="Arial"/>
          <w:color w:val="2C3E50"/>
          <w:sz w:val="22"/>
          <w:szCs w:val="22"/>
        </w:rPr>
        <w:t xml:space="preserve">Calculates human equivalent dose (HED) using FDA-approved allometric scaling factors and PBPK refinement</w:t>
      </w:r>
    </w:p>
    <w:p>
      <w:pPr>
        <w:pStyle w:val="Heading2"/>
        <w:spacing w:after="200" w:before="240"/>
      </w:pPr>
      <w:r>
        <w:rPr>
          <w:rFonts w:ascii="Arial" w:cs="Arial" w:eastAsia="Arial" w:hAnsi="Arial"/>
          <w:b/>
          <w:bCs/>
          <w:color w:val="1A5276"/>
          <w:sz w:val="30"/>
          <w:szCs w:val="30"/>
        </w:rPr>
        <w:t xml:space="preserve">5.3 Endpoint Optimization</w:t>
      </w:r>
    </w:p>
    <w:p>
      <w:pPr>
        <w:spacing w:after="160" w:line="276"/>
      </w:pPr>
      <w:r>
        <w:rPr>
          <w:rFonts w:ascii="Arial" w:cs="Arial" w:eastAsia="Arial" w:hAnsi="Arial"/>
          <w:color w:val="2C3E50"/>
          <w:sz w:val="22"/>
          <w:szCs w:val="22"/>
        </w:rPr>
        <w:t xml:space="preserve">The module recommends study endpoints based on the compound class, therapeutic area, and regulatory requirements. It cross-references ICH guidelines (S1–S10), FDA guidance documents, and historical submission data to ensure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Study Type</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Standard Endpoints</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AI-Enhanced Additions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Repeat-dose toxicity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Clinical signs, body weight, food consumption, clinical pathology, histopathology, organ weights</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Biomarker panels, recovery group design, satellite TK group sizing</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Safety pharmacology</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CNS (Irwin/FOB), cardiovascular (hERG, telemetry), respiratory</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In-silico hERG prediction, integrated CV risk score</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Genotoxicity</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Ames, in-vitro chromosomal aberration, in-vivo micronucleus</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Structural alert pre-screening, weight-of-evidence scoring</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ADME/PK</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Plasma PK, tissue distribution, mass balance, metabolite ID</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PBPK-guided sampling timepoints, minimum animal number optimization</w:t>
            </w:r>
          </w:p>
        </w:tc>
      </w:tr>
    </w:tbl>
    <w:p>
      <w:pPr>
        <w:spacing w:after="120"/>
      </w:pPr>
    </w:p>
    <w:p>
      <w:pPr>
        <w:pStyle w:val="Heading2"/>
        <w:spacing w:after="200" w:before="240"/>
      </w:pPr>
      <w:r>
        <w:rPr>
          <w:rFonts w:ascii="Arial" w:cs="Arial" w:eastAsia="Arial" w:hAnsi="Arial"/>
          <w:b/>
          <w:bCs/>
          <w:color w:val="1A5276"/>
          <w:sz w:val="30"/>
          <w:szCs w:val="30"/>
        </w:rPr>
        <w:t xml:space="preserve">5.4 Protocol Generation Engine</w:t>
      </w:r>
    </w:p>
    <w:p>
      <w:pPr>
        <w:spacing w:after="160" w:line="276"/>
      </w:pPr>
      <w:r>
        <w:rPr>
          <w:rFonts w:ascii="Arial" w:cs="Arial" w:eastAsia="Arial" w:hAnsi="Arial"/>
          <w:color w:val="2C3E50"/>
          <w:sz w:val="22"/>
          <w:szCs w:val="22"/>
        </w:rPr>
        <w:t xml:space="preserve">The protocol generation engine produces GLP-ready study protocols in standard regulatory format. It auto-populates study design parameters from simulation outputs and compliance requirements, and generates protocols as downloadable documents ready for CRO submission.</w:t>
      </w:r>
    </w:p>
    <w:p>
      <w:pPr>
        <w:pStyle w:val="ListParagraph"/>
        <w:numPr>
          <w:ilvl w:val="0"/>
          <w:numId w:val="2"/>
        </w:numPr>
        <w:spacing w:after="80" w:line="276"/>
      </w:pPr>
      <w:r>
        <w:rPr>
          <w:rFonts w:ascii="Arial" w:cs="Arial" w:eastAsia="Arial" w:hAnsi="Arial"/>
          <w:b/>
          <w:bCs/>
          <w:color w:val="2C3E50"/>
          <w:sz w:val="22"/>
          <w:szCs w:val="22"/>
        </w:rPr>
        <w:t xml:space="preserve">Automated sections: </w:t>
      </w:r>
      <w:r>
        <w:rPr>
          <w:rFonts w:ascii="Arial" w:cs="Arial" w:eastAsia="Arial" w:hAnsi="Arial"/>
          <w:color w:val="2C3E50"/>
          <w:sz w:val="22"/>
          <w:szCs w:val="22"/>
        </w:rPr>
        <w:t xml:space="preserve">Study objectives, test system, experimental design, dose administration, sample collection schedules, statistical analysis plan</w:t>
      </w:r>
    </w:p>
    <w:p>
      <w:pPr>
        <w:pStyle w:val="ListParagraph"/>
        <w:numPr>
          <w:ilvl w:val="0"/>
          <w:numId w:val="2"/>
        </w:numPr>
        <w:spacing w:after="80" w:line="276"/>
      </w:pPr>
      <w:r>
        <w:rPr>
          <w:rFonts w:ascii="Arial" w:cs="Arial" w:eastAsia="Arial" w:hAnsi="Arial"/>
          <w:b/>
          <w:bCs/>
          <w:color w:val="2C3E50"/>
          <w:sz w:val="22"/>
          <w:szCs w:val="22"/>
        </w:rPr>
        <w:t xml:space="preserve">CRO-ready format: </w:t>
      </w:r>
      <w:r>
        <w:rPr>
          <w:rFonts w:ascii="Arial" w:cs="Arial" w:eastAsia="Arial" w:hAnsi="Arial"/>
          <w:color w:val="2C3E50"/>
          <w:sz w:val="22"/>
          <w:szCs w:val="22"/>
        </w:rPr>
        <w:t xml:space="preserve">Output in Word/PDF format compatible with major CRO templates (Charles River, Covance/Labcorp, IITRI)</w:t>
      </w:r>
    </w:p>
    <w:p>
      <w:pPr>
        <w:pStyle w:val="ListParagraph"/>
        <w:numPr>
          <w:ilvl w:val="0"/>
          <w:numId w:val="2"/>
        </w:numPr>
        <w:spacing w:after="80" w:line="276"/>
      </w:pPr>
      <w:r>
        <w:rPr>
          <w:rFonts w:ascii="Arial" w:cs="Arial" w:eastAsia="Arial" w:hAnsi="Arial"/>
          <w:b/>
          <w:bCs/>
          <w:color w:val="2C3E50"/>
          <w:sz w:val="22"/>
          <w:szCs w:val="22"/>
        </w:rPr>
        <w:t xml:space="preserve">Version control: </w:t>
      </w:r>
      <w:r>
        <w:rPr>
          <w:rFonts w:ascii="Arial" w:cs="Arial" w:eastAsia="Arial" w:hAnsi="Arial"/>
          <w:color w:val="2C3E50"/>
          <w:sz w:val="22"/>
          <w:szCs w:val="22"/>
        </w:rPr>
        <w:t xml:space="preserve">Full audit trail of protocol changes with regulatory-compliant timestamps</w:t>
      </w:r>
    </w:p>
    <w:p>
      <w:r>
        <w:br w:type="page"/>
      </w:r>
    </w:p>
    <w:p>
      <w:pPr>
        <w:pStyle w:val="Heading1"/>
        <w:spacing w:after="200" w:before="360"/>
      </w:pPr>
      <w:r>
        <w:rPr>
          <w:rFonts w:ascii="Arial" w:cs="Arial" w:eastAsia="Arial" w:hAnsi="Arial"/>
          <w:b/>
          <w:bCs/>
          <w:color w:val="1A5276"/>
          <w:sz w:val="36"/>
          <w:szCs w:val="36"/>
        </w:rPr>
        <w:t xml:space="preserve">6. Pillar 3: Regulatory Compliance Navigator</w:t>
      </w:r>
    </w:p>
    <w:p>
      <w:pPr>
        <w:pStyle w:val="Heading2"/>
        <w:spacing w:after="200" w:before="240"/>
      </w:pPr>
      <w:r>
        <w:rPr>
          <w:rFonts w:ascii="Arial" w:cs="Arial" w:eastAsia="Arial" w:hAnsi="Arial"/>
          <w:b/>
          <w:bCs/>
          <w:color w:val="1A5276"/>
          <w:sz w:val="30"/>
          <w:szCs w:val="30"/>
        </w:rPr>
        <w:t xml:space="preserve">6.1 IND-Enabling Study Package Builder</w:t>
      </w:r>
    </w:p>
    <w:p>
      <w:pPr>
        <w:spacing w:after="160" w:line="276"/>
      </w:pPr>
      <w:r>
        <w:rPr>
          <w:rFonts w:ascii="Arial" w:cs="Arial" w:eastAsia="Arial" w:hAnsi="Arial"/>
          <w:color w:val="2C3E50"/>
          <w:sz w:val="22"/>
          <w:szCs w:val="22"/>
        </w:rPr>
        <w:t xml:space="preserve">The compliance navigator ensures that the complete preclinical package meets FDA (and optionally EMA) requirements for IND submission. It functions as an intelligent checklist that adapts based on drug type, therapeutic area, and chosen development strategy.</w:t>
      </w:r>
    </w:p>
    <w:p>
      <w:pPr>
        <w:pStyle w:val="Heading3"/>
        <w:spacing w:after="200" w:before="240"/>
      </w:pPr>
      <w:r>
        <w:rPr>
          <w:rFonts w:ascii="Arial" w:cs="Arial" w:eastAsia="Arial" w:hAnsi="Arial"/>
          <w:b/>
          <w:bCs/>
          <w:color w:val="1A5276"/>
          <w:sz w:val="26"/>
          <w:szCs w:val="26"/>
        </w:rPr>
        <w:t xml:space="preserve">6.1.1 IND Submission Requirements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3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Studies</w:t>
            </w:r>
          </w:p>
        </w:tc>
        <w:tc>
          <w:tcPr>
            <w:tcW w:type="dxa" w:w="37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Support</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Pharmacology</w:t>
            </w:r>
          </w:p>
        </w:tc>
        <w:tc>
          <w:tcPr>
            <w:tcW w:type="dxa" w:w="3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Primary PD, secondary PD, safety pharmacology</w:t>
            </w:r>
          </w:p>
        </w:tc>
        <w:tc>
          <w:tcPr>
            <w:tcW w:type="dxa" w:w="3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In-silico PD simulation, safety pharm prediction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Pharmacokinetics</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ADME, PK in relevant species, TK in tox species</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PBPK modeling, TK simulation, bioanalytical design</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Toxicology</w:t>
            </w:r>
          </w:p>
        </w:tc>
        <w:tc>
          <w:tcPr>
            <w:tcW w:type="dxa" w:w="3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Single-dose, repeat-dose (GLP), genotoxicity</w:t>
            </w:r>
          </w:p>
        </w:tc>
        <w:tc>
          <w:tcPr>
            <w:tcW w:type="dxa" w:w="3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Toxicity prediction, DRF simulation, protocol generation</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Special studies</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Immunotoxicity, phototoxicity, abuse liability (if applicable)</w:t>
            </w:r>
          </w:p>
        </w:tc>
        <w:tc>
          <w:tcPr>
            <w:tcW w:type="dxa" w:w="37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Risk-based triggering, study necessity assessment</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CMC integration</w:t>
            </w:r>
          </w:p>
        </w:tc>
        <w:tc>
          <w:tcPr>
            <w:tcW w:type="dxa" w:w="3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Formulation, stability, impurity qualification</w:t>
            </w:r>
          </w:p>
        </w:tc>
        <w:tc>
          <w:tcPr>
            <w:tcW w:type="dxa" w:w="37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Cross-reference with tox thresholds</w:t>
            </w:r>
          </w:p>
        </w:tc>
      </w:tr>
    </w:tbl>
    <w:p>
      <w:pPr>
        <w:spacing w:after="120"/>
      </w:pPr>
    </w:p>
    <w:p>
      <w:pPr>
        <w:pStyle w:val="Heading2"/>
        <w:spacing w:after="200" w:before="240"/>
      </w:pPr>
      <w:r>
        <w:rPr>
          <w:rFonts w:ascii="Arial" w:cs="Arial" w:eastAsia="Arial" w:hAnsi="Arial"/>
          <w:b/>
          <w:bCs/>
          <w:color w:val="1A5276"/>
          <w:sz w:val="30"/>
          <w:szCs w:val="30"/>
        </w:rPr>
        <w:t xml:space="preserve">6.2 NAM Integration Strategy Builder</w:t>
      </w:r>
    </w:p>
    <w:p>
      <w:pPr>
        <w:spacing w:after="160" w:line="276"/>
      </w:pPr>
      <w:r>
        <w:rPr>
          <w:rFonts w:ascii="Arial" w:cs="Arial" w:eastAsia="Arial" w:hAnsi="Arial"/>
          <w:color w:val="2C3E50"/>
          <w:sz w:val="22"/>
          <w:szCs w:val="22"/>
        </w:rPr>
        <w:t xml:space="preserve">With FDA Modernization Act 3.0 creating formal pathways for NAM qualification, the module helps users build hybrid preclinical packages that strategically incorporate non-animal methods alongside traditional studies.</w:t>
      </w:r>
    </w:p>
    <w:p>
      <w:pPr>
        <w:pStyle w:val="ListParagraph"/>
        <w:numPr>
          <w:ilvl w:val="0"/>
          <w:numId w:val="2"/>
        </w:numPr>
        <w:spacing w:after="80" w:line="276"/>
      </w:pPr>
      <w:r>
        <w:rPr>
          <w:rFonts w:ascii="Arial" w:cs="Arial" w:eastAsia="Arial" w:hAnsi="Arial"/>
          <w:b/>
          <w:bCs/>
          <w:color w:val="2C3E50"/>
          <w:sz w:val="22"/>
          <w:szCs w:val="22"/>
        </w:rPr>
        <w:t xml:space="preserve">NAM readiness assessment: </w:t>
      </w:r>
      <w:r>
        <w:rPr>
          <w:rFonts w:ascii="Arial" w:cs="Arial" w:eastAsia="Arial" w:hAnsi="Arial"/>
          <w:color w:val="2C3E50"/>
          <w:sz w:val="22"/>
          <w:szCs w:val="22"/>
        </w:rPr>
        <w:t xml:space="preserve">Evaluates which elements of the preclinical package are eligible for NAM substitution based on current FDA guidance</w:t>
      </w:r>
    </w:p>
    <w:p>
      <w:pPr>
        <w:pStyle w:val="ListParagraph"/>
        <w:numPr>
          <w:ilvl w:val="0"/>
          <w:numId w:val="2"/>
        </w:numPr>
        <w:spacing w:after="80" w:line="276"/>
      </w:pPr>
      <w:r>
        <w:rPr>
          <w:rFonts w:ascii="Arial" w:cs="Arial" w:eastAsia="Arial" w:hAnsi="Arial"/>
          <w:b/>
          <w:bCs/>
          <w:color w:val="2C3E50"/>
          <w:sz w:val="22"/>
          <w:szCs w:val="22"/>
        </w:rPr>
        <w:t xml:space="preserve">Evidence weight calculator: </w:t>
      </w:r>
      <w:r>
        <w:rPr>
          <w:rFonts w:ascii="Arial" w:cs="Arial" w:eastAsia="Arial" w:hAnsi="Arial"/>
          <w:color w:val="2C3E50"/>
          <w:sz w:val="22"/>
          <w:szCs w:val="22"/>
        </w:rPr>
        <w:t xml:space="preserve">Scores the regulatory acceptability of in-silico, in-vitro, and in-vivo data for each study type</w:t>
      </w:r>
    </w:p>
    <w:p>
      <w:pPr>
        <w:pStyle w:val="ListParagraph"/>
        <w:numPr>
          <w:ilvl w:val="0"/>
          <w:numId w:val="2"/>
        </w:numPr>
        <w:spacing w:after="80" w:line="276"/>
      </w:pPr>
      <w:r>
        <w:rPr>
          <w:rFonts w:ascii="Arial" w:cs="Arial" w:eastAsia="Arial" w:hAnsi="Arial"/>
          <w:b/>
          <w:bCs/>
          <w:color w:val="2C3E50"/>
          <w:sz w:val="22"/>
          <w:szCs w:val="22"/>
        </w:rPr>
        <w:t xml:space="preserve">Hybrid package designer: </w:t>
      </w:r>
      <w:r>
        <w:rPr>
          <w:rFonts w:ascii="Arial" w:cs="Arial" w:eastAsia="Arial" w:hAnsi="Arial"/>
          <w:color w:val="2C3E50"/>
          <w:sz w:val="22"/>
          <w:szCs w:val="22"/>
        </w:rPr>
        <w:t xml:space="preserve">Generates a recommended mix of traditional animal studies and NAMs that maximizes regulatory acceptance while minimizing animal use</w:t>
      </w:r>
    </w:p>
    <w:p>
      <w:pPr>
        <w:pStyle w:val="ListParagraph"/>
        <w:numPr>
          <w:ilvl w:val="0"/>
          <w:numId w:val="2"/>
        </w:numPr>
        <w:spacing w:after="80" w:line="276"/>
      </w:pPr>
      <w:r>
        <w:rPr>
          <w:rFonts w:ascii="Arial" w:cs="Arial" w:eastAsia="Arial" w:hAnsi="Arial"/>
          <w:b/>
          <w:bCs/>
          <w:color w:val="2C3E50"/>
          <w:sz w:val="22"/>
          <w:szCs w:val="22"/>
        </w:rPr>
        <w:t xml:space="preserve">Pre-IND meeting prep: </w:t>
      </w:r>
      <w:r>
        <w:rPr>
          <w:rFonts w:ascii="Arial" w:cs="Arial" w:eastAsia="Arial" w:hAnsi="Arial"/>
          <w:color w:val="2C3E50"/>
          <w:sz w:val="22"/>
          <w:szCs w:val="22"/>
        </w:rPr>
        <w:t xml:space="preserve">Auto-generates briefing documents for FDA Type B pre-IND meetings, including proposed NAM rationale</w:t>
      </w:r>
    </w:p>
    <w:p>
      <w:pPr>
        <w:pStyle w:val="Heading2"/>
        <w:spacing w:after="200" w:before="240"/>
      </w:pPr>
      <w:r>
        <w:rPr>
          <w:rFonts w:ascii="Arial" w:cs="Arial" w:eastAsia="Arial" w:hAnsi="Arial"/>
          <w:b/>
          <w:bCs/>
          <w:color w:val="1A5276"/>
          <w:sz w:val="30"/>
          <w:szCs w:val="30"/>
        </w:rPr>
        <w:t xml:space="preserve">6.3 GLP Compliance Engine</w:t>
      </w:r>
    </w:p>
    <w:p>
      <w:pPr>
        <w:spacing w:after="160" w:line="276"/>
      </w:pPr>
      <w:r>
        <w:rPr>
          <w:rFonts w:ascii="Arial" w:cs="Arial" w:eastAsia="Arial" w:hAnsi="Arial"/>
          <w:color w:val="2C3E50"/>
          <w:sz w:val="22"/>
          <w:szCs w:val="22"/>
        </w:rPr>
        <w:t xml:space="preserve">For studies that require GLP compliance (21 CFR Part 58), the module provides built-in compliance checking across study protocols, ensuring all required elements are present before CRO handoff.</w:t>
      </w:r>
    </w:p>
    <w:p>
      <w:pPr>
        <w:pStyle w:val="ListParagraph"/>
        <w:numPr>
          <w:ilvl w:val="0"/>
          <w:numId w:val="2"/>
        </w:numPr>
        <w:spacing w:after="80" w:line="276"/>
      </w:pPr>
      <w:r>
        <w:rPr>
          <w:rFonts w:ascii="Arial" w:cs="Arial" w:eastAsia="Arial" w:hAnsi="Arial"/>
          <w:b/>
          <w:bCs/>
          <w:color w:val="2C3E50"/>
          <w:sz w:val="22"/>
          <w:szCs w:val="22"/>
        </w:rPr>
        <w:t xml:space="preserve">Protocol compliance review: </w:t>
      </w:r>
      <w:r>
        <w:rPr>
          <w:rFonts w:ascii="Arial" w:cs="Arial" w:eastAsia="Arial" w:hAnsi="Arial"/>
          <w:color w:val="2C3E50"/>
          <w:sz w:val="22"/>
          <w:szCs w:val="22"/>
        </w:rPr>
        <w:t xml:space="preserve">Automated check of 150+ GLP requirements against generated protocols</w:t>
      </w:r>
    </w:p>
    <w:p>
      <w:pPr>
        <w:pStyle w:val="ListParagraph"/>
        <w:numPr>
          <w:ilvl w:val="0"/>
          <w:numId w:val="2"/>
        </w:numPr>
        <w:spacing w:after="80" w:line="276"/>
      </w:pPr>
      <w:r>
        <w:rPr>
          <w:rFonts w:ascii="Arial" w:cs="Arial" w:eastAsia="Arial" w:hAnsi="Arial"/>
          <w:b/>
          <w:bCs/>
          <w:color w:val="2C3E50"/>
          <w:sz w:val="22"/>
          <w:szCs w:val="22"/>
        </w:rPr>
        <w:t xml:space="preserve">Audit trail generation: </w:t>
      </w:r>
      <w:r>
        <w:rPr>
          <w:rFonts w:ascii="Arial" w:cs="Arial" w:eastAsia="Arial" w:hAnsi="Arial"/>
          <w:color w:val="2C3E50"/>
          <w:sz w:val="22"/>
          <w:szCs w:val="22"/>
        </w:rPr>
        <w:t xml:space="preserve">System-generated audit trails meeting 21 CFR Part 11 electronic records requirements</w:t>
      </w:r>
    </w:p>
    <w:p>
      <w:pPr>
        <w:pStyle w:val="ListParagraph"/>
        <w:numPr>
          <w:ilvl w:val="0"/>
          <w:numId w:val="2"/>
        </w:numPr>
        <w:spacing w:after="80" w:line="276"/>
      </w:pPr>
      <w:r>
        <w:rPr>
          <w:rFonts w:ascii="Arial" w:cs="Arial" w:eastAsia="Arial" w:hAnsi="Arial"/>
          <w:b/>
          <w:bCs/>
          <w:color w:val="2C3E50"/>
          <w:sz w:val="22"/>
          <w:szCs w:val="22"/>
        </w:rPr>
        <w:t xml:space="preserve">Deviation tracking: </w:t>
      </w:r>
      <w:r>
        <w:rPr>
          <w:rFonts w:ascii="Arial" w:cs="Arial" w:eastAsia="Arial" w:hAnsi="Arial"/>
          <w:color w:val="2C3E50"/>
          <w:sz w:val="22"/>
          <w:szCs w:val="22"/>
        </w:rPr>
        <w:t xml:space="preserve">Protocol deviation identification and impact assessment during simulated study execution</w:t>
      </w:r>
    </w:p>
    <w:p>
      <w:pPr>
        <w:pStyle w:val="ListParagraph"/>
        <w:numPr>
          <w:ilvl w:val="0"/>
          <w:numId w:val="2"/>
        </w:numPr>
        <w:spacing w:after="80" w:line="276"/>
      </w:pPr>
      <w:r>
        <w:rPr>
          <w:rFonts w:ascii="Arial" w:cs="Arial" w:eastAsia="Arial" w:hAnsi="Arial"/>
          <w:b/>
          <w:bCs/>
          <w:color w:val="2C3E50"/>
          <w:sz w:val="22"/>
          <w:szCs w:val="22"/>
        </w:rPr>
        <w:t xml:space="preserve">Report templates: </w:t>
      </w:r>
      <w:r>
        <w:rPr>
          <w:rFonts w:ascii="Arial" w:cs="Arial" w:eastAsia="Arial" w:hAnsi="Arial"/>
          <w:color w:val="2C3E50"/>
          <w:sz w:val="22"/>
          <w:szCs w:val="22"/>
        </w:rPr>
        <w:t xml:space="preserve">GLP-compliant study report templates with auto-populated data tables</w:t>
      </w:r>
    </w:p>
    <w:p>
      <w:pPr>
        <w:pStyle w:val="Heading2"/>
        <w:spacing w:after="200" w:before="240"/>
      </w:pPr>
      <w:r>
        <w:rPr>
          <w:rFonts w:ascii="Arial" w:cs="Arial" w:eastAsia="Arial" w:hAnsi="Arial"/>
          <w:b/>
          <w:bCs/>
          <w:color w:val="1A5276"/>
          <w:sz w:val="30"/>
          <w:szCs w:val="30"/>
        </w:rPr>
        <w:t xml:space="preserve">6.4 Multi-Jurisdiction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Jurisdiction</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Framework</w:t>
            </w:r>
          </w:p>
        </w:tc>
        <w:tc>
          <w:tcPr>
            <w:tcW w:type="dxa" w:w="351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 Coverage</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FDA (United States)</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21 CFR 312, ICH M3/S1–S10, FDA Mod Act 2.0/3.0</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Full support including NAM pathway guidance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EMA (European Union)</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ICH guidelines, EMA reflection papers</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Core support with EU-specific annotations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PMDA (Japan)</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ICH harmonized + PMDA-specific requirements</w:t>
            </w:r>
          </w:p>
        </w:tc>
        <w:tc>
          <w:tcPr>
            <w:tcW w:type="dxa" w:w="351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Planned for v2.0</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NMPA (China)</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ICH + NMPA technical guidelines</w:t>
            </w:r>
          </w:p>
        </w:tc>
        <w:tc>
          <w:tcPr>
            <w:tcW w:type="dxa" w:w="351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Planned for v2.0</w:t>
            </w:r>
          </w:p>
        </w:tc>
      </w:tr>
    </w:tbl>
    <w:p>
      <w:r>
        <w:br w:type="page"/>
      </w:r>
    </w:p>
    <w:p>
      <w:pPr>
        <w:pStyle w:val="Heading1"/>
        <w:spacing w:after="200" w:before="360"/>
      </w:pPr>
      <w:r>
        <w:rPr>
          <w:rFonts w:ascii="Arial" w:cs="Arial" w:eastAsia="Arial" w:hAnsi="Arial"/>
          <w:b/>
          <w:bCs/>
          <w:color w:val="1A5276"/>
          <w:sz w:val="36"/>
          <w:szCs w:val="36"/>
        </w:rPr>
        <w:t xml:space="preserve">7. User Experience &amp; Workflows</w:t>
      </w:r>
    </w:p>
    <w:p>
      <w:pPr>
        <w:pStyle w:val="Heading2"/>
        <w:spacing w:after="200" w:before="240"/>
      </w:pPr>
      <w:r>
        <w:rPr>
          <w:rFonts w:ascii="Arial" w:cs="Arial" w:eastAsia="Arial" w:hAnsi="Arial"/>
          <w:b/>
          <w:bCs/>
          <w:color w:val="1A5276"/>
          <w:sz w:val="30"/>
          <w:szCs w:val="30"/>
        </w:rPr>
        <w:t xml:space="preserve">7.1 Primary Workflow: Molecule-to-IND</w:t>
      </w:r>
    </w:p>
    <w:p>
      <w:pPr>
        <w:spacing w:after="160" w:line="276"/>
      </w:pPr>
      <w:r>
        <w:rPr>
          <w:rFonts w:ascii="Arial" w:cs="Arial" w:eastAsia="Arial" w:hAnsi="Arial"/>
          <w:color w:val="2C3E50"/>
          <w:sz w:val="22"/>
          <w:szCs w:val="22"/>
        </w:rPr>
        <w:t xml:space="preserve">The module guides users through a structured workflow from compound selection to IND-ready preclinical package:</w:t>
      </w:r>
    </w:p>
    <w:p>
      <w:pPr>
        <w:pStyle w:val="ListParagraph"/>
        <w:numPr>
          <w:ilvl w:val="0"/>
          <w:numId w:val="4"/>
        </w:numPr>
        <w:spacing w:after="80" w:line="276"/>
      </w:pPr>
      <w:r>
        <w:rPr>
          <w:rFonts w:ascii="Arial" w:cs="Arial" w:eastAsia="Arial" w:hAnsi="Arial"/>
          <w:b/>
          <w:bCs/>
          <w:color w:val="2C3E50"/>
          <w:sz w:val="22"/>
          <w:szCs w:val="22"/>
        </w:rPr>
        <w:t xml:space="preserve">Step 1 — Compound Input: </w:t>
      </w:r>
      <w:r>
        <w:rPr>
          <w:rFonts w:ascii="Arial" w:cs="Arial" w:eastAsia="Arial" w:hAnsi="Arial"/>
          <w:color w:val="2C3E50"/>
          <w:sz w:val="22"/>
          <w:szCs w:val="22"/>
        </w:rPr>
        <w:t xml:space="preserve">User uploads molecular structure (SMILES, SDF, or MOL file) and provides target/indication information</w:t>
      </w:r>
    </w:p>
    <w:p>
      <w:pPr>
        <w:pStyle w:val="ListParagraph"/>
        <w:numPr>
          <w:ilvl w:val="0"/>
          <w:numId w:val="4"/>
        </w:numPr>
        <w:spacing w:after="80" w:line="276"/>
      </w:pPr>
      <w:r>
        <w:rPr>
          <w:rFonts w:ascii="Arial" w:cs="Arial" w:eastAsia="Arial" w:hAnsi="Arial"/>
          <w:b/>
          <w:bCs/>
          <w:color w:val="2C3E50"/>
          <w:sz w:val="22"/>
          <w:szCs w:val="22"/>
        </w:rPr>
        <w:t xml:space="preserve">Step 2 — In-Silico Screening: </w:t>
      </w:r>
      <w:r>
        <w:rPr>
          <w:rFonts w:ascii="Arial" w:cs="Arial" w:eastAsia="Arial" w:hAnsi="Arial"/>
          <w:color w:val="2C3E50"/>
          <w:sz w:val="22"/>
          <w:szCs w:val="22"/>
        </w:rPr>
        <w:t xml:space="preserve">Automated toxicity prediction, ADME profiling, and preliminary PK simulation across candidate species</w:t>
      </w:r>
    </w:p>
    <w:p>
      <w:pPr>
        <w:pStyle w:val="ListParagraph"/>
        <w:numPr>
          <w:ilvl w:val="0"/>
          <w:numId w:val="4"/>
        </w:numPr>
        <w:spacing w:after="80" w:line="276"/>
      </w:pPr>
      <w:r>
        <w:rPr>
          <w:rFonts w:ascii="Arial" w:cs="Arial" w:eastAsia="Arial" w:hAnsi="Arial"/>
          <w:b/>
          <w:bCs/>
          <w:color w:val="2C3E50"/>
          <w:sz w:val="22"/>
          <w:szCs w:val="22"/>
        </w:rPr>
        <w:t xml:space="preserve">Step 3 — Species &amp; Dose Recommendation: </w:t>
      </w:r>
      <w:r>
        <w:rPr>
          <w:rFonts w:ascii="Arial" w:cs="Arial" w:eastAsia="Arial" w:hAnsi="Arial"/>
          <w:color w:val="2C3E50"/>
          <w:sz w:val="22"/>
          <w:szCs w:val="22"/>
        </w:rPr>
        <w:t xml:space="preserve">AI recommends species pairs, dose ranges, and study designs with confidence scores and regulatory justification</w:t>
      </w:r>
    </w:p>
    <w:p>
      <w:pPr>
        <w:pStyle w:val="ListParagraph"/>
        <w:numPr>
          <w:ilvl w:val="0"/>
          <w:numId w:val="4"/>
        </w:numPr>
        <w:spacing w:after="80" w:line="276"/>
      </w:pPr>
      <w:r>
        <w:rPr>
          <w:rFonts w:ascii="Arial" w:cs="Arial" w:eastAsia="Arial" w:hAnsi="Arial"/>
          <w:b/>
          <w:bCs/>
          <w:color w:val="2C3E50"/>
          <w:sz w:val="22"/>
          <w:szCs w:val="22"/>
        </w:rPr>
        <w:t xml:space="preserve">Step 4 — Study Protocol Generation: </w:t>
      </w:r>
      <w:r>
        <w:rPr>
          <w:rFonts w:ascii="Arial" w:cs="Arial" w:eastAsia="Arial" w:hAnsi="Arial"/>
          <w:color w:val="2C3E50"/>
          <w:sz w:val="22"/>
          <w:szCs w:val="22"/>
        </w:rPr>
        <w:t xml:space="preserve">Generates complete study protocols (DRF, GLP repeat-dose, safety pharmacology, genotoxicity) with timeline and cost estimates</w:t>
      </w:r>
    </w:p>
    <w:p>
      <w:pPr>
        <w:pStyle w:val="ListParagraph"/>
        <w:numPr>
          <w:ilvl w:val="0"/>
          <w:numId w:val="4"/>
        </w:numPr>
        <w:spacing w:after="80" w:line="276"/>
      </w:pPr>
      <w:r>
        <w:rPr>
          <w:rFonts w:ascii="Arial" w:cs="Arial" w:eastAsia="Arial" w:hAnsi="Arial"/>
          <w:b/>
          <w:bCs/>
          <w:color w:val="2C3E50"/>
          <w:sz w:val="22"/>
          <w:szCs w:val="22"/>
        </w:rPr>
        <w:t xml:space="preserve">Step 5 — NAM Integration Assessment: </w:t>
      </w:r>
      <w:r>
        <w:rPr>
          <w:rFonts w:ascii="Arial" w:cs="Arial" w:eastAsia="Arial" w:hAnsi="Arial"/>
          <w:color w:val="2C3E50"/>
          <w:sz w:val="22"/>
          <w:szCs w:val="22"/>
        </w:rPr>
        <w:t xml:space="preserve">Identifies opportunities to substitute or supplement animal studies with validated NAMs</w:t>
      </w:r>
    </w:p>
    <w:p>
      <w:pPr>
        <w:pStyle w:val="ListParagraph"/>
        <w:numPr>
          <w:ilvl w:val="0"/>
          <w:numId w:val="4"/>
        </w:numPr>
        <w:spacing w:after="80" w:line="276"/>
      </w:pPr>
      <w:r>
        <w:rPr>
          <w:rFonts w:ascii="Arial" w:cs="Arial" w:eastAsia="Arial" w:hAnsi="Arial"/>
          <w:b/>
          <w:bCs/>
          <w:color w:val="2C3E50"/>
          <w:sz w:val="22"/>
          <w:szCs w:val="22"/>
        </w:rPr>
        <w:t xml:space="preserve">Step 6 — Compliance Review: </w:t>
      </w:r>
      <w:r>
        <w:rPr>
          <w:rFonts w:ascii="Arial" w:cs="Arial" w:eastAsia="Arial" w:hAnsi="Arial"/>
          <w:color w:val="2C3E50"/>
          <w:sz w:val="22"/>
          <w:szCs w:val="22"/>
        </w:rPr>
        <w:t xml:space="preserve">Automated IND requirements check with gap analysis and remediation recommendations</w:t>
      </w:r>
    </w:p>
    <w:p>
      <w:pPr>
        <w:pStyle w:val="ListParagraph"/>
        <w:numPr>
          <w:ilvl w:val="0"/>
          <w:numId w:val="4"/>
        </w:numPr>
        <w:spacing w:after="80" w:line="276"/>
      </w:pPr>
      <w:r>
        <w:rPr>
          <w:rFonts w:ascii="Arial" w:cs="Arial" w:eastAsia="Arial" w:hAnsi="Arial"/>
          <w:b/>
          <w:bCs/>
          <w:color w:val="2C3E50"/>
          <w:sz w:val="22"/>
          <w:szCs w:val="22"/>
        </w:rPr>
        <w:t xml:space="preserve">Step 7 — Package Export: </w:t>
      </w:r>
      <w:r>
        <w:rPr>
          <w:rFonts w:ascii="Arial" w:cs="Arial" w:eastAsia="Arial" w:hAnsi="Arial"/>
          <w:color w:val="2C3E50"/>
          <w:sz w:val="22"/>
          <w:szCs w:val="22"/>
        </w:rPr>
        <w:t xml:space="preserve">Exports complete preclinical package as structured documents ready for regulatory submission or CRO handoff</w:t>
      </w:r>
    </w:p>
    <w:p>
      <w:pPr>
        <w:pStyle w:val="Heading2"/>
        <w:spacing w:after="200" w:before="240"/>
      </w:pPr>
      <w:r>
        <w:rPr>
          <w:rFonts w:ascii="Arial" w:cs="Arial" w:eastAsia="Arial" w:hAnsi="Arial"/>
          <w:b/>
          <w:bCs/>
          <w:color w:val="1A5276"/>
          <w:sz w:val="30"/>
          <w:szCs w:val="30"/>
        </w:rPr>
        <w:t xml:space="preserve">7.2 Dashboard Views</w:t>
      </w:r>
    </w:p>
    <w:p>
      <w:pPr>
        <w:pStyle w:val="ListParagraph"/>
        <w:numPr>
          <w:ilvl w:val="0"/>
          <w:numId w:val="5"/>
        </w:numPr>
        <w:spacing w:after="80" w:line="276"/>
      </w:pPr>
      <w:r>
        <w:rPr>
          <w:rFonts w:ascii="Arial" w:cs="Arial" w:eastAsia="Arial" w:hAnsi="Arial"/>
          <w:b/>
          <w:bCs/>
          <w:color w:val="2C3E50"/>
          <w:sz w:val="22"/>
          <w:szCs w:val="22"/>
        </w:rPr>
        <w:t xml:space="preserve">Simulation Dashboard: </w:t>
      </w:r>
      <w:r>
        <w:rPr>
          <w:rFonts w:ascii="Arial" w:cs="Arial" w:eastAsia="Arial" w:hAnsi="Arial"/>
          <w:color w:val="2C3E50"/>
          <w:sz w:val="22"/>
          <w:szCs w:val="22"/>
        </w:rPr>
        <w:t xml:space="preserve">Real-time PK curves, toxicity heatmaps, and dose-response visualizations with interactive parameter adjustment</w:t>
      </w:r>
    </w:p>
    <w:p>
      <w:pPr>
        <w:pStyle w:val="ListParagraph"/>
        <w:numPr>
          <w:ilvl w:val="0"/>
          <w:numId w:val="5"/>
        </w:numPr>
        <w:spacing w:after="80" w:line="276"/>
      </w:pPr>
      <w:r>
        <w:rPr>
          <w:rFonts w:ascii="Arial" w:cs="Arial" w:eastAsia="Arial" w:hAnsi="Arial"/>
          <w:b/>
          <w:bCs/>
          <w:color w:val="2C3E50"/>
          <w:sz w:val="22"/>
          <w:szCs w:val="22"/>
        </w:rPr>
        <w:t xml:space="preserve">Study Design Dashboard: </w:t>
      </w:r>
      <w:r>
        <w:rPr>
          <w:rFonts w:ascii="Arial" w:cs="Arial" w:eastAsia="Arial" w:hAnsi="Arial"/>
          <w:color w:val="2C3E50"/>
          <w:sz w:val="22"/>
          <w:szCs w:val="22"/>
        </w:rPr>
        <w:t xml:space="preserve">Protocol status tracker, timeline Gantt chart, cost estimator, and CRO comparison tool</w:t>
      </w:r>
    </w:p>
    <w:p>
      <w:pPr>
        <w:pStyle w:val="ListParagraph"/>
        <w:numPr>
          <w:ilvl w:val="0"/>
          <w:numId w:val="5"/>
        </w:numPr>
        <w:spacing w:after="80" w:line="276"/>
      </w:pPr>
      <w:r>
        <w:rPr>
          <w:rFonts w:ascii="Arial" w:cs="Arial" w:eastAsia="Arial" w:hAnsi="Arial"/>
          <w:b/>
          <w:bCs/>
          <w:color w:val="2C3E50"/>
          <w:sz w:val="22"/>
          <w:szCs w:val="22"/>
        </w:rPr>
        <w:t xml:space="preserve">Compliance Dashboard: </w:t>
      </w:r>
      <w:r>
        <w:rPr>
          <w:rFonts w:ascii="Arial" w:cs="Arial" w:eastAsia="Arial" w:hAnsi="Arial"/>
          <w:color w:val="2C3E50"/>
          <w:sz w:val="22"/>
          <w:szCs w:val="22"/>
        </w:rPr>
        <w:t xml:space="preserve">IND readiness score, requirement checklist with status indicators, gap analysis, and submission timeline</w:t>
      </w:r>
    </w:p>
    <w:p>
      <w:pPr>
        <w:pStyle w:val="ListParagraph"/>
        <w:numPr>
          <w:ilvl w:val="0"/>
          <w:numId w:val="5"/>
        </w:numPr>
        <w:spacing w:after="80" w:line="276"/>
      </w:pPr>
      <w:r>
        <w:rPr>
          <w:rFonts w:ascii="Arial" w:cs="Arial" w:eastAsia="Arial" w:hAnsi="Arial"/>
          <w:b/>
          <w:bCs/>
          <w:color w:val="2C3E50"/>
          <w:sz w:val="22"/>
          <w:szCs w:val="22"/>
        </w:rPr>
        <w:t xml:space="preserve">Portfolio View: </w:t>
      </w:r>
      <w:r>
        <w:rPr>
          <w:rFonts w:ascii="Arial" w:cs="Arial" w:eastAsia="Arial" w:hAnsi="Arial"/>
          <w:color w:val="2C3E50"/>
          <w:sz w:val="22"/>
          <w:szCs w:val="22"/>
        </w:rPr>
        <w:t xml:space="preserve">Multi-program overview showing preclinical status of all compounds in the pipeline</w:t>
      </w:r>
    </w:p>
    <w:p>
      <w:pPr>
        <w:pStyle w:val="Heading2"/>
        <w:spacing w:after="200" w:before="240"/>
      </w:pPr>
      <w:r>
        <w:rPr>
          <w:rFonts w:ascii="Arial" w:cs="Arial" w:eastAsia="Arial" w:hAnsi="Arial"/>
          <w:b/>
          <w:bCs/>
          <w:color w:val="1A5276"/>
          <w:sz w:val="30"/>
          <w:szCs w:val="30"/>
        </w:rPr>
        <w:t xml:space="preserve">7.3 Integration with Existing Hakase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Integration Point</w:t>
            </w:r>
          </w:p>
        </w:tc>
        <w:tc>
          <w:tcPr>
            <w:tcW w:type="dxa" w:w="234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Module</w:t>
            </w:r>
          </w:p>
        </w:tc>
        <w:tc>
          <w:tcPr>
            <w:tcW w:type="dxa" w:w="4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Flow</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Compound intelligence</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Clinical Module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Target validation data, literature analysis, competitive intelligence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Market context</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Commercial Module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Market size, competitive landscape, partnership opportunities</w:t>
            </w:r>
          </w:p>
        </w:tc>
      </w:tr>
      <w:tr>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Patient insights</w:t>
            </w:r>
          </w:p>
        </w:tc>
        <w:tc>
          <w:tcPr>
            <w:tcW w:type="dxa" w:w="234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Care Module</w:t>
            </w:r>
          </w:p>
        </w:tc>
        <w:tc>
          <w:tcPr>
            <w:tcW w:type="dxa" w:w="4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Real-world evidence, patient experience data for translational relevance</w:t>
            </w:r>
          </w:p>
        </w:tc>
      </w:tr>
      <w:tr>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Investor dashboard</w:t>
            </w:r>
          </w:p>
        </w:tc>
        <w:tc>
          <w:tcPr>
            <w:tcW w:type="dxa" w:w="234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Commercial Module</w:t>
            </w:r>
          </w:p>
        </w:tc>
        <w:tc>
          <w:tcPr>
            <w:tcW w:type="dxa" w:w="4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Preclinical milestone tracking, risk metrics for investor relations</w:t>
            </w:r>
          </w:p>
        </w:tc>
      </w:tr>
    </w:tbl>
    <w:p>
      <w:r>
        <w:br w:type="page"/>
      </w:r>
    </w:p>
    <w:p>
      <w:pPr>
        <w:pStyle w:val="Heading1"/>
        <w:spacing w:after="200" w:before="360"/>
      </w:pPr>
      <w:r>
        <w:rPr>
          <w:rFonts w:ascii="Arial" w:cs="Arial" w:eastAsia="Arial" w:hAnsi="Arial"/>
          <w:b/>
          <w:bCs/>
          <w:color w:val="1A5276"/>
          <w:sz w:val="36"/>
          <w:szCs w:val="36"/>
        </w:rPr>
        <w:t xml:space="preserve">8. Technical Requirements</w:t>
      </w:r>
    </w:p>
    <w:p>
      <w:pPr>
        <w:pStyle w:val="Heading2"/>
        <w:spacing w:after="200" w:before="240"/>
      </w:pPr>
      <w:r>
        <w:rPr>
          <w:rFonts w:ascii="Arial" w:cs="Arial" w:eastAsia="Arial" w:hAnsi="Arial"/>
          <w:b/>
          <w:bCs/>
          <w:color w:val="1A5276"/>
          <w:sz w:val="30"/>
          <w:szCs w:val="30"/>
        </w:rPr>
        <w:t xml:space="preserve">8.1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c>
          <w:tcPr>
            <w:tcW w:type="dxa" w:w="368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Compute</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GPU-accelerated (V100/A100)</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Required for PBPK Monte Carlo simulations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Storage</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Encrypted at rest (AES-256)</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Compound structures and simulation results</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API Layer</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RESTful + GraphQL</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Consistent with existing Hakase AI architecture</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Authentication</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OAuth 2.0 + RBAC</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Role-based access for regulatory-sensitive data</w:t>
            </w:r>
          </w:p>
        </w:tc>
      </w:tr>
      <w:tr>
        <w:tc>
          <w:tcPr>
            <w:tcW w:type="dxa" w:w="20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Compliance</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HIPAA, 21 CFR Part 11, SOC 2 Type II</w:t>
            </w:r>
          </w:p>
        </w:tc>
        <w:tc>
          <w:tcPr>
            <w:tcW w:type="dxa" w:w="368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Audit trails on all simulation parameters and outputs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Deployment</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Cloud-native (AWS/GCP) with on-prem option</w:t>
            </w:r>
          </w:p>
        </w:tc>
        <w:tc>
          <w:tcPr>
            <w:tcW w:type="dxa" w:w="368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Air-gapped deployment for sensitive IP</w:t>
            </w:r>
          </w:p>
        </w:tc>
      </w:tr>
    </w:tbl>
    <w:p>
      <w:pPr>
        <w:spacing w:after="120"/>
      </w:pPr>
    </w:p>
    <w:p>
      <w:pPr>
        <w:pStyle w:val="Heading2"/>
        <w:spacing w:after="200" w:before="240"/>
      </w:pPr>
      <w:r>
        <w:rPr>
          <w:rFonts w:ascii="Arial" w:cs="Arial" w:eastAsia="Arial" w:hAnsi="Arial"/>
          <w:b/>
          <w:bCs/>
          <w:color w:val="1A5276"/>
          <w:sz w:val="30"/>
          <w:szCs w:val="30"/>
        </w:rPr>
        <w:t xml:space="preserve">8.2 Data Pipeline</w:t>
      </w:r>
    </w:p>
    <w:p>
      <w:pPr>
        <w:pStyle w:val="ListParagraph"/>
        <w:numPr>
          <w:ilvl w:val="0"/>
          <w:numId w:val="2"/>
        </w:numPr>
        <w:spacing w:after="80" w:line="276"/>
      </w:pPr>
      <w:r>
        <w:rPr>
          <w:rFonts w:ascii="Arial" w:cs="Arial" w:eastAsia="Arial" w:hAnsi="Arial"/>
          <w:b/>
          <w:bCs/>
          <w:color w:val="2C3E50"/>
          <w:sz w:val="22"/>
          <w:szCs w:val="22"/>
        </w:rPr>
        <w:t xml:space="preserve">Ingestion: </w:t>
      </w:r>
      <w:r>
        <w:rPr>
          <w:rFonts w:ascii="Arial" w:cs="Arial" w:eastAsia="Arial" w:hAnsi="Arial"/>
          <w:color w:val="2C3E50"/>
          <w:sz w:val="22"/>
          <w:szCs w:val="22"/>
        </w:rPr>
        <w:t xml:space="preserve">Automated ETL pipelines for ToxCast, ChEMBL, PubChem, TOXRIC, and OECD QSAR Toolbox updates (weekly sync)</w:t>
      </w:r>
    </w:p>
    <w:p>
      <w:pPr>
        <w:pStyle w:val="ListParagraph"/>
        <w:numPr>
          <w:ilvl w:val="0"/>
          <w:numId w:val="2"/>
        </w:numPr>
        <w:spacing w:after="80" w:line="276"/>
      </w:pPr>
      <w:r>
        <w:rPr>
          <w:rFonts w:ascii="Arial" w:cs="Arial" w:eastAsia="Arial" w:hAnsi="Arial"/>
          <w:b/>
          <w:bCs/>
          <w:color w:val="2C3E50"/>
          <w:sz w:val="22"/>
          <w:szCs w:val="22"/>
        </w:rPr>
        <w:t xml:space="preserve">Processing: </w:t>
      </w:r>
      <w:r>
        <w:rPr>
          <w:rFonts w:ascii="Arial" w:cs="Arial" w:eastAsia="Arial" w:hAnsi="Arial"/>
          <w:color w:val="2C3E50"/>
          <w:sz w:val="22"/>
          <w:szCs w:val="22"/>
        </w:rPr>
        <w:t xml:space="preserve">Molecular descriptor calculation, QSAR model retraining, PBPK parameter database updates</w:t>
      </w:r>
    </w:p>
    <w:p>
      <w:pPr>
        <w:pStyle w:val="ListParagraph"/>
        <w:numPr>
          <w:ilvl w:val="0"/>
          <w:numId w:val="2"/>
        </w:numPr>
        <w:spacing w:after="80" w:line="276"/>
      </w:pPr>
      <w:r>
        <w:rPr>
          <w:rFonts w:ascii="Arial" w:cs="Arial" w:eastAsia="Arial" w:hAnsi="Arial"/>
          <w:b/>
          <w:bCs/>
          <w:color w:val="2C3E50"/>
          <w:sz w:val="22"/>
          <w:szCs w:val="22"/>
        </w:rPr>
        <w:t xml:space="preserve">Versioning: </w:t>
      </w:r>
      <w:r>
        <w:rPr>
          <w:rFonts w:ascii="Arial" w:cs="Arial" w:eastAsia="Arial" w:hAnsi="Arial"/>
          <w:color w:val="2C3E50"/>
          <w:sz w:val="22"/>
          <w:szCs w:val="22"/>
        </w:rPr>
        <w:t xml:space="preserve">All database snapshots version-controlled for regulatory reproducibility</w:t>
      </w:r>
    </w:p>
    <w:p>
      <w:pPr>
        <w:pStyle w:val="ListParagraph"/>
        <w:numPr>
          <w:ilvl w:val="0"/>
          <w:numId w:val="2"/>
        </w:numPr>
        <w:spacing w:after="80" w:line="276"/>
      </w:pPr>
      <w:r>
        <w:rPr>
          <w:rFonts w:ascii="Arial" w:cs="Arial" w:eastAsia="Arial" w:hAnsi="Arial"/>
          <w:b/>
          <w:bCs/>
          <w:color w:val="2C3E50"/>
          <w:sz w:val="22"/>
          <w:szCs w:val="22"/>
        </w:rPr>
        <w:t xml:space="preserve">Validation: </w:t>
      </w:r>
      <w:r>
        <w:rPr>
          <w:rFonts w:ascii="Arial" w:cs="Arial" w:eastAsia="Arial" w:hAnsi="Arial"/>
          <w:color w:val="2C3E50"/>
          <w:sz w:val="22"/>
          <w:szCs w:val="22"/>
        </w:rPr>
        <w:t xml:space="preserve">Automated data quality checks with anomaly detection on incoming data</w:t>
      </w:r>
    </w:p>
    <w:p>
      <w:pPr>
        <w:pStyle w:val="Heading2"/>
        <w:spacing w:after="200" w:before="240"/>
      </w:pPr>
      <w:r>
        <w:rPr>
          <w:rFonts w:ascii="Arial" w:cs="Arial" w:eastAsia="Arial" w:hAnsi="Arial"/>
          <w:b/>
          <w:bCs/>
          <w:color w:val="1A5276"/>
          <w:sz w:val="30"/>
          <w:szCs w:val="30"/>
        </w:rPr>
        <w:t xml:space="preserve">8.3 Security &amp; Privacy</w:t>
      </w:r>
    </w:p>
    <w:p>
      <w:pPr>
        <w:spacing w:after="160" w:line="276"/>
      </w:pPr>
      <w:r>
        <w:rPr>
          <w:rFonts w:ascii="Arial" w:cs="Arial" w:eastAsia="Arial" w:hAnsi="Arial"/>
          <w:color w:val="2C3E50"/>
          <w:sz w:val="22"/>
          <w:szCs w:val="22"/>
        </w:rPr>
        <w:t xml:space="preserve">All compound structures and simulation data are treated as trade secrets. The system implements zero-knowledge architecture where Hakase AI infrastructure never stores unencrypted compound identifiers. Multi-tenant isolation ensures no cross-contamination between client data environments.</w:t>
      </w:r>
    </w:p>
    <w:p>
      <w:r>
        <w:br w:type="page"/>
      </w:r>
    </w:p>
    <w:p>
      <w:pPr>
        <w:pStyle w:val="Heading1"/>
        <w:spacing w:after="200" w:before="360"/>
      </w:pPr>
      <w:r>
        <w:rPr>
          <w:rFonts w:ascii="Arial" w:cs="Arial" w:eastAsia="Arial" w:hAnsi="Arial"/>
          <w:b/>
          <w:bCs/>
          <w:color w:val="1A5276"/>
          <w:sz w:val="36"/>
          <w:szCs w:val="36"/>
        </w:rPr>
        <w:t xml:space="preserve">9.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rPr>
          <w:tblHeader/>
        </w:trPr>
        <w:tc>
          <w:tcPr>
            <w:tcW w:type="dxa" w:w="1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53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Deliverables</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Phase 1: Foundation</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Q2–Q3 2026</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PBPK engine (rat, dog, human), toxicity prediction (acute + organ), basic DRF simulator, IND checklist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Phase 2: Intelligence</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Q4 2026–Q1 2027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AI species selection, protocol generation, genotoxicity prediction, GLP compliance engine, NAM readiness assessment</w:t>
            </w:r>
          </w:p>
        </w:tc>
      </w:tr>
      <w:tr>
        <w:tc>
          <w:tcPr>
            <w:tcW w:type="dxa" w:w="1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Phase 3: Expansion</w:t>
            </w:r>
          </w:p>
        </w:tc>
        <w:tc>
          <w:tcPr>
            <w:tcW w:type="dxa" w:w="2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Q2–Q3 2027</w:t>
            </w:r>
          </w:p>
        </w:tc>
        <w:tc>
          <w:tcPr>
            <w:tcW w:type="dxa" w:w="53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Additional species (NHP, minipig, rabbit), full endpoint optimization, CRO integration, multi-jurisdiction support</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Phase 4: Advanced</w:t>
            </w:r>
          </w:p>
        </w:tc>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Q4 2027+</w:t>
            </w:r>
          </w:p>
        </w:tc>
        <w:tc>
          <w:tcPr>
            <w:tcW w:type="dxa" w:w="53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Digital twin integration, population PK simulation, automated regulatory writing, PMDA/NMPA support</w:t>
            </w:r>
          </w:p>
        </w:tc>
      </w:tr>
    </w:tbl>
    <w:p>
      <w:pPr>
        <w:spacing w:after="120"/>
      </w:pPr>
    </w:p>
    <w:p>
      <w:pPr>
        <w:pStyle w:val="Heading2"/>
        <w:spacing w:after="200" w:before="240"/>
      </w:pPr>
      <w:r>
        <w:rPr>
          <w:rFonts w:ascii="Arial" w:cs="Arial" w:eastAsia="Arial" w:hAnsi="Arial"/>
          <w:b/>
          <w:bCs/>
          <w:color w:val="1A5276"/>
          <w:sz w:val="30"/>
          <w:szCs w:val="30"/>
        </w:rPr>
        <w:t xml:space="preserve">9.1 Phase 1 MVP Scope</w:t>
      </w:r>
    </w:p>
    <w:p>
      <w:pPr>
        <w:spacing w:after="160" w:line="276"/>
      </w:pPr>
      <w:r>
        <w:rPr>
          <w:rFonts w:ascii="Arial" w:cs="Arial" w:eastAsia="Arial" w:hAnsi="Arial"/>
          <w:color w:val="2C3E50"/>
          <w:sz w:val="22"/>
          <w:szCs w:val="22"/>
        </w:rPr>
        <w:t xml:space="preserve">The minimum viable product focuses on the highest-impact capabilities for small biotechs preparing IND applications:</w:t>
      </w:r>
    </w:p>
    <w:p>
      <w:pPr>
        <w:pStyle w:val="ListParagraph"/>
        <w:numPr>
          <w:ilvl w:val="0"/>
          <w:numId w:val="2"/>
        </w:numPr>
        <w:spacing w:after="80" w:line="276"/>
      </w:pPr>
      <w:r>
        <w:rPr>
          <w:rFonts w:ascii="Arial" w:cs="Arial" w:eastAsia="Arial" w:hAnsi="Arial"/>
          <w:b/>
          <w:bCs/>
          <w:color w:val="2C3E50"/>
          <w:sz w:val="22"/>
          <w:szCs w:val="22"/>
        </w:rPr>
        <w:t xml:space="preserve">PBPK simulation for rat, dog, and human: </w:t>
      </w:r>
      <w:r>
        <w:rPr>
          <w:rFonts w:ascii="Arial" w:cs="Arial" w:eastAsia="Arial" w:hAnsi="Arial"/>
          <w:color w:val="2C3E50"/>
          <w:sz w:val="22"/>
          <w:szCs w:val="22"/>
        </w:rPr>
        <w:t xml:space="preserve">Core modeling engine with validated species parameters and allometric scaling</w:t>
      </w:r>
    </w:p>
    <w:p>
      <w:pPr>
        <w:pStyle w:val="ListParagraph"/>
        <w:numPr>
          <w:ilvl w:val="0"/>
          <w:numId w:val="2"/>
        </w:numPr>
        <w:spacing w:after="80" w:line="276"/>
      </w:pPr>
      <w:r>
        <w:rPr>
          <w:rFonts w:ascii="Arial" w:cs="Arial" w:eastAsia="Arial" w:hAnsi="Arial"/>
          <w:b/>
          <w:bCs/>
          <w:color w:val="2C3E50"/>
          <w:sz w:val="22"/>
          <w:szCs w:val="22"/>
        </w:rPr>
        <w:t xml:space="preserve">Acute and organ toxicity prediction: </w:t>
      </w:r>
      <w:r>
        <w:rPr>
          <w:rFonts w:ascii="Arial" w:cs="Arial" w:eastAsia="Arial" w:hAnsi="Arial"/>
          <w:color w:val="2C3E50"/>
          <w:sz w:val="22"/>
          <w:szCs w:val="22"/>
        </w:rPr>
        <w:t xml:space="preserve">Hepatotoxicity, cardiotoxicity, and nephrotoxicity from molecular structure</w:t>
      </w:r>
    </w:p>
    <w:p>
      <w:pPr>
        <w:pStyle w:val="ListParagraph"/>
        <w:numPr>
          <w:ilvl w:val="0"/>
          <w:numId w:val="2"/>
        </w:numPr>
        <w:spacing w:after="80" w:line="276"/>
      </w:pPr>
      <w:r>
        <w:rPr>
          <w:rFonts w:ascii="Arial" w:cs="Arial" w:eastAsia="Arial" w:hAnsi="Arial"/>
          <w:b/>
          <w:bCs/>
          <w:color w:val="2C3E50"/>
          <w:sz w:val="22"/>
          <w:szCs w:val="22"/>
        </w:rPr>
        <w:t xml:space="preserve">DRF dose range simulator: </w:t>
      </w:r>
      <w:r>
        <w:rPr>
          <w:rFonts w:ascii="Arial" w:cs="Arial" w:eastAsia="Arial" w:hAnsi="Arial"/>
          <w:color w:val="2C3E50"/>
          <w:sz w:val="22"/>
          <w:szCs w:val="22"/>
        </w:rPr>
        <w:t xml:space="preserve">Starting dose estimation and dose escalation modeling</w:t>
      </w:r>
    </w:p>
    <w:p>
      <w:pPr>
        <w:pStyle w:val="ListParagraph"/>
        <w:numPr>
          <w:ilvl w:val="0"/>
          <w:numId w:val="2"/>
        </w:numPr>
        <w:spacing w:after="80" w:line="276"/>
      </w:pPr>
      <w:r>
        <w:rPr>
          <w:rFonts w:ascii="Arial" w:cs="Arial" w:eastAsia="Arial" w:hAnsi="Arial"/>
          <w:b/>
          <w:bCs/>
          <w:color w:val="2C3E50"/>
          <w:sz w:val="22"/>
          <w:szCs w:val="22"/>
        </w:rPr>
        <w:t xml:space="preserve">IND requirements checklist: </w:t>
      </w:r>
      <w:r>
        <w:rPr>
          <w:rFonts w:ascii="Arial" w:cs="Arial" w:eastAsia="Arial" w:hAnsi="Arial"/>
          <w:color w:val="2C3E50"/>
          <w:sz w:val="22"/>
          <w:szCs w:val="22"/>
        </w:rPr>
        <w:t xml:space="preserve">Interactive checklist mapping preclinical data to FDA Module 2.4/2.6 requirements</w:t>
      </w:r>
    </w:p>
    <w:p>
      <w:pPr>
        <w:pStyle w:val="ListParagraph"/>
        <w:numPr>
          <w:ilvl w:val="0"/>
          <w:numId w:val="2"/>
        </w:numPr>
        <w:spacing w:after="80" w:line="276"/>
      </w:pPr>
      <w:r>
        <w:rPr>
          <w:rFonts w:ascii="Arial" w:cs="Arial" w:eastAsia="Arial" w:hAnsi="Arial"/>
          <w:b/>
          <w:bCs/>
          <w:color w:val="2C3E50"/>
          <w:sz w:val="22"/>
          <w:szCs w:val="22"/>
        </w:rPr>
        <w:t xml:space="preserve">Basic reporting: </w:t>
      </w:r>
      <w:r>
        <w:rPr>
          <w:rFonts w:ascii="Arial" w:cs="Arial" w:eastAsia="Arial" w:hAnsi="Arial"/>
          <w:color w:val="2C3E50"/>
          <w:sz w:val="22"/>
          <w:szCs w:val="22"/>
        </w:rPr>
        <w:t xml:space="preserve">PDF/DOCX export of simulation results and study designs</w:t>
      </w:r>
    </w:p>
    <w:p>
      <w:r>
        <w:br w:type="page"/>
      </w:r>
    </w:p>
    <w:p>
      <w:pPr>
        <w:pStyle w:val="Heading1"/>
        <w:spacing w:after="200" w:before="360"/>
      </w:pPr>
      <w:r>
        <w:rPr>
          <w:rFonts w:ascii="Arial" w:cs="Arial" w:eastAsia="Arial" w:hAnsi="Arial"/>
          <w:b/>
          <w:bCs/>
          <w:color w:val="1A5276"/>
          <w:sz w:val="36"/>
          <w:szCs w:val="36"/>
        </w:rPr>
        <w:t xml:space="preserve">10. Success Metrics &amp;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8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(Year 1)</w:t>
            </w:r>
          </w:p>
        </w:tc>
        <w:tc>
          <w:tcPr>
            <w:tcW w:type="dxa" w:w="37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 Method</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PBPK prediction accuracy vs. in-vivo</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≥75% within 2-fold of observed</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Validation against published PK data</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Toxicity prediction sensitivity</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≥80% for major organ toxicities</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Benchmarked against ToxCast reference compounds</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IND submission success rate (users)</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≥85% first-cycle acceptance</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User-reported outcomes tracking</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Time-to-IND reduction</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≥30% vs. user baseline</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Pre/post adoption comparison</w:t>
            </w:r>
          </w:p>
        </w:tc>
      </w:tr>
      <w:tr>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User adoption</w:t>
            </w:r>
          </w:p>
        </w:tc>
        <w:tc>
          <w:tcPr>
            <w:tcW w:type="dxa" w:w="28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50+ active biotech accounts in Year 1</w:t>
            </w:r>
          </w:p>
        </w:tc>
        <w:tc>
          <w:tcPr>
            <w:tcW w:type="dxa" w:w="37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Monthly active users</w:t>
            </w:r>
          </w:p>
        </w:tc>
      </w:tr>
      <w:tr>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NPS score</w:t>
            </w:r>
          </w:p>
        </w:tc>
        <w:tc>
          <w:tcPr>
            <w:tcW w:type="dxa" w:w="28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≥50</w:t>
            </w:r>
          </w:p>
        </w:tc>
        <w:tc>
          <w:tcPr>
            <w:tcW w:type="dxa" w:w="37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Quarterly user surveys</w:t>
            </w:r>
          </w:p>
        </w:tc>
      </w:tr>
    </w:tbl>
    <w:p>
      <w:pPr>
        <w:spacing w:after="120"/>
      </w:pPr>
    </w:p>
    <w:p>
      <w:pPr>
        <w:pStyle w:val="Heading1"/>
        <w:spacing w:after="200" w:before="360"/>
      </w:pPr>
      <w:r>
        <w:rPr>
          <w:rFonts w:ascii="Arial" w:cs="Arial" w:eastAsia="Arial" w:hAnsi="Arial"/>
          <w:b/>
          <w:bCs/>
          <w:color w:val="1A5276"/>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20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560"/>
            <w:tcBorders>
              <w:top w:val="single" w:color="BDC3C7" w:sz="1"/>
              <w:left w:val="single" w:color="BDC3C7" w:sz="1"/>
              <w:bottom w:val="single" w:color="BDC3C7" w:sz="1"/>
              <w:right w:val="single" w:color="BDC3C7"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Regulatory uncertainty around NAM acceptance</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5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Partner with FDA CDER for pilot program participation; design module to support hybrid (NAM + animal) packages</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Model prediction inaccuracy leading to safety issues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Critical</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Conservative safety margins; mandatory disclaimers; human expert review checkpoints; model validation against published data</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Competitor platforms with deeper PBPK engines</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5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Differentiate through integration (not standalone PBPK); focus on workflow, not just simulation</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Data quality in public toxicology databases</w:t>
            </w:r>
          </w:p>
        </w:tc>
        <w:tc>
          <w:tcPr>
            <w:tcW w:type="dxa" w:w="120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5560"/>
            <w:tcBorders>
              <w:top w:val="single" w:color="BDC3C7" w:sz="1"/>
              <w:left w:val="single" w:color="BDC3C7" w:sz="1"/>
              <w:bottom w:val="single" w:color="BDC3C7" w:sz="1"/>
              <w:right w:val="single" w:color="BDC3C7" w:sz="1"/>
            </w:tcBorders>
            <w:tcMar>
              <w:top w:type="dxa" w:w="80"/>
              <w:left w:type="dxa" w:w="120"/>
              <w:bottom w:type="dxa" w:w="80"/>
              <w:right w:type="dxa" w:w="120"/>
            </w:tcMar>
          </w:tcPr>
          <w:p>
            <w:r>
              <w:rPr>
                <w:rFonts w:ascii="Arial" w:cs="Arial" w:eastAsia="Arial" w:hAnsi="Arial"/>
                <w:color w:val="2C3E50"/>
                <w:sz w:val="20"/>
                <w:szCs w:val="20"/>
              </w:rPr>
              <w:t xml:space="preserve">Automated QC pipelines; manual curation for critical datasets; version-controlled snapshots</w:t>
            </w:r>
          </w:p>
        </w:tc>
      </w:tr>
      <w:tr>
        <w:tc>
          <w:tcPr>
            <w:tcW w:type="dxa" w:w="26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Small biotech adoption barriers (cost, complexity)</w:t>
            </w:r>
          </w:p>
        </w:tc>
        <w:tc>
          <w:tcPr>
            <w:tcW w:type="dxa" w:w="120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5560"/>
            <w:tcBorders>
              <w:top w:val="single" w:color="BDC3C7" w:sz="1"/>
              <w:left w:val="single" w:color="BDC3C7" w:sz="1"/>
              <w:bottom w:val="single" w:color="BDC3C7" w:sz="1"/>
              <w:right w:val="single" w:color="BDC3C7" w:sz="1"/>
            </w:tcBorders>
            <w:shd w:fill="F2F4F4" w:val="clear"/>
            <w:tcMar>
              <w:top w:type="dxa" w:w="80"/>
              <w:left w:type="dxa" w:w="120"/>
              <w:bottom w:type="dxa" w:w="80"/>
              <w:right w:type="dxa" w:w="120"/>
            </w:tcMar>
          </w:tcPr>
          <w:p>
            <w:r>
              <w:rPr>
                <w:rFonts w:ascii="Arial" w:cs="Arial" w:eastAsia="Arial" w:hAnsi="Arial"/>
                <w:color w:val="2C3E50"/>
                <w:sz w:val="20"/>
                <w:szCs w:val="20"/>
              </w:rPr>
              <w:t xml:space="preserve">Tiered pricing; guided onboarding; pre-built templates for common drug classes</w:t>
            </w:r>
          </w:p>
        </w:tc>
      </w:tr>
    </w:tbl>
    <w:p>
      <w:pPr>
        <w:spacing w:after="120"/>
      </w:pPr>
    </w:p>
    <w:p>
      <w:pPr>
        <w:pStyle w:val="Heading1"/>
        <w:spacing w:after="200" w:before="360"/>
      </w:pPr>
      <w:r>
        <w:rPr>
          <w:rFonts w:ascii="Arial" w:cs="Arial" w:eastAsia="Arial" w:hAnsi="Arial"/>
          <w:b/>
          <w:bCs/>
          <w:color w:val="1A5276"/>
          <w:sz w:val="36"/>
          <w:szCs w:val="36"/>
        </w:rPr>
        <w:t xml:space="preserve">12. Conclusion</w:t>
      </w:r>
    </w:p>
    <w:p>
      <w:pPr>
        <w:spacing w:after="160" w:line="276"/>
      </w:pPr>
      <w:r>
        <w:rPr>
          <w:rFonts w:ascii="Arial" w:cs="Arial" w:eastAsia="Arial" w:hAnsi="Arial"/>
          <w:color w:val="2C3E50"/>
          <w:sz w:val="22"/>
          <w:szCs w:val="22"/>
        </w:rPr>
        <w:t xml:space="preserve">The Animal Testing Simulation Module represents a natural and strategically critical extension of the Hakase AI platform. As the regulatory landscape shifts decisively toward NAMs and computational evidence, small biotechs need an integrated platform that can guide them through this transition without requiring in-house computational pharmacology or toxicology expertise.</w:t>
      </w:r>
    </w:p>
    <w:p>
      <w:pPr>
        <w:spacing w:after="160" w:line="276"/>
      </w:pPr>
      <w:r>
        <w:rPr>
          <w:rFonts w:ascii="Arial" w:cs="Arial" w:eastAsia="Arial" w:hAnsi="Arial"/>
          <w:color w:val="2C3E50"/>
          <w:sz w:val="22"/>
          <w:szCs w:val="22"/>
        </w:rPr>
        <w:t xml:space="preserve">By combining in-silico simulation, AI-driven study design, and regulatory compliance navigation into a single module, Hakase AI positions itself as the essential pre-clinical partner for the next generation of biotech companies. The phased development roadmap ensures early value delivery while building toward comprehensive coverage that aligns with the FDA’s own NAM adoption timeline.</w:t>
      </w:r>
    </w:p>
    <w:p>
      <w:pPr>
        <w:spacing w:after="160" w:line="276"/>
      </w:pPr>
      <w:r>
        <w:rPr>
          <w:rFonts w:ascii="Arial" w:cs="Arial" w:eastAsia="Arial" w:hAnsi="Arial"/>
          <w:color w:val="2C3E50"/>
          <w:sz w:val="22"/>
          <w:szCs w:val="22"/>
        </w:rPr>
        <w:t xml:space="preserve">This module bridges the gap between Hakase AI’s existing Clinical Module and the earliest stages of drug development, creating a complete molecule-to-market intelligence platform.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DC3C7"/>
        <w:sz w:val="18"/>
        <w:szCs w:val="18"/>
      </w:rPr>
      <w:t xml:space="preserve">Page </w:t>
    </w:r>
    <w:r>
      <w:rPr>
        <w:rFonts w:ascii="Arial" w:cs="Arial" w:eastAsia="Arial" w:hAnsi="Arial"/>
        <w:color w:val="BDC3C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i/>
        <w:iCs/>
        <w:color w:val="1A5276"/>
        <w:sz w:val="18"/>
        <w:szCs w:val="18"/>
      </w:rPr>
      <w:t xml:space="preserve">Hakase AI — Animal Testing Simulation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1A5276"/>
      <w:sz w:val="30"/>
      <w:szCs w:val="30"/>
    </w:rPr>
  </w:style>
  <w:style w:type="paragraph" w:styleId="Heading3">
    <w:name w:val="Heading 3"/>
    <w:basedOn w:val="Normal"/>
    <w:next w:val="Normal"/>
    <w:qFormat/>
    <w:pPr>
      <w:spacing w:after="160" w:before="20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2026-03-19T04:02:40.452Z</dcterms:created>
  <dcterms:modified xsi:type="dcterms:W3CDTF">2026-03-19T04:02:40.453Z</dcterms:modified>
</cp:coreProperties>
</file>

<file path=docProps/custom.xml><?xml version="1.0" encoding="utf-8"?>
<Properties xmlns="http://schemas.openxmlformats.org/officeDocument/2006/custom-properties" xmlns:vt="http://schemas.openxmlformats.org/officeDocument/2006/docPropsVTypes"/>
</file>