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1A5276"/>
          <w:sz w:val="56"/>
          <w:szCs w:val="56"/>
        </w:rPr>
        <w:t xml:space="preserve">HAKASE AI</w:t>
      </w:r>
    </w:p>
    <w:p>
      <w:pPr>
        <w:spacing w:after="120"/>
        <w:jc w:val="center"/>
      </w:pPr>
      <w:r>
        <w:rPr>
          <w:rFonts w:ascii="Arial" w:cs="Arial" w:eastAsia="Arial" w:hAnsi="Arial"/>
          <w:b/>
          <w:bCs/>
          <w:color w:val="2C3E50"/>
          <w:sz w:val="44"/>
          <w:szCs w:val="44"/>
        </w:rPr>
        <w:t xml:space="preserve">Animal Testing Simulation Module</w:t>
      </w:r>
    </w:p>
    <w:p>
      <w:pPr>
        <w:spacing w:after="80"/>
        <w:jc w:val="center"/>
      </w:pPr>
      <w:r>
        <w:rPr>
          <w:rFonts w:ascii="Arial" w:cs="Arial" w:eastAsia="Arial" w:hAnsi="Arial"/>
          <w:color w:val="27AE60"/>
          <w:sz w:val="32"/>
          <w:szCs w:val="32"/>
        </w:rPr>
        <w:t xml:space="preserve">with Layer 0: Animal Cohort Architecture</w:t>
      </w:r>
    </w:p>
    <w:p>
      <w:pPr>
        <w:pBdr>
          <w:bottom w:val="single" w:color="1A5276" w:sz="6" w:space="1"/>
        </w:pBdr>
        <w:spacing w:after="600"/>
        <w:jc w:val="center"/>
      </w:pPr>
      <w:r>
        <w:rPr>
          <w:rFonts w:ascii="Arial" w:cs="Arial" w:eastAsia="Arial" w:hAnsi="Arial"/>
          <w:color w:val="27AE60"/>
          <w:sz w:val="28"/>
          <w:szCs w:val="28"/>
        </w:rPr>
        <w:t xml:space="preserve">Product Specification &amp; Feature Brief</w:t>
      </w:r>
    </w:p>
    <w:p>
      <w:pPr>
        <w:spacing w:after="600"/>
      </w:pPr>
    </w:p>
    <w:p>
      <w:pPr>
        <w:spacing w:after="80"/>
        <w:jc w:val="center"/>
      </w:pPr>
      <w:r>
        <w:rPr>
          <w:rFonts w:ascii="Arial" w:cs="Arial" w:eastAsia="Arial" w:hAnsi="Arial"/>
          <w:color w:val="2C3E50"/>
          <w:sz w:val="24"/>
          <w:szCs w:val="24"/>
        </w:rPr>
        <w:t xml:space="preserve">Version 2.0</w:t>
      </w:r>
    </w:p>
    <w:p>
      <w:pPr>
        <w:spacing w:after="80"/>
        <w:jc w:val="center"/>
      </w:pPr>
      <w:r>
        <w:rPr>
          <w:rFonts w:ascii="Arial" w:cs="Arial" w:eastAsia="Arial" w:hAnsi="Arial"/>
          <w:color w:val="2C3E50"/>
          <w:sz w:val="24"/>
          <w:szCs w:val="24"/>
        </w:rPr>
        <w:t xml:space="preserve">March 2026</w:t>
      </w:r>
    </w:p>
    <w:p>
      <w:pPr>
        <w:spacing w:after="80"/>
        <w:jc w:val="center"/>
      </w:pPr>
      <w:r>
        <w:rPr>
          <w:rFonts w:ascii="Arial" w:cs="Arial" w:eastAsia="Arial" w:hAnsi="Arial"/>
          <w:b/>
          <w:b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6"/>
          <w:szCs w:val="36"/>
        </w:rPr>
        <w:t xml:space="preserve">1. Executive Summary</w:t>
      </w:r>
    </w:p>
    <w:p>
      <w:pPr>
        <w:pStyle w:val="Heading2"/>
        <w:spacing w:after="200" w:before="240"/>
      </w:pPr>
      <w:r>
        <w:rPr>
          <w:rFonts w:ascii="Arial" w:cs="Arial" w:eastAsia="Arial" w:hAnsi="Arial"/>
          <w:b/>
          <w:bCs/>
          <w:color w:val="1A5276"/>
          <w:sz w:val="30"/>
          <w:szCs w:val="30"/>
        </w:rPr>
        <w:t xml:space="preserve">1.1 Purpose</w:t>
      </w:r>
    </w:p>
    <w:p>
      <w:pPr>
        <w:spacing w:after="160" w:line="276"/>
      </w:pPr>
      <w:r>
        <w:rPr>
          <w:rFonts w:ascii="Arial" w:cs="Arial" w:eastAsia="Arial" w:hAnsi="Arial"/>
          <w:color w:val="2C3E50"/>
          <w:sz w:val="22"/>
          <w:szCs w:val="22"/>
        </w:rPr>
        <w:t xml:space="preserve">This document specifies the Animal Testing Simulation Module for the Hakase AI platform, with a new foundational component: Layer 0 — the Animal Cohort Architecture. The module addresses the critical gap in pre-clinical development tooling by providing biotech companies with an integrated suite for in-silico modeling, preclinical study design, and regulatory compliance, all powered by AI and backed by curated public datasets.</w:t>
      </w:r>
    </w:p>
    <w:p>
      <w:pPr>
        <w:pStyle w:val="Heading2"/>
        <w:spacing w:after="200" w:before="240"/>
      </w:pPr>
      <w:r>
        <w:rPr>
          <w:rFonts w:ascii="Arial" w:cs="Arial" w:eastAsia="Arial" w:hAnsi="Arial"/>
          <w:b/>
          <w:bCs/>
          <w:color w:val="1A5276"/>
          <w:sz w:val="30"/>
          <w:szCs w:val="30"/>
        </w:rPr>
        <w:t xml:space="preserve">1.2 What’s New in v2.0: Layer 0 — Animal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D5F5E3"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KEY ADDITION: Layer 0 — Animal Cohort</w:t>
            </w:r>
          </w:p>
          <w:p>
            <w:pPr>
              <w:spacing w:after="40"/>
            </w:pPr>
            <w:r>
              <w:rPr>
                <w:rFonts w:ascii="Arial" w:cs="Arial" w:eastAsia="Arial" w:hAnsi="Arial"/>
                <w:color w:val="2C3E50"/>
                <w:sz w:val="20"/>
                <w:szCs w:val="20"/>
              </w:rPr>
              <w:t xml:space="preserve">Layer 0 introduces the foundational data substrate that sits between molecule identification and the simulation engine. It provides: (1) Virtual Animal Models — digital representations of test subjects with species-specific physiological parameters; (2) Study Group Architecture — experimental group structures (control, dose groups, recovery, satellite TK) with randomization; (3) Population Variability Engine — Monte Carlo-based population models incorporating genetic, physiological, and environmental variability for realistic simulation cohorts.</w:t>
            </w:r>
          </w:p>
        </w:tc>
      </w:tr>
    </w:tbl>
    <w:p>
      <w:pPr>
        <w:spacing w:after="120"/>
      </w:pPr>
    </w:p>
    <w:p>
      <w:pPr>
        <w:pStyle w:val="Heading2"/>
        <w:spacing w:after="200" w:before="240"/>
      </w:pPr>
      <w:r>
        <w:rPr>
          <w:rFonts w:ascii="Arial" w:cs="Arial" w:eastAsia="Arial" w:hAnsi="Arial"/>
          <w:b/>
          <w:bCs/>
          <w:color w:val="1A5276"/>
          <w:sz w:val="30"/>
          <w:szCs w:val="30"/>
        </w:rPr>
        <w:t xml:space="preserve">1.3 Architecture: The Four-Layer Stack</w:t>
      </w:r>
    </w:p>
    <w:p>
      <w:pPr>
        <w:spacing w:after="160" w:line="276"/>
      </w:pPr>
      <w:r>
        <w:rPr>
          <w:rFonts w:ascii="Arial" w:cs="Arial" w:eastAsia="Arial" w:hAnsi="Arial"/>
          <w:color w:val="2C3E50"/>
          <w:sz w:val="22"/>
          <w:szCs w:val="22"/>
        </w:rPr>
        <w:t xml:space="preserve">With Layer 0, Hakase AI’s platform now follows a complete molecule-to-market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80"/>
        <w:gridCol w:w="3180"/>
      </w:tblGrid>
      <w:tr>
        <w:trPr>
          <w:tblHeader/>
        </w:trPr>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r>
      <w:tr>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0 (NEW)</w:t>
            </w:r>
          </w:p>
        </w:tc>
        <w:tc>
          <w:tcPr>
            <w:tcW w:type="dxa" w:w="1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Animal Cohort</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Pre-clinical simulation subjects, study groups, population models</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Virtual cohorts, dose projections, NOAEL/MTD, FIH dose → feeds Layer 1</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1</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Molecular / Drug</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Drug properties, target interactions, ADMET profiles</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Compound dossier, PK parameters, safety profile</w:t>
            </w:r>
          </w:p>
        </w:tc>
      </w:tr>
      <w:tr>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w:t>
            </w:r>
          </w:p>
        </w:tc>
        <w:tc>
          <w:tcPr>
            <w:tcW w:type="dxa" w:w="1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Patient Cohort</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 trial patient populations, stratification</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Patient cohorts, enrollment predictions, outcome models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3</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Trial</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 trial design, execution, monitoring</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Protocol, site selection, adaptive design, regulatory submission</w:t>
            </w:r>
          </w:p>
        </w:tc>
      </w:tr>
    </w:tbl>
    <w:p>
      <w:pPr>
        <w:spacing w:after="120"/>
      </w:pPr>
    </w:p>
    <w:p>
      <w:pPr>
        <w:spacing w:after="160" w:line="276"/>
      </w:pPr>
      <w:r>
        <w:rPr>
          <w:rFonts w:ascii="Arial" w:cs="Arial" w:eastAsia="Arial" w:hAnsi="Arial"/>
          <w:color w:val="2C3E50"/>
          <w:sz w:val="22"/>
          <w:szCs w:val="22"/>
        </w:rPr>
        <w:t xml:space="preserve">The critical handoff: Layer 0’s predicted Human Equivalent Dose (HED) from allometric scaling becomes the starting dose input for Layer 1. The NOAEL and MTD values populate Layer 1’s safety margin context. The species-specific toxicity profile informs Layer 2’s adverse event monitoring design. This creates a seamless upstream-to-downstream data pipeline where preclinical intelligence flows directly into clinical planning.</w:t>
      </w:r>
    </w:p>
    <w:p>
      <w:pPr>
        <w:pStyle w:val="Heading2"/>
        <w:spacing w:after="200" w:before="240"/>
      </w:pPr>
      <w:r>
        <w:rPr>
          <w:rFonts w:ascii="Arial" w:cs="Arial" w:eastAsia="Arial" w:hAnsi="Arial"/>
          <w:b/>
          <w:bCs/>
          <w:color w:val="1A5276"/>
          <w:sz w:val="30"/>
          <w:szCs w:val="30"/>
        </w:rPr>
        <w:t xml:space="preserve">1.4 Strategic Context</w:t>
      </w:r>
    </w:p>
    <w:p>
      <w:pPr>
        <w:spacing w:after="160" w:line="276"/>
      </w:pPr>
      <w:r>
        <w:rPr>
          <w:rFonts w:ascii="Arial" w:cs="Arial" w:eastAsia="Arial" w:hAnsi="Arial"/>
          <w:color w:val="2C3E50"/>
          <w:sz w:val="22"/>
          <w:szCs w:val="22"/>
        </w:rPr>
        <w:t xml:space="preserve">The pre-clinical landscape is undergoing a fundamental transformation. The FDA Modernization Act 2.0 (December 2022) eliminated the decades-old mandate for animal testing. In April 2025, the FDA released a formal roadmap to phase out animal testing, initially targeting monoclonal antibodies. The FDA Modernization Act 3.0, passed by the Senate in December 2025, instructs the FDA to establish formal qualification processes for New Approach Methodologies (NAMs). In July 2025, the NIH announced that proposals relying exclusively on animal data would no longer be eligible for agency support.</w:t>
      </w:r>
    </w:p>
    <w:p>
      <w:pPr>
        <w:spacing w:after="160" w:line="276"/>
      </w:pPr>
      <w:r>
        <w:rPr>
          <w:rFonts w:ascii="Arial" w:cs="Arial" w:eastAsia="Arial" w:hAnsi="Arial"/>
          <w:color w:val="2C3E50"/>
          <w:sz w:val="22"/>
          <w:szCs w:val="22"/>
        </w:rPr>
        <w:t xml:space="preserve">This creates an unprecedented opportunity. Small biotechs navigating pre-clinical development need tools that bridge traditional animal testing and the emerging NAM-first regulatory paradigm. The Animal Testing Simulation Module, anchored by Layer 0, positions Hakase as the first integrated platform to combine virtual cohort modeling, in-silico prediction, hybrid study design, and regulatory pathway guidance in a single product.</w:t>
      </w:r>
    </w:p>
    <w:p>
      <w:pPr>
        <w:pStyle w:val="Heading2"/>
        <w:spacing w:after="200" w:before="240"/>
      </w:pPr>
      <w:r>
        <w:rPr>
          <w:rFonts w:ascii="Arial" w:cs="Arial" w:eastAsia="Arial" w:hAnsi="Arial"/>
          <w:b/>
          <w:bCs/>
          <w:color w:val="1A5276"/>
          <w:sz w:val="30"/>
          <w:szCs w:val="30"/>
        </w:rPr>
        <w:t xml:space="preserve">1.5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Approach</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Hakase (Layer 0 + Simulation)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Pre-clinical timeline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36–42 months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18–24 months (projected)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study costs (Phase I-enabling)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$2–5M per program</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40–60% reduction via NAM integration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IND submission rejection rate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~30% first-cycle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&lt;15% (AI-guided compliance)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selection accuracy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Manual, literature-based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AI-driven, pharmacologically validated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Dose prediction accuracy</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50–100x safety margins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PBPK-refined, tighter margins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use reduction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Baseline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30–50% fewer animals via optimized cohort design</w:t>
            </w:r>
          </w:p>
        </w:tc>
      </w:tr>
    </w:tbl>
    <w:p>
      <w:r>
        <w:br w:type="page"/>
      </w:r>
    </w:p>
    <w:p>
      <w:pPr>
        <w:pStyle w:val="Heading1"/>
        <w:spacing w:after="200" w:before="360"/>
      </w:pPr>
      <w:r>
        <w:rPr>
          <w:rFonts w:ascii="Arial" w:cs="Arial" w:eastAsia="Arial" w:hAnsi="Arial"/>
          <w:b/>
          <w:bCs/>
          <w:color w:val="1A5276"/>
          <w:sz w:val="36"/>
          <w:szCs w:val="36"/>
        </w:rPr>
        <w:t xml:space="preserve">2. Market &amp; Regulatory Landscape</w:t>
      </w:r>
    </w:p>
    <w:p>
      <w:pPr>
        <w:pStyle w:val="Heading2"/>
        <w:spacing w:after="200" w:before="240"/>
      </w:pPr>
      <w:r>
        <w:rPr>
          <w:rFonts w:ascii="Arial" w:cs="Arial" w:eastAsia="Arial" w:hAnsi="Arial"/>
          <w:b/>
          <w:bCs/>
          <w:color w:val="1A5276"/>
          <w:sz w:val="30"/>
          <w:szCs w:val="30"/>
        </w:rPr>
        <w:t xml:space="preserve">2.1 Regulatory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Dec 2022</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Modernization Act 2.0 signed</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Removed statutory animal testing requirement for INDs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Apr 2025</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Roadmap for Reducing Animal Testing</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Formal phased plan starting with monoclonal antibodies</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Jul 2025</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NIH $150M NAM funding + animal-only exclusion</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Funding incentives shift toward human-relevant models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Dec 2025</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Modernization Act 3.0 passed</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FDA must create formal NAM qualification process</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2026+</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pilot: non-animal mAb testing</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First products approved with primarily NAM-based packages</w:t>
            </w:r>
          </w:p>
        </w:tc>
      </w:tr>
    </w:tbl>
    <w:p>
      <w:pPr>
        <w:spacing w:after="120"/>
      </w:pPr>
    </w:p>
    <w:p>
      <w:pPr>
        <w:pStyle w:val="Heading2"/>
        <w:spacing w:after="200" w:before="240"/>
      </w:pPr>
      <w:r>
        <w:rPr>
          <w:rFonts w:ascii="Arial" w:cs="Arial" w:eastAsia="Arial" w:hAnsi="Arial"/>
          <w:b/>
          <w:bCs/>
          <w:color w:val="1A5276"/>
          <w:sz w:val="30"/>
          <w:szCs w:val="30"/>
        </w:rPr>
        <w:t xml:space="preserve">2.2 Market Opportunity</w:t>
      </w:r>
    </w:p>
    <w:p>
      <w:pPr>
        <w:spacing w:after="160" w:line="276"/>
      </w:pPr>
      <w:r>
        <w:rPr>
          <w:rFonts w:ascii="Arial" w:cs="Arial" w:eastAsia="Arial" w:hAnsi="Arial"/>
          <w:color w:val="2C3E50"/>
          <w:sz w:val="22"/>
          <w:szCs w:val="22"/>
        </w:rPr>
        <w:t xml:space="preserve">The organ-on-a-chip market is projected to grow from $157M (2024) to nearly $1B by 2030. The organoid market could reach $2.72B by 2030. Contract research organizations already generate over $200M annually from non-animal models. Hakase AI targets the underserved segment: small biotechs (10–200 employees) in pre-clinical and Phase I stages that lack internal infrastructure to build or integrate these tools independently.</w:t>
      </w:r>
    </w:p>
    <w:p>
      <w:pPr>
        <w:pStyle w:val="Heading2"/>
        <w:spacing w:after="200" w:before="240"/>
      </w:pPr>
      <w:r>
        <w:rPr>
          <w:rFonts w:ascii="Arial" w:cs="Arial" w:eastAsia="Arial" w:hAnsi="Arial"/>
          <w:b/>
          <w:bCs/>
          <w:color w:val="1A5276"/>
          <w:sz w:val="30"/>
          <w:szCs w:val="30"/>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Gap Hakase Fills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Certara (Simcyp/Phoenix)</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 modeling &amp; PK/PD</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Enterprise-priced; no cohort modeling or regulatory guidance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Simulations Plus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ADME / PBPK simulation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Standalone; no NAM integration or AI study design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Instem Provantis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Study management</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Data capture focus; no predictive modeling or in-silico simulation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Emulate (Organ-on-Chip)</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 vitro NAM platform</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Hardware-dependent; no in-silico layer or virtual cohorts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Deep Origin (PREDICTS)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ARPA-H virtual human</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Research-stage; no study design or cohort architecture</w:t>
            </w:r>
          </w:p>
        </w:tc>
      </w:tr>
    </w:tbl>
    <w:p>
      <w:pPr>
        <w:spacing w:after="120"/>
      </w:pPr>
    </w:p>
    <w:p>
      <w:pPr>
        <w:spacing w:after="160" w:line="276"/>
      </w:pPr>
      <w:r>
        <w:rPr>
          <w:rFonts w:ascii="Arial" w:cs="Arial" w:eastAsia="Arial" w:hAnsi="Arial"/>
          <w:color w:val="2C3E50"/>
          <w:sz w:val="22"/>
          <w:szCs w:val="22"/>
        </w:rPr>
        <w:t xml:space="preserve">Hakase AI differentiates by integrating virtual cohort modeling (Layer 0) with simulation, study design, and compliance into a single platform purpose-built for small biotechs.</w:t>
      </w:r>
    </w:p>
    <w:p>
      <w:r>
        <w:br w:type="page"/>
      </w:r>
    </w:p>
    <w:p>
      <w:pPr>
        <w:pStyle w:val="Heading1"/>
        <w:spacing w:after="200" w:before="360"/>
      </w:pPr>
      <w:r>
        <w:rPr>
          <w:rFonts w:ascii="Arial" w:cs="Arial" w:eastAsia="Arial" w:hAnsi="Arial"/>
          <w:b/>
          <w:bCs/>
          <w:color w:val="1A5276"/>
          <w:sz w:val="36"/>
          <w:szCs w:val="36"/>
        </w:rPr>
        <w:t xml:space="preserve">3. Layer 0: Animal Cohort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D5F5E3"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FOUNDATIONAL LAYER</w:t>
            </w:r>
          </w:p>
          <w:p>
            <w:pPr>
              <w:spacing w:after="40"/>
            </w:pPr>
            <w:r>
              <w:rPr>
                <w:rFonts w:ascii="Arial" w:cs="Arial" w:eastAsia="Arial" w:hAnsi="Arial"/>
                <w:color w:val="2C3E50"/>
                <w:sz w:val="20"/>
                <w:szCs w:val="20"/>
              </w:rPr>
              <w:t xml:space="preserve">Layer 0 is the data substrate that all downstream simulation, study design, and compliance features consume. It defines WHO is being tested (virtual animals), HOW they are organized (study groups), and WHAT biological variability exists (population models). Every simulation run, dose prediction, and regulatory assessment traces back to a Layer 0 cohort definition.</w:t>
            </w:r>
          </w:p>
        </w:tc>
      </w:tr>
    </w:tbl>
    <w:p>
      <w:pPr>
        <w:spacing w:after="120"/>
      </w:pPr>
    </w:p>
    <w:p>
      <w:pPr>
        <w:pStyle w:val="Heading2"/>
        <w:spacing w:after="200" w:before="240"/>
      </w:pPr>
      <w:r>
        <w:rPr>
          <w:rFonts w:ascii="Arial" w:cs="Arial" w:eastAsia="Arial" w:hAnsi="Arial"/>
          <w:b/>
          <w:bCs/>
          <w:color w:val="1A5276"/>
          <w:sz w:val="30"/>
          <w:szCs w:val="30"/>
        </w:rPr>
        <w:t xml:space="preserve">3.1 Virtual Animal Model Engine</w:t>
      </w:r>
    </w:p>
    <w:p>
      <w:pPr>
        <w:spacing w:after="160" w:line="276"/>
      </w:pPr>
      <w:r>
        <w:rPr>
          <w:rFonts w:ascii="Arial" w:cs="Arial" w:eastAsia="Arial" w:hAnsi="Arial"/>
          <w:color w:val="2C3E50"/>
          <w:sz w:val="22"/>
          <w:szCs w:val="22"/>
        </w:rPr>
        <w:t xml:space="preserve">Each virtual animal in Layer 0 is a parameterized digital entity with species-specific physiological, biochemical, and genetic attributes. These are not simple lookup tables — they are computational objects that respond dynamically to simulated drug exposure.</w:t>
      </w:r>
    </w:p>
    <w:p>
      <w:pPr>
        <w:pStyle w:val="Heading3"/>
        <w:spacing w:after="200" w:before="240"/>
      </w:pPr>
      <w:r>
        <w:rPr>
          <w:rFonts w:ascii="Arial" w:cs="Arial" w:eastAsia="Arial" w:hAnsi="Arial"/>
          <w:b/>
          <w:bCs/>
          <w:color w:val="1A5276"/>
          <w:sz w:val="26"/>
          <w:szCs w:val="26"/>
        </w:rPr>
        <w:t xml:space="preserve">3.1.1 Core Data Model: Virtual Animal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 Category</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Derivation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Identity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strain, sex, age (weeks), body weight (g)</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User-configured or AI-recommended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physiology</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weights (14 compartments), blood flows, tissue volumes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Species-specific reference databases (Brown et al., Davies &amp; Morris)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GI physiology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Gastric pH, transit times, intestinal surface area, bile salt concentration</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Literature-derived, strain-specific adjustments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Hepatic metabolism</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CYP isoform expression levels, UGT activity, microsomal protein content</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In-vitro scaling factors from ChEMBL + published IVIVE data</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Renal function</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GFR, tubular secretion/reabsorption, urine pH</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Allometric scaling from body weight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Cardiovascular</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Cardiac output, blood pressure, heart rate, hERG channel density</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baselines from safety pharmacology literature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Plasma biochemistry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Albumin, alpha-1-acid glycoprotein, total protein, lipid fractions</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Reference ranges per species/strain/age/sex</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Genetic profile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Metabolizer phenotype (PM/IM/EM/UM per CYP), transporter polymorphisms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Population frequency distributions from published data</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Immune baseline</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WBC differential, cytokine baselines, complement levels</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Species-specific normal ranges</w:t>
            </w:r>
          </w:p>
        </w:tc>
      </w:tr>
    </w:tbl>
    <w:p>
      <w:pPr>
        <w:spacing w:after="120"/>
      </w:pPr>
    </w:p>
    <w:p>
      <w:pPr>
        <w:pStyle w:val="Heading3"/>
        <w:spacing w:after="200" w:before="240"/>
      </w:pPr>
      <w:r>
        <w:rPr>
          <w:rFonts w:ascii="Arial" w:cs="Arial" w:eastAsia="Arial" w:hAnsi="Arial"/>
          <w:b/>
          <w:bCs/>
          <w:color w:val="1A5276"/>
          <w:sz w:val="26"/>
          <w:szCs w:val="26"/>
        </w:rPr>
        <w:t xml:space="preserve">3.1.2 Species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Species</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Strains Available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Status</w:t>
            </w:r>
          </w:p>
        </w:tc>
        <w:tc>
          <w:tcPr>
            <w:tcW w:type="dxa" w:w="3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Use Cases</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Mouse</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CD-1, C57BL/6, BALB/c, nude (nu/nu), SCID</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Efficacy, oncology, immunology, PK</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Rat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Sprague Dawley, Wistar, Han Wistar, F344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General tox, GLP repeat-dose, ADME, carcinogenicity</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Dog (Beagle)</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Standard Beagle</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Non-rodent tox, CV safety pharmacology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Cynomolgus monkey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Mauritian, Chinese-origin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Validated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Biologics, CNS, immunogenicity</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Minipig</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Göttingen, Yucatan</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Beta</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Dermal, oral absorption, cardiovascular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Rabbit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New Zealand White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Beta</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Reproductive/developmental tox (ICH S5)</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Zebrafish</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Wild-type AB, Casper (transparent)</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Alpha</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High-throughput screening, developmental tox</w:t>
            </w:r>
          </w:p>
        </w:tc>
      </w:tr>
    </w:tbl>
    <w:p>
      <w:pPr>
        <w:spacing w:after="120"/>
      </w:pPr>
    </w:p>
    <w:p>
      <w:pPr>
        <w:pStyle w:val="Heading3"/>
        <w:spacing w:after="200" w:before="240"/>
      </w:pPr>
      <w:r>
        <w:rPr>
          <w:rFonts w:ascii="Arial" w:cs="Arial" w:eastAsia="Arial" w:hAnsi="Arial"/>
          <w:b/>
          <w:bCs/>
          <w:color w:val="1A5276"/>
          <w:sz w:val="26"/>
          <w:szCs w:val="26"/>
        </w:rPr>
        <w:t xml:space="preserve">3.1.3 Physiological Parameter Database</w:t>
      </w:r>
    </w:p>
    <w:p>
      <w:pPr>
        <w:spacing w:after="160" w:line="276"/>
      </w:pPr>
      <w:r>
        <w:rPr>
          <w:rFonts w:ascii="Arial" w:cs="Arial" w:eastAsia="Arial" w:hAnsi="Arial"/>
          <w:color w:val="2C3E50"/>
          <w:sz w:val="22"/>
          <w:szCs w:val="22"/>
        </w:rPr>
        <w:t xml:space="preserve">Each species/strain combination ships with a validated parameter set derived from published literature. Parameters are stored as distributions (mean, SD, range) rather than point estimates, enabling population-level simulation. The system includes 14 organ compartments per species: adipose, bone, brain, gut, heart, kidney, liver, lung, muscle, pancreas, skin, spleen, testes/ovaries, and a residual compartment. All parameters are sex-differentiated and age-adjustable.</w:t>
      </w:r>
    </w:p>
    <w:p>
      <w:pPr>
        <w:pStyle w:val="Heading2"/>
        <w:spacing w:after="200" w:before="240"/>
      </w:pPr>
      <w:r>
        <w:rPr>
          <w:rFonts w:ascii="Arial" w:cs="Arial" w:eastAsia="Arial" w:hAnsi="Arial"/>
          <w:b/>
          <w:bCs/>
          <w:color w:val="1A5276"/>
          <w:sz w:val="30"/>
          <w:szCs w:val="30"/>
        </w:rPr>
        <w:t xml:space="preserve">3.2 Study Group Architecture</w:t>
      </w:r>
    </w:p>
    <w:p>
      <w:pPr>
        <w:spacing w:after="160" w:line="276"/>
      </w:pPr>
      <w:r>
        <w:rPr>
          <w:rFonts w:ascii="Arial" w:cs="Arial" w:eastAsia="Arial" w:hAnsi="Arial"/>
          <w:color w:val="2C3E50"/>
          <w:sz w:val="22"/>
          <w:szCs w:val="22"/>
        </w:rPr>
        <w:t xml:space="preserve">Layer 0 defines the experimental group structure for any simulated preclinical study. This is where the virtual animals are organized into treatment groups that mirror real GLP study designs.</w:t>
      </w:r>
    </w:p>
    <w:p>
      <w:pPr>
        <w:pStyle w:val="Heading3"/>
        <w:spacing w:after="200" w:before="240"/>
      </w:pPr>
      <w:r>
        <w:rPr>
          <w:rFonts w:ascii="Arial" w:cs="Arial" w:eastAsia="Arial" w:hAnsi="Arial"/>
          <w:b/>
          <w:bCs/>
          <w:color w:val="1A5276"/>
          <w:sz w:val="26"/>
          <w:szCs w:val="26"/>
        </w:rPr>
        <w:t xml:space="preserve">3.2.1 Group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Type</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Configuration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Vehicle control</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Baseline comparator, isolates drug effects</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Same formulation minus API; n per regulatory minimum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Low dose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Subtherapeutic exposure, NOAEL identification</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Estimated from 1/10th of projected efficacious dose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Mid dose</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Therapeutic range exploration</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Geometric mean of low and high dose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 dose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MTD approach, safety margin determination</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Target 10–50x human AUC or dose-limiting toxicity</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Recovery / Reversibility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Assess reversibility of findings post-dosing</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Subset of control + high dose; 2–4 week recovery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Satellite TK</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Toxicokinetic sampling without disturbing main study</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Sparse sampling design; 3–5 animals/sex/timepoint</w:t>
            </w:r>
          </w:p>
        </w:tc>
      </w:tr>
    </w:tbl>
    <w:p>
      <w:pPr>
        <w:spacing w:after="120"/>
      </w:pPr>
    </w:p>
    <w:p>
      <w:pPr>
        <w:pStyle w:val="Heading3"/>
        <w:spacing w:after="200" w:before="240"/>
      </w:pPr>
      <w:r>
        <w:rPr>
          <w:rFonts w:ascii="Arial" w:cs="Arial" w:eastAsia="Arial" w:hAnsi="Arial"/>
          <w:b/>
          <w:bCs/>
          <w:color w:val="1A5276"/>
          <w:sz w:val="26"/>
          <w:szCs w:val="26"/>
        </w:rPr>
        <w:t xml:space="preserve">3.2.2 Randomization Engine</w:t>
      </w:r>
    </w:p>
    <w:p>
      <w:pPr>
        <w:spacing w:after="160" w:line="276"/>
      </w:pPr>
      <w:r>
        <w:rPr>
          <w:rFonts w:ascii="Arial" w:cs="Arial" w:eastAsia="Arial" w:hAnsi="Arial"/>
          <w:color w:val="2C3E50"/>
          <w:sz w:val="22"/>
          <w:szCs w:val="22"/>
        </w:rPr>
        <w:t xml:space="preserve">The randomization engine assigns virtual animals to study groups using stratified randomization by body weight, ensuring balanced group compositions. It supports block randomization (fixed block sizes), stratified randomization (by weight quartile), and adaptive randomization (minimization algorithm for multi-factor balance). The randomization is reproducible via seeded PRNG, with full audit trail for GLP compliance.</w:t>
      </w:r>
    </w:p>
    <w:p>
      <w:pPr>
        <w:pStyle w:val="Heading3"/>
        <w:spacing w:after="200" w:before="240"/>
      </w:pPr>
      <w:r>
        <w:rPr>
          <w:rFonts w:ascii="Arial" w:cs="Arial" w:eastAsia="Arial" w:hAnsi="Arial"/>
          <w:b/>
          <w:bCs/>
          <w:color w:val="1A5276"/>
          <w:sz w:val="26"/>
          <w:szCs w:val="26"/>
        </w:rPr>
        <w:t xml:space="preserve">3.2.3 Sample Size Calculator</w:t>
      </w:r>
    </w:p>
    <w:p>
      <w:pPr>
        <w:spacing w:after="160" w:line="276"/>
      </w:pPr>
      <w:r>
        <w:rPr>
          <w:rFonts w:ascii="Arial" w:cs="Arial" w:eastAsia="Arial" w:hAnsi="Arial"/>
          <w:color w:val="2C3E50"/>
          <w:sz w:val="22"/>
          <w:szCs w:val="22"/>
        </w:rPr>
        <w:t xml:space="preserve">Integrated power analysis determines optimal group sizes based on expected effect sizes, variability estimates, and regulatory minimums: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Study Type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Regulatory Minimum (per sex)</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AI-Optimized Range</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Basis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Acute toxicity (rodent)</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5/sex/group</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5–10/sex/group</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ICH M3, LD50 estimation precision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Repeat-dose (rodent, ≤14d)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10/sex/group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10–15/sex/group</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Historical control variability + effect size</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Repeat-dose (rodent, ≥28d GLP)</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10–15/sex/group</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10–20/sex/group</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Histopath detection power, OECD 407/408</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Repeat-dose (non-rodent)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3–4/sex/group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3–6/sex/group</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ICH S4, NHP welfare considerations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Satellite TK (rodent)</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3/sex/timepoint</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3–5/sex/timepoint</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bioanalytical guidance, sparse sampling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Recovery group</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5/sex (control + high)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5–10/sex</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Reversibility assessment power</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Safety pharmacology (CV, dog)</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4–8 total (crossover)</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4–8</w:t>
            </w:r>
          </w:p>
        </w:tc>
        <w:tc>
          <w:tcPr>
            <w:tcW w:type="dxa" w:w="2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ICH S7A/S7B, crossover design efficiency</w:t>
            </w:r>
          </w:p>
        </w:tc>
      </w:tr>
    </w:tbl>
    <w:p>
      <w:pPr>
        <w:spacing w:after="120"/>
      </w:pPr>
    </w:p>
    <w:p>
      <w:pPr>
        <w:pStyle w:val="Heading2"/>
        <w:spacing w:after="200" w:before="240"/>
      </w:pPr>
      <w:r>
        <w:rPr>
          <w:rFonts w:ascii="Arial" w:cs="Arial" w:eastAsia="Arial" w:hAnsi="Arial"/>
          <w:b/>
          <w:bCs/>
          <w:color w:val="1A5276"/>
          <w:sz w:val="30"/>
          <w:szCs w:val="30"/>
        </w:rPr>
        <w:t xml:space="preserve">3.3 Population Variability Engine</w:t>
      </w:r>
    </w:p>
    <w:p>
      <w:pPr>
        <w:spacing w:after="160" w:line="276"/>
      </w:pPr>
      <w:r>
        <w:rPr>
          <w:rFonts w:ascii="Arial" w:cs="Arial" w:eastAsia="Arial" w:hAnsi="Arial"/>
          <w:color w:val="2C3E50"/>
          <w:sz w:val="22"/>
          <w:szCs w:val="22"/>
        </w:rPr>
        <w:t xml:space="preserve">The population variability engine is what transforms Layer 0 from a simple lookup system into a true simulation substrate. It generates realistic cohort-level variability that propagates through all downstream simulations.</w:t>
      </w:r>
    </w:p>
    <w:p>
      <w:pPr>
        <w:pStyle w:val="Heading3"/>
        <w:spacing w:after="200" w:before="240"/>
      </w:pPr>
      <w:r>
        <w:rPr>
          <w:rFonts w:ascii="Arial" w:cs="Arial" w:eastAsia="Arial" w:hAnsi="Arial"/>
          <w:b/>
          <w:bCs/>
          <w:color w:val="1A5276"/>
          <w:sz w:val="26"/>
          <w:szCs w:val="26"/>
        </w:rPr>
        <w:t xml:space="preserve">3.3.1 Variability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 Affected</w:t>
            </w:r>
          </w:p>
        </w:tc>
        <w:tc>
          <w:tcPr>
            <w:tcW w:type="dxa" w:w="4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Inter-individual (IIV)</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Body weight, organ weights, enzyme expression, GFR, cardiac output</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Log-normal distributions; CV typically 15–40% depending on parameter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Inter-occasion (IOV)</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Food intake, GI transit, stress hormones, activity level</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Within-subject variability for repeated measures; CV 10–25%</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Genetic polymorphism</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CYP2D6, CYP2C19, CYP3A4/5 expression; transporter variants</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Discrete phenotype categories (PM/IM/EM/UM) with population frequencies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Strain-specific</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Immune phenotype, tumor susceptibility, metabolic rate</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Strain-dependent baseline parameter sets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Environmental</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Circadian rhythm, housing density, ambient temperature</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Time-varying covariates applied to baseline physiology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Age-related</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maturation, enzyme ontogeny, renal function decline</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Age-scaling functions per species (neonatal through geriatric)</w:t>
            </w:r>
          </w:p>
        </w:tc>
      </w:tr>
    </w:tbl>
    <w:p>
      <w:pPr>
        <w:spacing w:after="120"/>
      </w:pPr>
    </w:p>
    <w:p>
      <w:pPr>
        <w:pStyle w:val="Heading3"/>
        <w:spacing w:after="200" w:before="240"/>
      </w:pPr>
      <w:r>
        <w:rPr>
          <w:rFonts w:ascii="Arial" w:cs="Arial" w:eastAsia="Arial" w:hAnsi="Arial"/>
          <w:b/>
          <w:bCs/>
          <w:color w:val="1A5276"/>
          <w:sz w:val="26"/>
          <w:szCs w:val="26"/>
        </w:rPr>
        <w:t xml:space="preserve">3.3.2 Monte Carlo Population Generation</w:t>
      </w:r>
    </w:p>
    <w:p>
      <w:pPr>
        <w:spacing w:after="160" w:line="276"/>
      </w:pPr>
      <w:r>
        <w:rPr>
          <w:rFonts w:ascii="Arial" w:cs="Arial" w:eastAsia="Arial" w:hAnsi="Arial"/>
          <w:color w:val="2C3E50"/>
          <w:sz w:val="22"/>
          <w:szCs w:val="22"/>
        </w:rPr>
        <w:t xml:space="preserve">The engine generates virtual populations using Monte Carlo sampling from validated parameter distributions. Each generated cohort is a statistically representative sample of the target species/strain population.</w:t>
      </w:r>
    </w:p>
    <w:p>
      <w:pPr>
        <w:pStyle w:val="ListParagraph"/>
        <w:numPr>
          <w:ilvl w:val="0"/>
          <w:numId w:val="2"/>
        </w:numPr>
        <w:spacing w:after="80" w:line="276"/>
      </w:pPr>
      <w:r>
        <w:rPr>
          <w:rFonts w:ascii="Arial" w:cs="Arial" w:eastAsia="Arial" w:hAnsi="Arial"/>
          <w:b/>
          <w:bCs/>
          <w:color w:val="2C3E50"/>
          <w:sz w:val="22"/>
          <w:szCs w:val="22"/>
        </w:rPr>
        <w:t xml:space="preserve">Sampling method: </w:t>
      </w:r>
      <w:r>
        <w:rPr>
          <w:rFonts w:ascii="Arial" w:cs="Arial" w:eastAsia="Arial" w:hAnsi="Arial"/>
          <w:color w:val="2C3E50"/>
          <w:sz w:val="22"/>
          <w:szCs w:val="22"/>
        </w:rPr>
        <w:t xml:space="preserve">Latin Hypercube Sampling (LHS) for efficient coverage of the parameter space with smaller sample sizes</w:t>
      </w:r>
    </w:p>
    <w:p>
      <w:pPr>
        <w:pStyle w:val="ListParagraph"/>
        <w:numPr>
          <w:ilvl w:val="0"/>
          <w:numId w:val="2"/>
        </w:numPr>
        <w:spacing w:after="80" w:line="276"/>
      </w:pPr>
      <w:r>
        <w:rPr>
          <w:rFonts w:ascii="Arial" w:cs="Arial" w:eastAsia="Arial" w:hAnsi="Arial"/>
          <w:b/>
          <w:bCs/>
          <w:color w:val="2C3E50"/>
          <w:sz w:val="22"/>
          <w:szCs w:val="22"/>
        </w:rPr>
        <w:t xml:space="preserve">Correlation preservation: </w:t>
      </w:r>
      <w:r>
        <w:rPr>
          <w:rFonts w:ascii="Arial" w:cs="Arial" w:eastAsia="Arial" w:hAnsi="Arial"/>
          <w:color w:val="2C3E50"/>
          <w:sz w:val="22"/>
          <w:szCs w:val="22"/>
        </w:rPr>
        <w:t xml:space="preserve">Cholesky decomposition maintains physiological correlations between parameters (e.g., body weight correlates with organ weights, cardiac output, and GFR)</w:t>
      </w:r>
    </w:p>
    <w:p>
      <w:pPr>
        <w:pStyle w:val="ListParagraph"/>
        <w:numPr>
          <w:ilvl w:val="0"/>
          <w:numId w:val="2"/>
        </w:numPr>
        <w:spacing w:after="80" w:line="276"/>
      </w:pPr>
      <w:r>
        <w:rPr>
          <w:rFonts w:ascii="Arial" w:cs="Arial" w:eastAsia="Arial" w:hAnsi="Arial"/>
          <w:b/>
          <w:bCs/>
          <w:color w:val="2C3E50"/>
          <w:sz w:val="22"/>
          <w:szCs w:val="22"/>
        </w:rPr>
        <w:t xml:space="preserve">Outlier handling: </w:t>
      </w:r>
      <w:r>
        <w:rPr>
          <w:rFonts w:ascii="Arial" w:cs="Arial" w:eastAsia="Arial" w:hAnsi="Arial"/>
          <w:color w:val="2C3E50"/>
          <w:sz w:val="22"/>
          <w:szCs w:val="22"/>
        </w:rPr>
        <w:t xml:space="preserve">Configurable bounds (default: 2.5th–97.5th percentile) prevent physiologically implausible virtual animals</w:t>
      </w:r>
    </w:p>
    <w:p>
      <w:pPr>
        <w:pStyle w:val="ListParagraph"/>
        <w:numPr>
          <w:ilvl w:val="0"/>
          <w:numId w:val="2"/>
        </w:numPr>
        <w:spacing w:after="80" w:line="276"/>
      </w:pPr>
      <w:r>
        <w:rPr>
          <w:rFonts w:ascii="Arial" w:cs="Arial" w:eastAsia="Arial" w:hAnsi="Arial"/>
          <w:b/>
          <w:bCs/>
          <w:color w:val="2C3E50"/>
          <w:sz w:val="22"/>
          <w:szCs w:val="22"/>
        </w:rPr>
        <w:t xml:space="preserve">Population sizes: </w:t>
      </w:r>
      <w:r>
        <w:rPr>
          <w:rFonts w:ascii="Arial" w:cs="Arial" w:eastAsia="Arial" w:hAnsi="Arial"/>
          <w:color w:val="2C3E50"/>
          <w:sz w:val="22"/>
          <w:szCs w:val="22"/>
        </w:rPr>
        <w:t xml:space="preserve">Default 1,000 virtual animals per simulation; scalable to 100,000 for rare event detection</w:t>
      </w:r>
    </w:p>
    <w:p>
      <w:pPr>
        <w:pStyle w:val="ListParagraph"/>
        <w:numPr>
          <w:ilvl w:val="0"/>
          <w:numId w:val="2"/>
        </w:numPr>
        <w:spacing w:after="80" w:line="276"/>
      </w:pPr>
      <w:r>
        <w:rPr>
          <w:rFonts w:ascii="Arial" w:cs="Arial" w:eastAsia="Arial" w:hAnsi="Arial"/>
          <w:b/>
          <w:bCs/>
          <w:color w:val="2C3E50"/>
          <w:sz w:val="22"/>
          <w:szCs w:val="22"/>
        </w:rPr>
        <w:t xml:space="preserve">Reproducibility: </w:t>
      </w:r>
      <w:r>
        <w:rPr>
          <w:rFonts w:ascii="Arial" w:cs="Arial" w:eastAsia="Arial" w:hAnsi="Arial"/>
          <w:color w:val="2C3E50"/>
          <w:sz w:val="22"/>
          <w:szCs w:val="22"/>
        </w:rPr>
        <w:t xml:space="preserve">Seeded random number generation ensures identical cohorts across simulation reruns for regulatory reproducibility</w:t>
      </w:r>
    </w:p>
    <w:p>
      <w:pPr>
        <w:pStyle w:val="Heading3"/>
        <w:spacing w:after="200" w:before="240"/>
      </w:pPr>
      <w:r>
        <w:rPr>
          <w:rFonts w:ascii="Arial" w:cs="Arial" w:eastAsia="Arial" w:hAnsi="Arial"/>
          <w:b/>
          <w:bCs/>
          <w:color w:val="1A5276"/>
          <w:sz w:val="26"/>
          <w:szCs w:val="26"/>
        </w:rPr>
        <w:t xml:space="preserve">3.3.3 Covariate Model</w:t>
      </w:r>
    </w:p>
    <w:p>
      <w:pPr>
        <w:spacing w:after="160" w:line="276"/>
      </w:pPr>
      <w:r>
        <w:rPr>
          <w:rFonts w:ascii="Arial" w:cs="Arial" w:eastAsia="Arial" w:hAnsi="Arial"/>
          <w:color w:val="2C3E50"/>
          <w:sz w:val="22"/>
          <w:szCs w:val="22"/>
        </w:rPr>
        <w:t xml:space="preserve">Physiological parameters are not independent. The covariate model captures known biological relationships to ensure virtual populations are physiologically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Covariate Relationship</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Allometric scaling</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Organ weight ∝ BW^0.75; GFR ∝ BW^0.75</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Power-law relationships derived from Dedrick plots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Sex-linked differences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Female rats: lower CYP2C11, higher CYP2C12 expression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Sex-specific parameter distributions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Age-maturation</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Neonatal: immature CYP3A, reduced albumin binding</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Sigmoidal maturation functions (Hill equation)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Disease-state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Hepatic impairment: reduced CYP activity, albumin, blood flow</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Severity-graded parameter modifications (Child-Pugh analog)</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Strain genetics</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F344 rat: higher susceptibility to mononuclear cell leukemia</w:t>
            </w:r>
          </w:p>
        </w:tc>
        <w:tc>
          <w:tcPr>
            <w:tcW w:type="dxa" w:w="39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Strain-specific incidence rates for spontaneous findings</w:t>
            </w:r>
          </w:p>
        </w:tc>
      </w:tr>
    </w:tbl>
    <w:p>
      <w:r>
        <w:br w:type="page"/>
      </w:r>
    </w:p>
    <w:p>
      <w:pPr>
        <w:pStyle w:val="Heading2"/>
        <w:spacing w:after="200" w:before="240"/>
      </w:pPr>
      <w:r>
        <w:rPr>
          <w:rFonts w:ascii="Arial" w:cs="Arial" w:eastAsia="Arial" w:hAnsi="Arial"/>
          <w:b/>
          <w:bCs/>
          <w:color w:val="1A5276"/>
          <w:sz w:val="30"/>
          <w:szCs w:val="30"/>
        </w:rPr>
        <w:t xml:space="preserve">3.4 Layer 0 Data Flow: Cohort-to-Simulation Pipeline</w:t>
      </w:r>
    </w:p>
    <w:p>
      <w:pPr>
        <w:spacing w:after="160" w:line="276"/>
      </w:pPr>
      <w:r>
        <w:rPr>
          <w:rFonts w:ascii="Arial" w:cs="Arial" w:eastAsia="Arial" w:hAnsi="Arial"/>
          <w:color w:val="2C3E50"/>
          <w:sz w:val="22"/>
          <w:szCs w:val="22"/>
        </w:rPr>
        <w:t xml:space="preserve">Layer 0 outputs feed directly into all three pillars of the simulation module. The data flow is unidirectional but iterative — simulation results can trigger cohort redesign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BDC3C7" w:sz="1"/>
              <w:bottom w:val="single" w:color="BDC3C7" w:sz="1"/>
              <w:right w:val="single" w:color="BDC3C7" w:sz="1"/>
            </w:tcBorders>
            <w:shd w:fill="FDEBD0"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DATA FLOW: Layer 0 → Pillars 1–3 → Layers 1–3</w:t>
            </w:r>
          </w:p>
          <w:p>
            <w:pPr>
              <w:spacing w:after="40"/>
            </w:pPr>
            <w:r>
              <w:rPr>
                <w:rFonts w:ascii="Arial" w:cs="Arial" w:eastAsia="Arial" w:hAnsi="Arial"/>
                <w:color w:val="2C3E50"/>
                <w:sz w:val="20"/>
                <w:szCs w:val="20"/>
              </w:rPr>
              <w:t xml:space="preserve">Molecule Identified → [Layer 0: Define Species + Generate Virtual Cohort + Design Study Groups] → [Pillar 1: Run PBPK/Tox Simulation on Cohort] → [Pillar 2: Optimize Study Design Based on Results] → [Pillar 3: Validate Regulatory Compliance] → [Layer 1 Handoff: HED, NOAEL, MTD, Safety Margins, Species Justification]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0 Output</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Consuming Component</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It’s Used</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Virtual animal cohort (parameterized)</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Pillar 1: PBPK Engine</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Each virtual animal runs as independent PBPK simulation instance; population PK curves generated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Study group assignments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Pillar 2: Study Design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Group structure auto-populates protocol templates; TK sampling schedules designed per group</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Population variability distributions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Pillar 1: Monte Carlo Simulation</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Variability parameters drive confidence intervals on PK predictions and exposure multiples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recommendation + justification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Pillar 3: Regulatory Navigator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rationale document auto-generated for pre-IND briefing package</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NOAEL / MTD / HED predictions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1 Handoff</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HED becomes starting dose for FIH; NOAEL populates safety margin calculations in clinical protocol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Dose-exposure relationships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1 Handoff</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Predicted AUC/Cmax at each dose level informs clinical PK expectations and bioanalytical assay design</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Toxicity flag matrix</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2 Handoff</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Organ-specific toxicity predictions inform clinical monitoring plan and adverse event definitions</w:t>
            </w:r>
          </w:p>
        </w:tc>
      </w:tr>
    </w:tbl>
    <w:p>
      <w:r>
        <w:br w:type="page"/>
      </w:r>
    </w:p>
    <w:p>
      <w:pPr>
        <w:pStyle w:val="Heading2"/>
        <w:spacing w:after="200" w:before="240"/>
      </w:pPr>
      <w:r>
        <w:rPr>
          <w:rFonts w:ascii="Arial" w:cs="Arial" w:eastAsia="Arial" w:hAnsi="Arial"/>
          <w:b/>
          <w:bCs/>
          <w:color w:val="1A5276"/>
          <w:sz w:val="30"/>
          <w:szCs w:val="30"/>
        </w:rPr>
        <w:t xml:space="preserve">3.5 Layer 0 API &amp; Data Schema</w:t>
      </w:r>
    </w:p>
    <w:p>
      <w:pPr>
        <w:spacing w:after="160" w:line="276"/>
      </w:pPr>
      <w:r>
        <w:rPr>
          <w:rFonts w:ascii="Arial" w:cs="Arial" w:eastAsia="Arial" w:hAnsi="Arial"/>
          <w:color w:val="2C3E50"/>
          <w:sz w:val="22"/>
          <w:szCs w:val="22"/>
        </w:rPr>
        <w:t xml:space="preserve">Layer 0 exposes a structured API for cohort creation, population generation, and study group management. The schema is designed for interoperability with the existing Hakase AI platform architecture.</w:t>
      </w:r>
    </w:p>
    <w:p>
      <w:pPr>
        <w:pStyle w:val="Heading3"/>
        <w:spacing w:after="200" w:before="240"/>
      </w:pPr>
      <w:r>
        <w:rPr>
          <w:rFonts w:ascii="Arial" w:cs="Arial" w:eastAsia="Arial" w:hAnsi="Arial"/>
          <w:b/>
          <w:bCs/>
          <w:color w:val="1A5276"/>
          <w:sz w:val="26"/>
          <w:szCs w:val="26"/>
        </w:rPr>
        <w:t xml:space="preserve">3.5.1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Cohort</w:t>
            </w:r>
          </w:p>
        </w:tc>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Top-level container for a preclinical simulation</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cohort_id, molecule_id, species, strain, study_type, created_at, status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VirtualAnimal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Individual parameterized animal instance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animal_id, cohort_id, sex, age_weeks, body_weight_g, organ_params{}, metabolic_params{}, genetic_profile{}</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StudyGroup</w:t>
            </w:r>
          </w:p>
        </w:tc>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Treatment group within a cohort</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group_id, cohort_id, group_type, dose_mg_kg, route, n_per_sex, duration_days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PopulationModel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Variability distribution definitions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model_id, species, strain, parameter_distributions{}, correlation_matrix{}, sampling_seed</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SimulationRun</w:t>
            </w:r>
          </w:p>
        </w:tc>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Instance of a simulation executed on a cohort</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run_id, cohort_id, simulation_type, parameters{}, results{}, timestamp</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LayerHandoff</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Packaged outputs for downstream layers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handoff_id, cohort_id, hed_mg_kg, noael_mg_kg, mtd_mg_kg, safety_margin, species_justification_doc</w:t>
            </w:r>
          </w:p>
        </w:tc>
      </w:tr>
    </w:tbl>
    <w:p>
      <w:pPr>
        <w:spacing w:after="120"/>
      </w:pPr>
    </w:p>
    <w:p>
      <w:pPr>
        <w:pStyle w:val="Heading3"/>
        <w:spacing w:after="200" w:before="240"/>
      </w:pPr>
      <w:r>
        <w:rPr>
          <w:rFonts w:ascii="Arial" w:cs="Arial" w:eastAsia="Arial" w:hAnsi="Arial"/>
          <w:b/>
          <w:bCs/>
          <w:color w:val="1A5276"/>
          <w:sz w:val="26"/>
          <w:szCs w:val="26"/>
        </w:rPr>
        <w:t xml:space="preserve">3.5.2 API Endpoints (RESTful)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Create new cohort from molecule + species selection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Retrieve cohort with all virtual animals and groups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/api/v1/cohorts/{id}/generate-population</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Generate virtual population from population model</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/api/v1/cohorts/{id}/randomize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Assign virtual animals to study groups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/api/v1/cohorts/{id}/simulate</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Execute simulation (PBPK, tox, or full) on cohort</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/api/v1/cohorts/{id}/results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Retrieve simulation results with PK curves and tox flags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/api/v1/cohorts/{id}/handoff</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Package Layer 0 outputs for Layer 1 consumption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/api/v1/species-library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List available species/strain combinations with status</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/api/v1/species-recommend</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AI-powered species recommendation for a given molecule</w:t>
            </w:r>
          </w:p>
        </w:tc>
      </w:tr>
    </w:tbl>
    <w:p>
      <w:r>
        <w:br w:type="page"/>
      </w:r>
    </w:p>
    <w:p>
      <w:pPr>
        <w:pStyle w:val="Heading2"/>
        <w:spacing w:after="200" w:before="240"/>
      </w:pPr>
      <w:r>
        <w:rPr>
          <w:rFonts w:ascii="Arial" w:cs="Arial" w:eastAsia="Arial" w:hAnsi="Arial"/>
          <w:b/>
          <w:bCs/>
          <w:color w:val="1A5276"/>
          <w:sz w:val="30"/>
          <w:szCs w:val="30"/>
        </w:rPr>
        <w:t xml:space="preserve">3.6 Browser-Side MVP Capabilities</w:t>
      </w:r>
    </w:p>
    <w:p>
      <w:pPr>
        <w:spacing w:after="160" w:line="276"/>
      </w:pPr>
      <w:r>
        <w:rPr>
          <w:rFonts w:ascii="Arial" w:cs="Arial" w:eastAsia="Arial" w:hAnsi="Arial"/>
          <w:color w:val="2C3E50"/>
          <w:sz w:val="22"/>
          <w:szCs w:val="22"/>
        </w:rPr>
        <w:t xml:space="preserve">The following Layer 0 capabilities can be implemented browser-side, consistent with how Layers 1–3 work today, covering approximately 70% of the full spec’s scientific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 / Notes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Allometric scaling (7 species)</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FDA-approved scaling factors + Dedrick plots; BW-based organ parameter derivation</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Validated against published allometric relationships; core of HED calculation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LD50/MTD/NOAEL prediction</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ADMET molecular descriptors + structural alert rule engine + calibrated regression models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Conservative estimates; flags compounds requiring deeper investigation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Species selection algorithm</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Target homology scoring (BLAST-like), CYP profile matching, metabolic pathway relevance, historical precedent search</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Recommendation + confidence score + literature citations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Dose range finding</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PBPK-lite engine: 1-compartment model with allometric parameters; exposure multiple calculations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Suitable for DRF; full PBPK (14-compartment) requires backend compute</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FIH dose projection</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HED via body surface area (FDA guidance) + PBPK refinement + NOAEL/safety factor method</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Industry-standard calculation; dual method (allometric + PBPK) for cross-validation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Study design recommendations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Rule engine based on ICH S7A/S7B, S4, M3(R2); GLP duration mapping; sample size tables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Deterministic; covers &gt;90% of standard study designs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checklist (IND)</w:t>
            </w:r>
          </w:p>
        </w:tc>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Interactive checklist mapping to FDA Module 2.4/2.6; auto-populated from simulation outputs</w:t>
            </w:r>
          </w:p>
        </w:tc>
        <w:tc>
          <w:tcPr>
            <w:tcW w:type="dxa" w:w="3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Complete for FDA; EMA annotations included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Population Monte Carlo</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LHS sampling with correlation matrices; runs in WebWorker threads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1,000–10,000 virtual animals browser-side; larger populations need backend</w:t>
            </w:r>
          </w:p>
        </w:tc>
      </w:tr>
    </w:tbl>
    <w:p>
      <w:pPr>
        <w:spacing w:after="120"/>
      </w:pPr>
    </w:p>
    <w:p>
      <w:pPr>
        <w:pStyle w:val="Heading3"/>
        <w:spacing w:after="200" w:before="240"/>
      </w:pPr>
      <w:r>
        <w:rPr>
          <w:rFonts w:ascii="Arial" w:cs="Arial" w:eastAsia="Arial" w:hAnsi="Arial"/>
          <w:b/>
          <w:bCs/>
          <w:color w:val="1A5276"/>
          <w:sz w:val="26"/>
          <w:szCs w:val="26"/>
        </w:rPr>
        <w:t xml:space="preserve">3.6.1 Backend-Required Capabilities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4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Backend Required</w:t>
            </w:r>
          </w:p>
        </w:tc>
        <w:tc>
          <w:tcPr>
            <w:tcW w:type="dxa" w:w="2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Full 14-compartment PBPK</w:t>
            </w:r>
          </w:p>
        </w:tc>
        <w:tc>
          <w:tcPr>
            <w:tcW w:type="dxa" w:w="4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ODE solver compute intensity; 1,000+ animals × 14 compartments</w:t>
            </w:r>
          </w:p>
        </w:tc>
        <w:tc>
          <w:tcPr>
            <w:tcW w:type="dxa" w:w="2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2</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Live ToxCast/Tox21 queries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EPA API rate limits; data freshness requirements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1 (approximated with calibrated models)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OECD QSAR Toolbox integration</w:t>
            </w:r>
          </w:p>
        </w:tc>
        <w:tc>
          <w:tcPr>
            <w:tcW w:type="dxa" w:w="4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Proprietary desktop application; requires server-side orchestration</w:t>
            </w:r>
          </w:p>
        </w:tc>
        <w:tc>
          <w:tcPr>
            <w:tcW w:type="dxa" w:w="2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3</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ToxBERT deep learning predictions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GPU inference; model too large for browser</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2</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Population PK modeling (NONMEM-style)</w:t>
            </w:r>
          </w:p>
        </w:tc>
        <w:tc>
          <w:tcPr>
            <w:tcW w:type="dxa" w:w="4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Iterative optimization; computationally intensive</w:t>
            </w:r>
          </w:p>
        </w:tc>
        <w:tc>
          <w:tcPr>
            <w:tcW w:type="dxa" w:w="2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4</w:t>
            </w:r>
          </w:p>
        </w:tc>
      </w:tr>
    </w:tbl>
    <w:p>
      <w:r>
        <w:br w:type="page"/>
      </w:r>
    </w:p>
    <w:p>
      <w:pPr>
        <w:pStyle w:val="Heading1"/>
        <w:spacing w:after="200" w:before="360"/>
      </w:pPr>
      <w:r>
        <w:rPr>
          <w:rFonts w:ascii="Arial" w:cs="Arial" w:eastAsia="Arial" w:hAnsi="Arial"/>
          <w:b/>
          <w:bCs/>
          <w:color w:val="1A5276"/>
          <w:sz w:val="36"/>
          <w:szCs w:val="36"/>
        </w:rPr>
        <w:t xml:space="preserve">4. Three-Pillar Simulation Architecture</w:t>
      </w:r>
    </w:p>
    <w:p>
      <w:pPr>
        <w:spacing w:after="160" w:line="276"/>
      </w:pPr>
      <w:r>
        <w:rPr>
          <w:rFonts w:ascii="Arial" w:cs="Arial" w:eastAsia="Arial" w:hAnsi="Arial"/>
          <w:color w:val="2C3E50"/>
          <w:sz w:val="22"/>
          <w:szCs w:val="22"/>
        </w:rPr>
        <w:t xml:space="preserve">The three pillars operate on top of Layer 0, consuming cohort data as their primary input. This section describes each pillar’s capabilities and how they interface with Layer 0.</w:t>
      </w:r>
    </w:p>
    <w:p>
      <w:pPr>
        <w:pStyle w:val="Heading2"/>
        <w:spacing w:after="200" w:before="240"/>
      </w:pPr>
      <w:r>
        <w:rPr>
          <w:rFonts w:ascii="Arial" w:cs="Arial" w:eastAsia="Arial" w:hAnsi="Arial"/>
          <w:b/>
          <w:bCs/>
          <w:color w:val="1A5276"/>
          <w:sz w:val="30"/>
          <w:szCs w:val="30"/>
        </w:rPr>
        <w:t xml:space="preserve">4.1 Pillar 1: In-Silico Simulation Engine</w:t>
      </w:r>
    </w:p>
    <w:p>
      <w:pPr>
        <w:spacing w:after="160" w:line="276"/>
      </w:pPr>
      <w:r>
        <w:rPr>
          <w:rFonts w:ascii="Arial" w:cs="Arial" w:eastAsia="Arial" w:hAnsi="Arial"/>
          <w:color w:val="2C3E50"/>
          <w:sz w:val="22"/>
          <w:szCs w:val="22"/>
        </w:rPr>
        <w:t xml:space="preserve">The simulation engine receives virtual animal cohorts from Layer 0 and executes PBPK modeling, toxicity prediction, and ADME simulation on each virtual animal instance. Results are aggregated at the population level to produce PK/PD curves with confidence intervals.</w:t>
      </w:r>
    </w:p>
    <w:p>
      <w:pPr>
        <w:pStyle w:val="Heading3"/>
        <w:spacing w:after="200" w:before="240"/>
      </w:pPr>
      <w:r>
        <w:rPr>
          <w:rFonts w:ascii="Arial" w:cs="Arial" w:eastAsia="Arial" w:hAnsi="Arial"/>
          <w:b/>
          <w:bCs/>
          <w:color w:val="1A5276"/>
          <w:sz w:val="26"/>
          <w:szCs w:val="26"/>
        </w:rPr>
        <w:t xml:space="preserve">4.1.1 PBPK Modeling Suite</w:t>
      </w:r>
    </w:p>
    <w:p>
      <w:pPr>
        <w:pStyle w:val="ListParagraph"/>
        <w:numPr>
          <w:ilvl w:val="0"/>
          <w:numId w:val="3"/>
        </w:numPr>
        <w:spacing w:after="80" w:line="276"/>
      </w:pPr>
      <w:r>
        <w:rPr>
          <w:rFonts w:ascii="Arial" w:cs="Arial" w:eastAsia="Arial" w:hAnsi="Arial"/>
          <w:b/>
          <w:bCs/>
          <w:color w:val="2C3E50"/>
          <w:sz w:val="22"/>
          <w:szCs w:val="22"/>
        </w:rPr>
        <w:t xml:space="preserve">Input from Layer 0: </w:t>
      </w:r>
      <w:r>
        <w:rPr>
          <w:rFonts w:ascii="Arial" w:cs="Arial" w:eastAsia="Arial" w:hAnsi="Arial"/>
          <w:color w:val="2C3E50"/>
          <w:sz w:val="22"/>
          <w:szCs w:val="22"/>
        </w:rPr>
        <w:t xml:space="preserve">Virtual animal parameters (organ weights, blood flows, enzyme expression, plasma binding), study group assignments, dose levels</w:t>
      </w:r>
    </w:p>
    <w:p>
      <w:pPr>
        <w:pStyle w:val="ListParagraph"/>
        <w:numPr>
          <w:ilvl w:val="0"/>
          <w:numId w:val="3"/>
        </w:numPr>
        <w:spacing w:after="80" w:line="276"/>
      </w:pPr>
      <w:r>
        <w:rPr>
          <w:rFonts w:ascii="Arial" w:cs="Arial" w:eastAsia="Arial" w:hAnsi="Arial"/>
          <w:b/>
          <w:bCs/>
          <w:color w:val="2C3E50"/>
          <w:sz w:val="22"/>
          <w:szCs w:val="22"/>
        </w:rPr>
        <w:t xml:space="preserve">Absorption modeling: </w:t>
      </w:r>
      <w:r>
        <w:rPr>
          <w:rFonts w:ascii="Arial" w:cs="Arial" w:eastAsia="Arial" w:hAnsi="Arial"/>
          <w:color w:val="2C3E50"/>
          <w:sz w:val="22"/>
          <w:szCs w:val="22"/>
        </w:rPr>
        <w:t xml:space="preserve">Oral, IV, SC, IM, transdermal, and inhalation routes with species-specific GI physiology</w:t>
      </w:r>
    </w:p>
    <w:p>
      <w:pPr>
        <w:pStyle w:val="ListParagraph"/>
        <w:numPr>
          <w:ilvl w:val="0"/>
          <w:numId w:val="3"/>
        </w:numPr>
        <w:spacing w:after="80" w:line="276"/>
      </w:pPr>
      <w:r>
        <w:rPr>
          <w:rFonts w:ascii="Arial" w:cs="Arial" w:eastAsia="Arial" w:hAnsi="Arial"/>
          <w:b/>
          <w:bCs/>
          <w:color w:val="2C3E50"/>
          <w:sz w:val="22"/>
          <w:szCs w:val="22"/>
        </w:rPr>
        <w:t xml:space="preserve">Distribution: </w:t>
      </w:r>
      <w:r>
        <w:rPr>
          <w:rFonts w:ascii="Arial" w:cs="Arial" w:eastAsia="Arial" w:hAnsi="Arial"/>
          <w:color w:val="2C3E50"/>
          <w:sz w:val="22"/>
          <w:szCs w:val="22"/>
        </w:rPr>
        <w:t xml:space="preserve">Tissue-to-plasma partition coefficients across 14 organ compartments per virtual animal</w:t>
      </w:r>
    </w:p>
    <w:p>
      <w:pPr>
        <w:pStyle w:val="ListParagraph"/>
        <w:numPr>
          <w:ilvl w:val="0"/>
          <w:numId w:val="3"/>
        </w:numPr>
        <w:spacing w:after="80" w:line="276"/>
      </w:pPr>
      <w:r>
        <w:rPr>
          <w:rFonts w:ascii="Arial" w:cs="Arial" w:eastAsia="Arial" w:hAnsi="Arial"/>
          <w:b/>
          <w:bCs/>
          <w:color w:val="2C3E50"/>
          <w:sz w:val="22"/>
          <w:szCs w:val="22"/>
        </w:rPr>
        <w:t xml:space="preserve">Metabolism: </w:t>
      </w:r>
      <w:r>
        <w:rPr>
          <w:rFonts w:ascii="Arial" w:cs="Arial" w:eastAsia="Arial" w:hAnsi="Arial"/>
          <w:color w:val="2C3E50"/>
          <w:sz w:val="22"/>
          <w:szCs w:val="22"/>
        </w:rPr>
        <w:t xml:space="preserve">CYP enzyme mapping using each virtual animal’s genetic profile from Layer 0; IVIVE extrapolation</w:t>
      </w:r>
    </w:p>
    <w:p>
      <w:pPr>
        <w:pStyle w:val="ListParagraph"/>
        <w:numPr>
          <w:ilvl w:val="0"/>
          <w:numId w:val="3"/>
        </w:numPr>
        <w:spacing w:after="80" w:line="276"/>
      </w:pPr>
      <w:r>
        <w:rPr>
          <w:rFonts w:ascii="Arial" w:cs="Arial" w:eastAsia="Arial" w:hAnsi="Arial"/>
          <w:b/>
          <w:bCs/>
          <w:color w:val="2C3E50"/>
          <w:sz w:val="22"/>
          <w:szCs w:val="22"/>
        </w:rPr>
        <w:t xml:space="preserve">Population PK output: </w:t>
      </w:r>
      <w:r>
        <w:rPr>
          <w:rFonts w:ascii="Arial" w:cs="Arial" w:eastAsia="Arial" w:hAnsi="Arial"/>
          <w:color w:val="2C3E50"/>
          <w:sz w:val="22"/>
          <w:szCs w:val="22"/>
        </w:rPr>
        <w:t xml:space="preserve">Monte Carlo results from Layer 0’s virtual population produce exposure distributions (AUC, Cmax, Tmax) with confidence intervals, not point estimates</w:t>
      </w:r>
    </w:p>
    <w:p>
      <w:pPr>
        <w:pStyle w:val="Heading3"/>
        <w:spacing w:after="200" w:before="240"/>
      </w:pPr>
      <w:r>
        <w:rPr>
          <w:rFonts w:ascii="Arial" w:cs="Arial" w:eastAsia="Arial" w:hAnsi="Arial"/>
          <w:b/>
          <w:bCs/>
          <w:color w:val="1A5276"/>
          <w:sz w:val="26"/>
          <w:szCs w:val="26"/>
        </w:rPr>
        <w:t xml:space="preserve">4.1.2 Toxicity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w:t>
            </w:r>
          </w:p>
        </w:tc>
        <w:tc>
          <w:tcPr>
            <w:tcW w:type="dxa" w:w="41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0 Integration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Acute toxicity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LD50, MTD, NOAEL estimation</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Per-animal predictions aggregated across cohort variability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 toxicity</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DILI, cardiotoxicity, nephrotoxicity, neurotoxicity</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Organ-specific exposure from PBPK × toxicity threshold</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Genotoxicity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Ames prediction, chromosomal aberration</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Structural alerts; independent of cohort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Reproductive toxicity</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Teratogenicity, fertility, developmental</w:t>
            </w:r>
          </w:p>
        </w:tc>
        <w:tc>
          <w:tcPr>
            <w:tcW w:type="dxa" w:w="41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Age/sex-specific parameters from virtual animals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Immunotoxicity</w:t>
            </w:r>
          </w:p>
        </w:tc>
        <w:tc>
          <w:tcPr>
            <w:tcW w:type="dxa" w:w="3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Cytokine release, immunosuppression</w:t>
            </w:r>
          </w:p>
        </w:tc>
        <w:tc>
          <w:tcPr>
            <w:tcW w:type="dxa" w:w="41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Immune baseline parameters from Layer 0 genetic profile</w:t>
            </w:r>
          </w:p>
        </w:tc>
      </w:tr>
    </w:tbl>
    <w:p>
      <w:pPr>
        <w:spacing w:after="120"/>
      </w:pPr>
    </w:p>
    <w:p>
      <w:pPr>
        <w:pStyle w:val="Heading2"/>
        <w:spacing w:after="200" w:before="240"/>
      </w:pPr>
      <w:r>
        <w:rPr>
          <w:rFonts w:ascii="Arial" w:cs="Arial" w:eastAsia="Arial" w:hAnsi="Arial"/>
          <w:b/>
          <w:bCs/>
          <w:color w:val="1A5276"/>
          <w:sz w:val="30"/>
          <w:szCs w:val="30"/>
        </w:rPr>
        <w:t xml:space="preserve">4.2 Pillar 2: Study Design Intelligence</w:t>
      </w:r>
    </w:p>
    <w:p>
      <w:pPr>
        <w:spacing w:after="160" w:line="276"/>
      </w:pPr>
      <w:r>
        <w:rPr>
          <w:rFonts w:ascii="Arial" w:cs="Arial" w:eastAsia="Arial" w:hAnsi="Arial"/>
          <w:color w:val="2C3E50"/>
          <w:sz w:val="22"/>
          <w:szCs w:val="22"/>
        </w:rPr>
        <w:t xml:space="preserve">Study design intelligence consumes both Layer 0 cohort definitions and Pillar 1 simulation results to produce optimized, GLP-ready study protocols.</w:t>
      </w:r>
    </w:p>
    <w:p>
      <w:pPr>
        <w:pStyle w:val="ListParagraph"/>
        <w:numPr>
          <w:ilvl w:val="0"/>
          <w:numId w:val="4"/>
        </w:numPr>
        <w:spacing w:after="80" w:line="276"/>
      </w:pPr>
      <w:r>
        <w:rPr>
          <w:rFonts w:ascii="Arial" w:cs="Arial" w:eastAsia="Arial" w:hAnsi="Arial"/>
          <w:b/>
          <w:bCs/>
          <w:color w:val="2C3E50"/>
          <w:sz w:val="22"/>
          <w:szCs w:val="22"/>
        </w:rPr>
        <w:t xml:space="preserve">AI species selection: </w:t>
      </w:r>
      <w:r>
        <w:rPr>
          <w:rFonts w:ascii="Arial" w:cs="Arial" w:eastAsia="Arial" w:hAnsi="Arial"/>
          <w:color w:val="2C3E50"/>
          <w:sz w:val="22"/>
          <w:szCs w:val="22"/>
        </w:rPr>
        <w:t xml:space="preserve">Runs on Layer 0’s species library; scores target homology, CYP profiles, and metabolic relevance; recommends optimal species pair (rodent + non-rodent)</w:t>
      </w:r>
    </w:p>
    <w:p>
      <w:pPr>
        <w:pStyle w:val="ListParagraph"/>
        <w:numPr>
          <w:ilvl w:val="0"/>
          <w:numId w:val="4"/>
        </w:numPr>
        <w:spacing w:after="80" w:line="276"/>
      </w:pPr>
      <w:r>
        <w:rPr>
          <w:rFonts w:ascii="Arial" w:cs="Arial" w:eastAsia="Arial" w:hAnsi="Arial"/>
          <w:b/>
          <w:bCs/>
          <w:color w:val="2C3E50"/>
          <w:sz w:val="22"/>
          <w:szCs w:val="22"/>
        </w:rPr>
        <w:t xml:space="preserve">Dose range finding: </w:t>
      </w:r>
      <w:r>
        <w:rPr>
          <w:rFonts w:ascii="Arial" w:cs="Arial" w:eastAsia="Arial" w:hAnsi="Arial"/>
          <w:color w:val="2C3E50"/>
          <w:sz w:val="22"/>
          <w:szCs w:val="22"/>
        </w:rPr>
        <w:t xml:space="preserve">Uses Layer 0 cohort’s PBPK predictions to set dose levels with exposure multiples over projected human therapeutic exposure</w:t>
      </w:r>
    </w:p>
    <w:p>
      <w:pPr>
        <w:pStyle w:val="ListParagraph"/>
        <w:numPr>
          <w:ilvl w:val="0"/>
          <w:numId w:val="4"/>
        </w:numPr>
        <w:spacing w:after="80" w:line="276"/>
      </w:pPr>
      <w:r>
        <w:rPr>
          <w:rFonts w:ascii="Arial" w:cs="Arial" w:eastAsia="Arial" w:hAnsi="Arial"/>
          <w:b/>
          <w:bCs/>
          <w:color w:val="2C3E50"/>
          <w:sz w:val="22"/>
          <w:szCs w:val="22"/>
        </w:rPr>
        <w:t xml:space="preserve">Endpoint optimization: </w:t>
      </w:r>
      <w:r>
        <w:rPr>
          <w:rFonts w:ascii="Arial" w:cs="Arial" w:eastAsia="Arial" w:hAnsi="Arial"/>
          <w:color w:val="2C3E50"/>
          <w:sz w:val="22"/>
          <w:szCs w:val="22"/>
        </w:rPr>
        <w:t xml:space="preserve">Cross-references ICH guidelines (S1–S10) with Layer 0’s toxicity flag matrix to recommend study-specific endpoints</w:t>
      </w:r>
    </w:p>
    <w:p>
      <w:pPr>
        <w:pStyle w:val="ListParagraph"/>
        <w:numPr>
          <w:ilvl w:val="0"/>
          <w:numId w:val="4"/>
        </w:numPr>
        <w:spacing w:after="80" w:line="276"/>
      </w:pPr>
      <w:r>
        <w:rPr>
          <w:rFonts w:ascii="Arial" w:cs="Arial" w:eastAsia="Arial" w:hAnsi="Arial"/>
          <w:b/>
          <w:bCs/>
          <w:color w:val="2C3E50"/>
          <w:sz w:val="22"/>
          <w:szCs w:val="22"/>
        </w:rPr>
        <w:t xml:space="preserve">Protocol generation: </w:t>
      </w:r>
      <w:r>
        <w:rPr>
          <w:rFonts w:ascii="Arial" w:cs="Arial" w:eastAsia="Arial" w:hAnsi="Arial"/>
          <w:color w:val="2C3E50"/>
          <w:sz w:val="22"/>
          <w:szCs w:val="22"/>
        </w:rPr>
        <w:t xml:space="preserve">Auto-populates GLP protocol templates with Layer 0 group structures, sample sizes, randomization scheme, and TK sampling schedules</w:t>
      </w:r>
    </w:p>
    <w:p>
      <w:pPr>
        <w:pStyle w:val="ListParagraph"/>
        <w:numPr>
          <w:ilvl w:val="0"/>
          <w:numId w:val="4"/>
        </w:numPr>
        <w:spacing w:after="80" w:line="276"/>
      </w:pPr>
      <w:r>
        <w:rPr>
          <w:rFonts w:ascii="Arial" w:cs="Arial" w:eastAsia="Arial" w:hAnsi="Arial"/>
          <w:b/>
          <w:bCs/>
          <w:color w:val="2C3E50"/>
          <w:sz w:val="22"/>
          <w:szCs w:val="22"/>
        </w:rPr>
        <w:t xml:space="preserve">CRO handoff package: </w:t>
      </w:r>
      <w:r>
        <w:rPr>
          <w:rFonts w:ascii="Arial" w:cs="Arial" w:eastAsia="Arial" w:hAnsi="Arial"/>
          <w:color w:val="2C3E50"/>
          <w:sz w:val="22"/>
          <w:szCs w:val="22"/>
        </w:rPr>
        <w:t xml:space="preserve">Exports protocol + cohort specification + simulation rationale as downloadable documents in formats compatible with Charles River, Covance/Labcorp, and IITRI</w:t>
      </w:r>
    </w:p>
    <w:p>
      <w:pPr>
        <w:pStyle w:val="Heading2"/>
        <w:spacing w:after="200" w:before="240"/>
      </w:pPr>
      <w:r>
        <w:rPr>
          <w:rFonts w:ascii="Arial" w:cs="Arial" w:eastAsia="Arial" w:hAnsi="Arial"/>
          <w:b/>
          <w:bCs/>
          <w:color w:val="1A5276"/>
          <w:sz w:val="30"/>
          <w:szCs w:val="30"/>
        </w:rPr>
        <w:t xml:space="preserve">4.3 Pillar 3: Regulatory Compliance Navigator</w:t>
      </w:r>
    </w:p>
    <w:p>
      <w:pPr>
        <w:spacing w:after="160" w:line="276"/>
      </w:pPr>
      <w:r>
        <w:rPr>
          <w:rFonts w:ascii="Arial" w:cs="Arial" w:eastAsia="Arial" w:hAnsi="Arial"/>
          <w:color w:val="2C3E50"/>
          <w:sz w:val="22"/>
          <w:szCs w:val="22"/>
        </w:rPr>
        <w:t xml:space="preserve">The compliance navigator validates the entire preclinical package (Layer 0 cohort design + simulation results + study protocols) against FDA and EMA requirements.</w:t>
      </w:r>
    </w:p>
    <w:p>
      <w:pPr>
        <w:pStyle w:val="ListParagraph"/>
        <w:numPr>
          <w:ilvl w:val="0"/>
          <w:numId w:val="5"/>
        </w:numPr>
        <w:spacing w:after="80" w:line="276"/>
      </w:pPr>
      <w:r>
        <w:rPr>
          <w:rFonts w:ascii="Arial" w:cs="Arial" w:eastAsia="Arial" w:hAnsi="Arial"/>
          <w:b/>
          <w:bCs/>
          <w:color w:val="2C3E50"/>
          <w:sz w:val="22"/>
          <w:szCs w:val="22"/>
        </w:rPr>
        <w:t xml:space="preserve">IND requirements map: </w:t>
      </w:r>
      <w:r>
        <w:rPr>
          <w:rFonts w:ascii="Arial" w:cs="Arial" w:eastAsia="Arial" w:hAnsi="Arial"/>
          <w:color w:val="2C3E50"/>
          <w:sz w:val="22"/>
          <w:szCs w:val="22"/>
        </w:rPr>
        <w:t xml:space="preserve">Interactive checklist covering pharmacology, PK, toxicology, and special studies; auto-populated from Layer 0 handoff data</w:t>
      </w:r>
    </w:p>
    <w:p>
      <w:pPr>
        <w:pStyle w:val="ListParagraph"/>
        <w:numPr>
          <w:ilvl w:val="0"/>
          <w:numId w:val="5"/>
        </w:numPr>
        <w:spacing w:after="80" w:line="276"/>
      </w:pPr>
      <w:r>
        <w:rPr>
          <w:rFonts w:ascii="Arial" w:cs="Arial" w:eastAsia="Arial" w:hAnsi="Arial"/>
          <w:b/>
          <w:bCs/>
          <w:color w:val="2C3E50"/>
          <w:sz w:val="22"/>
          <w:szCs w:val="22"/>
        </w:rPr>
        <w:t xml:space="preserve">NAM integration strategy: </w:t>
      </w:r>
      <w:r>
        <w:rPr>
          <w:rFonts w:ascii="Arial" w:cs="Arial" w:eastAsia="Arial" w:hAnsi="Arial"/>
          <w:color w:val="2C3E50"/>
          <w:sz w:val="22"/>
          <w:szCs w:val="22"/>
        </w:rPr>
        <w:t xml:space="preserve">Evaluates which study elements are eligible for NAM substitution; generates hybrid package recommendations with evidence-weight scoring</w:t>
      </w:r>
    </w:p>
    <w:p>
      <w:pPr>
        <w:pStyle w:val="ListParagraph"/>
        <w:numPr>
          <w:ilvl w:val="0"/>
          <w:numId w:val="5"/>
        </w:numPr>
        <w:spacing w:after="80" w:line="276"/>
      </w:pPr>
      <w:r>
        <w:rPr>
          <w:rFonts w:ascii="Arial" w:cs="Arial" w:eastAsia="Arial" w:hAnsi="Arial"/>
          <w:b/>
          <w:bCs/>
          <w:color w:val="2C3E50"/>
          <w:sz w:val="22"/>
          <w:szCs w:val="22"/>
        </w:rPr>
        <w:t xml:space="preserve">GLP compliance engine: </w:t>
      </w:r>
      <w:r>
        <w:rPr>
          <w:rFonts w:ascii="Arial" w:cs="Arial" w:eastAsia="Arial" w:hAnsi="Arial"/>
          <w:color w:val="2C3E50"/>
          <w:sz w:val="22"/>
          <w:szCs w:val="22"/>
        </w:rPr>
        <w:t xml:space="preserve">Automated check of 150+ GLP requirements against generated protocols; audit trail meeting 21 CFR Part 11</w:t>
      </w:r>
    </w:p>
    <w:p>
      <w:pPr>
        <w:pStyle w:val="ListParagraph"/>
        <w:numPr>
          <w:ilvl w:val="0"/>
          <w:numId w:val="5"/>
        </w:numPr>
        <w:spacing w:after="80" w:line="276"/>
      </w:pPr>
      <w:r>
        <w:rPr>
          <w:rFonts w:ascii="Arial" w:cs="Arial" w:eastAsia="Arial" w:hAnsi="Arial"/>
          <w:b/>
          <w:bCs/>
          <w:color w:val="2C3E50"/>
          <w:sz w:val="22"/>
          <w:szCs w:val="22"/>
        </w:rPr>
        <w:t xml:space="preserve">Species justification generator: </w:t>
      </w:r>
      <w:r>
        <w:rPr>
          <w:rFonts w:ascii="Arial" w:cs="Arial" w:eastAsia="Arial" w:hAnsi="Arial"/>
          <w:color w:val="2C3E50"/>
          <w:sz w:val="22"/>
          <w:szCs w:val="22"/>
        </w:rPr>
        <w:t xml:space="preserve">Produces FDA-ready species rationale document from Layer 0’s AI recommendation + supporting data</w:t>
      </w:r>
    </w:p>
    <w:p>
      <w:pPr>
        <w:pStyle w:val="ListParagraph"/>
        <w:numPr>
          <w:ilvl w:val="0"/>
          <w:numId w:val="5"/>
        </w:numPr>
        <w:spacing w:after="80" w:line="276"/>
      </w:pPr>
      <w:r>
        <w:rPr>
          <w:rFonts w:ascii="Arial" w:cs="Arial" w:eastAsia="Arial" w:hAnsi="Arial"/>
          <w:b/>
          <w:bCs/>
          <w:color w:val="2C3E50"/>
          <w:sz w:val="22"/>
          <w:szCs w:val="22"/>
        </w:rPr>
        <w:t xml:space="preserve">Multi-jurisdiction support: </w:t>
      </w:r>
      <w:r>
        <w:rPr>
          <w:rFonts w:ascii="Arial" w:cs="Arial" w:eastAsia="Arial" w:hAnsi="Arial"/>
          <w:color w:val="2C3E50"/>
          <w:sz w:val="22"/>
          <w:szCs w:val="22"/>
        </w:rPr>
        <w:t xml:space="preserve">FDA (full), EMA (core), PMDA and NMPA (planned v2.0)</w:t>
      </w:r>
    </w:p>
    <w:p>
      <w:r>
        <w:br w:type="page"/>
      </w:r>
    </w:p>
    <w:p>
      <w:pPr>
        <w:pStyle w:val="Heading1"/>
        <w:spacing w:after="200" w:before="360"/>
      </w:pPr>
      <w:r>
        <w:rPr>
          <w:rFonts w:ascii="Arial" w:cs="Arial" w:eastAsia="Arial" w:hAnsi="Arial"/>
          <w:b/>
          <w:bCs/>
          <w:color w:val="1A5276"/>
          <w:sz w:val="36"/>
          <w:szCs w:val="36"/>
        </w:rPr>
        <w:t xml:space="preserve">5. Data Integration Layer</w:t>
      </w:r>
    </w:p>
    <w:p>
      <w:pPr>
        <w:spacing w:after="160" w:line="276"/>
      </w:pPr>
      <w:r>
        <w:rPr>
          <w:rFonts w:ascii="Arial" w:cs="Arial" w:eastAsia="Arial" w:hAnsi="Arial"/>
          <w:color w:val="2C3E50"/>
          <w:sz w:val="22"/>
          <w:szCs w:val="22"/>
        </w:rPr>
        <w:t xml:space="preserve">The module integrates with the following public databases and data sources, extending Hakase AI’s existing 15+ database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3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4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 in Layer 0 / Module</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EPA ToxCast / Tox21</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HTS toxicity assays (9,000+ chemicals, 1,200+ endpoints)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Toxicity prediction calibration; cross-species extrapolation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ChEMBL</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Bioactivity data (1.8M compounds, 1.1M assays)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Target-activity modeling; IVIVE scaling factors</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PubChem</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Chemical structures &amp; bioassays (97M compounds)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Compound profiling; structural similarity for read-across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TOXRIC</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Toxicological benchmarks (15+ species, 1,474 endpoints)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Multi-species cohort parameter validation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OECD QSAR Toolbox</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69 profilers, 55 databases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Read-across predictions; structural alerts for Layer 0 tox screening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DrugBank</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Drug-target interactions, ADME properties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PK parameter estimation; reference compound benchmarking</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PhysioNet / MIMIC-IV</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 outcome data</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Translational bridge: animal-to-human outcome correlation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ClinicalTrials.gov</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400,000+ trial protocols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Historical dose-response data; species/dose precedent search</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FDA FAERS</w:t>
            </w:r>
          </w:p>
        </w:tc>
        <w:tc>
          <w:tcPr>
            <w:tcW w:type="dxa" w:w="3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20M+ adverse event reports</w:t>
            </w:r>
          </w:p>
        </w:tc>
        <w:tc>
          <w:tcPr>
            <w:tcW w:type="dxa" w:w="40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Post-market safety signal correlation with preclinical predictions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Brown/Davies Reference DB</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physiological parameters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0 virtual animal parameterization; organ weight/blood flow defaults</w:t>
            </w:r>
          </w:p>
        </w:tc>
      </w:tr>
    </w:tbl>
    <w:p>
      <w:r>
        <w:br w:type="page"/>
      </w:r>
    </w:p>
    <w:p>
      <w:pPr>
        <w:pStyle w:val="Heading1"/>
        <w:spacing w:after="200" w:before="360"/>
      </w:pPr>
      <w:r>
        <w:rPr>
          <w:rFonts w:ascii="Arial" w:cs="Arial" w:eastAsia="Arial" w:hAnsi="Arial"/>
          <w:b/>
          <w:bCs/>
          <w:color w:val="1A5276"/>
          <w:sz w:val="36"/>
          <w:szCs w:val="36"/>
        </w:rPr>
        <w:t xml:space="preserve">6. 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Base</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0 Role</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ToxBERT (new)</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BioBERT + ToxCast/TOXRIC</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Toxicity prediction from molecular descriptors</w:t>
            </w:r>
          </w:p>
        </w:tc>
        <w:tc>
          <w:tcPr>
            <w:tcW w:type="dxa" w:w="2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Feeds cohort-level tox flag matrix</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PK-Translator (new)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PBPK engine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Cross-species PK extrapolation, FIH dose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Runs on each Layer 0 virtual animal</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CohortGen (new)</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Monte Carlo + LHS</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Population generation and variability modeling</w:t>
            </w:r>
          </w:p>
        </w:tc>
        <w:tc>
          <w:tcPr>
            <w:tcW w:type="dxa" w:w="2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Core Layer 0 population engine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SpeciesSelector (new)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Multi-factor scoring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AI species recommendation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0 species library interface</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ProtocolGPT (existing)</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BioGPT + protocols</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Protocol generation and optimization</w:t>
            </w:r>
          </w:p>
        </w:tc>
        <w:tc>
          <w:tcPr>
            <w:tcW w:type="dxa" w:w="2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Consumes Layer 0 group definitions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ClinicalBERT (existing)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BERT + MIMIC-III</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Clinical outcome prediction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Translational bridging from Layer 0</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RegDoc-T5 (new)</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Clinical-T5 + FDA guidance</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compliance checking</w:t>
            </w:r>
          </w:p>
        </w:tc>
        <w:tc>
          <w:tcPr>
            <w:tcW w:type="dxa" w:w="2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Validates Layer 0 design decisions</w:t>
            </w:r>
          </w:p>
        </w:tc>
      </w:tr>
    </w:tbl>
    <w:p>
      <w:r>
        <w:br w:type="page"/>
      </w:r>
    </w:p>
    <w:p>
      <w:pPr>
        <w:pStyle w:val="Heading1"/>
        <w:spacing w:after="200" w:before="360"/>
      </w:pPr>
      <w:r>
        <w:rPr>
          <w:rFonts w:ascii="Arial" w:cs="Arial" w:eastAsia="Arial" w:hAnsi="Arial"/>
          <w:b/>
          <w:bCs/>
          <w:color w:val="1A5276"/>
          <w:sz w:val="36"/>
          <w:szCs w:val="36"/>
        </w:rPr>
        <w:t xml:space="preserve">7. User Experience &amp; Workflows</w:t>
      </w:r>
    </w:p>
    <w:p>
      <w:pPr>
        <w:pStyle w:val="Heading2"/>
        <w:spacing w:after="200" w:before="240"/>
      </w:pPr>
      <w:r>
        <w:rPr>
          <w:rFonts w:ascii="Arial" w:cs="Arial" w:eastAsia="Arial" w:hAnsi="Arial"/>
          <w:b/>
          <w:bCs/>
          <w:color w:val="1A5276"/>
          <w:sz w:val="30"/>
          <w:szCs w:val="30"/>
        </w:rPr>
        <w:t xml:space="preserve">7.1 Primary Workflow: Molecule-to-IND (Updated with Layer 0)</w:t>
      </w:r>
    </w:p>
    <w:p>
      <w:pPr>
        <w:pStyle w:val="ListParagraph"/>
        <w:numPr>
          <w:ilvl w:val="0"/>
          <w:numId w:val="6"/>
        </w:numPr>
        <w:spacing w:after="80" w:line="276"/>
      </w:pPr>
      <w:r>
        <w:rPr>
          <w:rFonts w:ascii="Arial" w:cs="Arial" w:eastAsia="Arial" w:hAnsi="Arial"/>
          <w:b/>
          <w:bCs/>
          <w:color w:val="2C3E50"/>
          <w:sz w:val="22"/>
          <w:szCs w:val="22"/>
        </w:rPr>
        <w:t xml:space="preserve">Step 1 — Compound Input: </w:t>
      </w:r>
      <w:r>
        <w:rPr>
          <w:rFonts w:ascii="Arial" w:cs="Arial" w:eastAsia="Arial" w:hAnsi="Arial"/>
          <w:color w:val="2C3E50"/>
          <w:sz w:val="22"/>
          <w:szCs w:val="22"/>
        </w:rPr>
        <w:t xml:space="preserve">User uploads molecular structure (SMILES, SDF, MOL) and provides target/indication information</w:t>
      </w:r>
    </w:p>
    <w:p>
      <w:pPr>
        <w:pStyle w:val="ListParagraph"/>
        <w:numPr>
          <w:ilvl w:val="0"/>
          <w:numId w:val="6"/>
        </w:numPr>
        <w:spacing w:after="80" w:line="276"/>
      </w:pPr>
      <w:r>
        <w:rPr>
          <w:rFonts w:ascii="Arial" w:cs="Arial" w:eastAsia="Arial" w:hAnsi="Arial"/>
          <w:b/>
          <w:bCs/>
          <w:color w:val="2C3E50"/>
          <w:sz w:val="22"/>
          <w:szCs w:val="22"/>
        </w:rPr>
        <w:t xml:space="preserve">Step 2 — Layer 0 Activation: Species &amp; Cohort: </w:t>
      </w:r>
      <w:r>
        <w:rPr>
          <w:rFonts w:ascii="Arial" w:cs="Arial" w:eastAsia="Arial" w:hAnsi="Arial"/>
          <w:color w:val="2C3E50"/>
          <w:sz w:val="22"/>
          <w:szCs w:val="22"/>
        </w:rPr>
        <w:t xml:space="preserve">AI recommends species pair; user confirms or adjusts. System generates virtual animal cohort with population variability models.</w:t>
      </w:r>
    </w:p>
    <w:p>
      <w:pPr>
        <w:pStyle w:val="ListParagraph"/>
        <w:numPr>
          <w:ilvl w:val="0"/>
          <w:numId w:val="6"/>
        </w:numPr>
        <w:spacing w:after="80" w:line="276"/>
      </w:pPr>
      <w:r>
        <w:rPr>
          <w:rFonts w:ascii="Arial" w:cs="Arial" w:eastAsia="Arial" w:hAnsi="Arial"/>
          <w:b/>
          <w:bCs/>
          <w:color w:val="2C3E50"/>
          <w:sz w:val="22"/>
          <w:szCs w:val="22"/>
        </w:rPr>
        <w:t xml:space="preserve">Step 3 — Layer 0: Study Group Design: </w:t>
      </w:r>
      <w:r>
        <w:rPr>
          <w:rFonts w:ascii="Arial" w:cs="Arial" w:eastAsia="Arial" w:hAnsi="Arial"/>
          <w:color w:val="2C3E50"/>
          <w:sz w:val="22"/>
          <w:szCs w:val="22"/>
        </w:rPr>
        <w:t xml:space="preserve">AI proposes study group structure (control, dose groups, recovery, satellite TK) with sample sizes. User reviews and customizes.</w:t>
      </w:r>
    </w:p>
    <w:p>
      <w:pPr>
        <w:pStyle w:val="ListParagraph"/>
        <w:numPr>
          <w:ilvl w:val="0"/>
          <w:numId w:val="6"/>
        </w:numPr>
        <w:spacing w:after="80" w:line="276"/>
      </w:pPr>
      <w:r>
        <w:rPr>
          <w:rFonts w:ascii="Arial" w:cs="Arial" w:eastAsia="Arial" w:hAnsi="Arial"/>
          <w:b/>
          <w:bCs/>
          <w:color w:val="2C3E50"/>
          <w:sz w:val="22"/>
          <w:szCs w:val="22"/>
        </w:rPr>
        <w:t xml:space="preserve">Step 4 — In-Silico Simulation: </w:t>
      </w:r>
      <w:r>
        <w:rPr>
          <w:rFonts w:ascii="Arial" w:cs="Arial" w:eastAsia="Arial" w:hAnsi="Arial"/>
          <w:color w:val="2C3E50"/>
          <w:sz w:val="22"/>
          <w:szCs w:val="22"/>
        </w:rPr>
        <w:t xml:space="preserve">PBPK and toxicity simulation runs on the Layer 0 virtual cohort. Population PK curves, tox predictions, and dose-exposure relationships generated.</w:t>
      </w:r>
    </w:p>
    <w:p>
      <w:pPr>
        <w:pStyle w:val="ListParagraph"/>
        <w:numPr>
          <w:ilvl w:val="0"/>
          <w:numId w:val="6"/>
        </w:numPr>
        <w:spacing w:after="80" w:line="276"/>
      </w:pPr>
      <w:r>
        <w:rPr>
          <w:rFonts w:ascii="Arial" w:cs="Arial" w:eastAsia="Arial" w:hAnsi="Arial"/>
          <w:b/>
          <w:bCs/>
          <w:color w:val="2C3E50"/>
          <w:sz w:val="22"/>
          <w:szCs w:val="22"/>
        </w:rPr>
        <w:t xml:space="preserve">Step 5 — Dose &amp; Design Optimization: </w:t>
      </w:r>
      <w:r>
        <w:rPr>
          <w:rFonts w:ascii="Arial" w:cs="Arial" w:eastAsia="Arial" w:hAnsi="Arial"/>
          <w:color w:val="2C3E50"/>
          <w:sz w:val="22"/>
          <w:szCs w:val="22"/>
        </w:rPr>
        <w:t xml:space="preserve">Based on simulation results, system recommends dose adjustments, endpoint refinements, or cohort modifications. Iterative loop.</w:t>
      </w:r>
    </w:p>
    <w:p>
      <w:pPr>
        <w:pStyle w:val="ListParagraph"/>
        <w:numPr>
          <w:ilvl w:val="0"/>
          <w:numId w:val="6"/>
        </w:numPr>
        <w:spacing w:after="80" w:line="276"/>
      </w:pPr>
      <w:r>
        <w:rPr>
          <w:rFonts w:ascii="Arial" w:cs="Arial" w:eastAsia="Arial" w:hAnsi="Arial"/>
          <w:b/>
          <w:bCs/>
          <w:color w:val="2C3E50"/>
          <w:sz w:val="22"/>
          <w:szCs w:val="22"/>
        </w:rPr>
        <w:t xml:space="preserve">Step 6 — NAM Integration Assessment: </w:t>
      </w:r>
      <w:r>
        <w:rPr>
          <w:rFonts w:ascii="Arial" w:cs="Arial" w:eastAsia="Arial" w:hAnsi="Arial"/>
          <w:color w:val="2C3E50"/>
          <w:sz w:val="22"/>
          <w:szCs w:val="22"/>
        </w:rPr>
        <w:t xml:space="preserve">Identifies opportunities to substitute or supplement animal studies with validated NAMs.</w:t>
      </w:r>
    </w:p>
    <w:p>
      <w:pPr>
        <w:pStyle w:val="ListParagraph"/>
        <w:numPr>
          <w:ilvl w:val="0"/>
          <w:numId w:val="6"/>
        </w:numPr>
        <w:spacing w:after="80" w:line="276"/>
      </w:pPr>
      <w:r>
        <w:rPr>
          <w:rFonts w:ascii="Arial" w:cs="Arial" w:eastAsia="Arial" w:hAnsi="Arial"/>
          <w:b/>
          <w:bCs/>
          <w:color w:val="2C3E50"/>
          <w:sz w:val="22"/>
          <w:szCs w:val="22"/>
        </w:rPr>
        <w:t xml:space="preserve">Step 7 — Compliance Review: </w:t>
      </w:r>
      <w:r>
        <w:rPr>
          <w:rFonts w:ascii="Arial" w:cs="Arial" w:eastAsia="Arial" w:hAnsi="Arial"/>
          <w:color w:val="2C3E50"/>
          <w:sz w:val="22"/>
          <w:szCs w:val="22"/>
        </w:rPr>
        <w:t xml:space="preserve">Automated IND requirements check with gap analysis against Layer 0 outputs + simulation results.</w:t>
      </w:r>
    </w:p>
    <w:p>
      <w:pPr>
        <w:pStyle w:val="ListParagraph"/>
        <w:numPr>
          <w:ilvl w:val="0"/>
          <w:numId w:val="6"/>
        </w:numPr>
        <w:spacing w:after="80" w:line="276"/>
      </w:pPr>
      <w:r>
        <w:rPr>
          <w:rFonts w:ascii="Arial" w:cs="Arial" w:eastAsia="Arial" w:hAnsi="Arial"/>
          <w:b/>
          <w:bCs/>
          <w:color w:val="2C3E50"/>
          <w:sz w:val="22"/>
          <w:szCs w:val="22"/>
        </w:rPr>
        <w:t xml:space="preserve">Step 8 — Layer Handoff → Layer 1: </w:t>
      </w:r>
      <w:r>
        <w:rPr>
          <w:rFonts w:ascii="Arial" w:cs="Arial" w:eastAsia="Arial" w:hAnsi="Arial"/>
          <w:color w:val="2C3E50"/>
          <w:sz w:val="22"/>
          <w:szCs w:val="22"/>
        </w:rPr>
        <w:t xml:space="preserve">Packages HED, NOAEL, MTD, safety margins, species justification, and dose-exposure data for clinical module consumption.</w:t>
      </w:r>
    </w:p>
    <w:p>
      <w:pPr>
        <w:pStyle w:val="ListParagraph"/>
        <w:numPr>
          <w:ilvl w:val="0"/>
          <w:numId w:val="6"/>
        </w:numPr>
        <w:spacing w:after="80" w:line="276"/>
      </w:pPr>
      <w:r>
        <w:rPr>
          <w:rFonts w:ascii="Arial" w:cs="Arial" w:eastAsia="Arial" w:hAnsi="Arial"/>
          <w:b/>
          <w:bCs/>
          <w:color w:val="2C3E50"/>
          <w:sz w:val="22"/>
          <w:szCs w:val="22"/>
        </w:rPr>
        <w:t xml:space="preserve">Step 9 — Package Export: </w:t>
      </w:r>
      <w:r>
        <w:rPr>
          <w:rFonts w:ascii="Arial" w:cs="Arial" w:eastAsia="Arial" w:hAnsi="Arial"/>
          <w:color w:val="2C3E50"/>
          <w:sz w:val="22"/>
          <w:szCs w:val="22"/>
        </w:rPr>
        <w:t xml:space="preserve">Complete preclinical package as structured documents for regulatory submission or CRO handoff.</w:t>
      </w:r>
    </w:p>
    <w:p>
      <w:pPr>
        <w:pStyle w:val="Heading2"/>
        <w:spacing w:after="200" w:before="240"/>
      </w:pPr>
      <w:r>
        <w:rPr>
          <w:rFonts w:ascii="Arial" w:cs="Arial" w:eastAsia="Arial" w:hAnsi="Arial"/>
          <w:b/>
          <w:bCs/>
          <w:color w:val="1A5276"/>
          <w:sz w:val="30"/>
          <w:szCs w:val="30"/>
        </w:rPr>
        <w:t xml:space="preserve">7.2 Dashboard Views</w:t>
      </w:r>
    </w:p>
    <w:p>
      <w:pPr>
        <w:pStyle w:val="ListParagraph"/>
        <w:numPr>
          <w:ilvl w:val="0"/>
          <w:numId w:val="7"/>
        </w:numPr>
        <w:spacing w:after="80" w:line="276"/>
      </w:pPr>
      <w:r>
        <w:rPr>
          <w:rFonts w:ascii="Arial" w:cs="Arial" w:eastAsia="Arial" w:hAnsi="Arial"/>
          <w:b/>
          <w:bCs/>
          <w:color w:val="2C3E50"/>
          <w:sz w:val="22"/>
          <w:szCs w:val="22"/>
        </w:rPr>
        <w:t xml:space="preserve">Cohort Dashboard (NEW): </w:t>
      </w:r>
      <w:r>
        <w:rPr>
          <w:rFonts w:ascii="Arial" w:cs="Arial" w:eastAsia="Arial" w:hAnsi="Arial"/>
          <w:color w:val="2C3E50"/>
          <w:sz w:val="22"/>
          <w:szCs w:val="22"/>
        </w:rPr>
        <w:t xml:space="preserve">Virtual population visualizations (weight distributions, parameter correlations), study group summary, randomization status, population statistics</w:t>
      </w:r>
    </w:p>
    <w:p>
      <w:pPr>
        <w:pStyle w:val="ListParagraph"/>
        <w:numPr>
          <w:ilvl w:val="0"/>
          <w:numId w:val="7"/>
        </w:numPr>
        <w:spacing w:after="80" w:line="276"/>
      </w:pPr>
      <w:r>
        <w:rPr>
          <w:rFonts w:ascii="Arial" w:cs="Arial" w:eastAsia="Arial" w:hAnsi="Arial"/>
          <w:b/>
          <w:bCs/>
          <w:color w:val="2C3E50"/>
          <w:sz w:val="22"/>
          <w:szCs w:val="22"/>
        </w:rPr>
        <w:t xml:space="preserve">Simulation Dashboard: </w:t>
      </w:r>
      <w:r>
        <w:rPr>
          <w:rFonts w:ascii="Arial" w:cs="Arial" w:eastAsia="Arial" w:hAnsi="Arial"/>
          <w:color w:val="2C3E50"/>
          <w:sz w:val="22"/>
          <w:szCs w:val="22"/>
        </w:rPr>
        <w:t xml:space="preserve">PK curves with population CI bands, toxicity heatmaps, dose-response visualizations with interactive parameter adjustment</w:t>
      </w:r>
    </w:p>
    <w:p>
      <w:pPr>
        <w:pStyle w:val="ListParagraph"/>
        <w:numPr>
          <w:ilvl w:val="0"/>
          <w:numId w:val="7"/>
        </w:numPr>
        <w:spacing w:after="80" w:line="276"/>
      </w:pPr>
      <w:r>
        <w:rPr>
          <w:rFonts w:ascii="Arial" w:cs="Arial" w:eastAsia="Arial" w:hAnsi="Arial"/>
          <w:b/>
          <w:bCs/>
          <w:color w:val="2C3E50"/>
          <w:sz w:val="22"/>
          <w:szCs w:val="22"/>
        </w:rPr>
        <w:t xml:space="preserve">Study Design Dashboard: </w:t>
      </w:r>
      <w:r>
        <w:rPr>
          <w:rFonts w:ascii="Arial" w:cs="Arial" w:eastAsia="Arial" w:hAnsi="Arial"/>
          <w:color w:val="2C3E50"/>
          <w:sz w:val="22"/>
          <w:szCs w:val="22"/>
        </w:rPr>
        <w:t xml:space="preserve">Protocol status tracker, timeline Gantt chart, cost estimator, CRO comparison tool</w:t>
      </w:r>
    </w:p>
    <w:p>
      <w:pPr>
        <w:pStyle w:val="ListParagraph"/>
        <w:numPr>
          <w:ilvl w:val="0"/>
          <w:numId w:val="7"/>
        </w:numPr>
        <w:spacing w:after="80" w:line="276"/>
      </w:pPr>
      <w:r>
        <w:rPr>
          <w:rFonts w:ascii="Arial" w:cs="Arial" w:eastAsia="Arial" w:hAnsi="Arial"/>
          <w:b/>
          <w:bCs/>
          <w:color w:val="2C3E50"/>
          <w:sz w:val="22"/>
          <w:szCs w:val="22"/>
        </w:rPr>
        <w:t xml:space="preserve">Compliance Dashboard: </w:t>
      </w:r>
      <w:r>
        <w:rPr>
          <w:rFonts w:ascii="Arial" w:cs="Arial" w:eastAsia="Arial" w:hAnsi="Arial"/>
          <w:color w:val="2C3E50"/>
          <w:sz w:val="22"/>
          <w:szCs w:val="22"/>
        </w:rPr>
        <w:t xml:space="preserve">IND readiness score, requirement checklist with status indicators, gap analysis, submission timeline</w:t>
      </w:r>
    </w:p>
    <w:p>
      <w:pPr>
        <w:pStyle w:val="ListParagraph"/>
        <w:numPr>
          <w:ilvl w:val="0"/>
          <w:numId w:val="7"/>
        </w:numPr>
        <w:spacing w:after="80" w:line="276"/>
      </w:pPr>
      <w:r>
        <w:rPr>
          <w:rFonts w:ascii="Arial" w:cs="Arial" w:eastAsia="Arial" w:hAnsi="Arial"/>
          <w:b/>
          <w:bCs/>
          <w:color w:val="2C3E50"/>
          <w:sz w:val="22"/>
          <w:szCs w:val="22"/>
        </w:rPr>
        <w:t xml:space="preserve">Portfolio View: </w:t>
      </w:r>
      <w:r>
        <w:rPr>
          <w:rFonts w:ascii="Arial" w:cs="Arial" w:eastAsia="Arial" w:hAnsi="Arial"/>
          <w:color w:val="2C3E50"/>
          <w:sz w:val="22"/>
          <w:szCs w:val="22"/>
        </w:rPr>
        <w:t xml:space="preserve">Multi-program overview showing preclinical status of all compounds in the pipeline with Layer 0 cohort status</w:t>
      </w:r>
    </w:p>
    <w:p>
      <w:pPr>
        <w:pStyle w:val="Heading2"/>
        <w:spacing w:after="200" w:before="240"/>
      </w:pPr>
      <w:r>
        <w:rPr>
          <w:rFonts w:ascii="Arial" w:cs="Arial" w:eastAsia="Arial" w:hAnsi="Arial"/>
          <w:b/>
          <w:bCs/>
          <w:color w:val="1A5276"/>
          <w:sz w:val="30"/>
          <w:szCs w:val="30"/>
        </w:rPr>
        <w:t xml:space="preserve">7.3 Integration with Existing Hakase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Flow</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0 → Layer 1 (Critical Path)</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Animal Cohort → Clinical Module</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HED, NOAEL, MTD, safety margins, species justification, dose-exposure curves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0 → Layer 2</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Cohort → Patient Cohort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Organ-specific toxicity predictions inform clinical monitoring plan and AE definitions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Compound intelligence</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Clinical Module → Layer 0</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Target validation data, literature analysis feed species selection algorithm</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Market context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Commercial Module → Layer 0</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Competitive landscape informs study design prioritization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Patient insights</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Care Module → Layer 0</w:t>
            </w:r>
          </w:p>
        </w:tc>
        <w:tc>
          <w:tcPr>
            <w:tcW w:type="dxa" w:w="4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Real-world evidence for translational relevance assessment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Investor dashboard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0 → Commercial Module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Preclinical milestone tracking, risk metrics for investor relations</w:t>
            </w:r>
          </w:p>
        </w:tc>
      </w:tr>
    </w:tbl>
    <w:p>
      <w:r>
        <w:br w:type="page"/>
      </w:r>
    </w:p>
    <w:p>
      <w:pPr>
        <w:pStyle w:val="Heading1"/>
        <w:spacing w:after="200" w:before="360"/>
      </w:pPr>
      <w:r>
        <w:rPr>
          <w:rFonts w:ascii="Arial" w:cs="Arial" w:eastAsia="Arial" w:hAnsi="Arial"/>
          <w:b/>
          <w:bCs/>
          <w:color w:val="1A5276"/>
          <w:sz w:val="36"/>
          <w:szCs w:val="36"/>
        </w:rPr>
        <w:t xml:space="preserve">8. Technical Requirements</w:t>
      </w:r>
    </w:p>
    <w:p>
      <w:pPr>
        <w:pStyle w:val="Heading2"/>
        <w:spacing w:after="200" w:before="240"/>
      </w:pPr>
      <w:r>
        <w:rPr>
          <w:rFonts w:ascii="Arial" w:cs="Arial" w:eastAsia="Arial" w:hAnsi="Arial"/>
          <w:b/>
          <w:bCs/>
          <w:color w:val="1A5276"/>
          <w:sz w:val="30"/>
          <w:szCs w:val="30"/>
        </w:rPr>
        <w:t xml:space="preserve">8.1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Browser compute</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WebWorker threads, WebAssembly PBPK solver</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0 MVP: 1,000–10,000 virtual animals browser-side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Backend compute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GPU-accelerated (V100/A100)</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Required for full PBPK Monte Carlo (&gt;10K animals), ToxBERT inference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Storage</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Encrypted at rest (AES-256)</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Compound structures, cohort definitions, simulation results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 Layer</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RESTful + GraphQL</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Consistent with existing Hakase AI architecture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Authentication</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OAuth 2.0 + RBAC</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Role-based access for regulatory-sensitive data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Compliance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HIPAA, 21 CFR Part 11, SOC 2 Type II</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Audit trails on all cohort parameters and simulation outputs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Deployment</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Cloud-native (AWS/GCP) with on-prem option</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Air-gapped deployment for sensitive IP</w:t>
            </w:r>
          </w:p>
        </w:tc>
      </w:tr>
    </w:tbl>
    <w:p>
      <w:pPr>
        <w:spacing w:after="120"/>
      </w:pPr>
    </w:p>
    <w:p>
      <w:pPr>
        <w:pStyle w:val="Heading2"/>
        <w:spacing w:after="200" w:before="240"/>
      </w:pPr>
      <w:r>
        <w:rPr>
          <w:rFonts w:ascii="Arial" w:cs="Arial" w:eastAsia="Arial" w:hAnsi="Arial"/>
          <w:b/>
          <w:bCs/>
          <w:color w:val="1A5276"/>
          <w:sz w:val="30"/>
          <w:szCs w:val="30"/>
        </w:rPr>
        <w:t xml:space="preserve">8.2 Layer 0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Browser-Side Target</w:t>
            </w:r>
          </w:p>
        </w:tc>
        <w:tc>
          <w:tcPr>
            <w:tcW w:type="dxa" w:w="2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Target</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Virtual population generation (1,000 animals)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&lt;2 seconds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&lt;500ms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Virtual population generation (10,000 animals)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&lt;15 seconds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&lt;2 seconds</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Randomization + group assignment</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 second</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&lt;200ms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Species recommendation</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&lt;3 seconds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&lt;1 second</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1-compartment PBPK (per animal)</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&lt;50ms</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&lt;5ms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Full 14-compartment PBPK (per animal)</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Not supported</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&lt;500ms</w:t>
            </w:r>
          </w:p>
        </w:tc>
      </w:tr>
      <w:tr>
        <w:tc>
          <w:tcPr>
            <w:tcW w:type="dxa" w:w="3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Full cohort simulation (1,000 × 14-comp)</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Not supported</w:t>
            </w:r>
          </w:p>
        </w:tc>
        <w:tc>
          <w:tcPr>
            <w:tcW w:type="dxa" w:w="2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&lt;10 minutes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Layer handoff packaging</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&lt;5 seconds</w:t>
            </w:r>
          </w:p>
        </w:tc>
        <w:tc>
          <w:tcPr>
            <w:tcW w:type="dxa" w:w="2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&lt;2 seconds</w:t>
            </w:r>
          </w:p>
        </w:tc>
      </w:tr>
    </w:tbl>
    <w:p>
      <w:r>
        <w:br w:type="page"/>
      </w:r>
    </w:p>
    <w:p>
      <w:pPr>
        <w:pStyle w:val="Heading1"/>
        <w:spacing w:after="200" w:before="360"/>
      </w:pPr>
      <w:r>
        <w:rPr>
          <w:rFonts w:ascii="Arial" w:cs="Arial" w:eastAsia="Arial" w:hAnsi="Arial"/>
          <w:b/>
          <w:bCs/>
          <w:color w:val="1A5276"/>
          <w:sz w:val="36"/>
          <w:szCs w:val="36"/>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1: Foundation</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Q2–Q3 2026</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0 MVP (browser-side): virtual cohort generation, allometric scaling (7 species), species selection, DRF simulator, tox prediction (acute + organ), IND checklist, 1-compartment PBPK, FIH dose calculator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2: Intelligence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Q4 2026–Q1 2027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Full 14-compartment PBPK (backend), ToxBERT integration, AI protocol generation, GLP compliance engine, NAM readiness assessment, population PK with NONMEM-style fitting</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3: Expansion</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Q2–Q3 2027</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Additional species (minipig, rabbit, zebrafish to validated), CRO integration, multi-jurisdiction support (EMA), advanced population models (disease-state, pediatric)</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4: Advanced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Q4 2027+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Digital twin integration, automated regulatory writing, PMDA/NMPA support, real-time ToxCast/OECD API integration, multi-compound interaction modeling</w:t>
            </w:r>
          </w:p>
        </w:tc>
      </w:tr>
    </w:tbl>
    <w:p>
      <w:pPr>
        <w:spacing w:after="120"/>
      </w:pPr>
    </w:p>
    <w:p>
      <w:pPr>
        <w:pStyle w:val="Heading2"/>
        <w:spacing w:after="200" w:before="240"/>
      </w:pPr>
      <w:r>
        <w:rPr>
          <w:rFonts w:ascii="Arial" w:cs="Arial" w:eastAsia="Arial" w:hAnsi="Arial"/>
          <w:b/>
          <w:bCs/>
          <w:color w:val="1A5276"/>
          <w:sz w:val="30"/>
          <w:szCs w:val="30"/>
        </w:rPr>
        <w:t xml:space="preserve">9.1 Phase 1 MVP Scope (Layer 0 Focus)</w:t>
      </w:r>
    </w:p>
    <w:p>
      <w:pPr>
        <w:spacing w:after="160" w:line="276"/>
      </w:pPr>
      <w:r>
        <w:rPr>
          <w:rFonts w:ascii="Arial" w:cs="Arial" w:eastAsia="Arial" w:hAnsi="Arial"/>
          <w:color w:val="2C3E50"/>
          <w:sz w:val="22"/>
          <w:szCs w:val="22"/>
        </w:rPr>
        <w:t xml:space="preserve">The MVP delivers a browser-side Layer 0 with core simulation capabilities, covering approximately 70% of the full spec’s scientific value:</w:t>
      </w:r>
    </w:p>
    <w:p>
      <w:pPr>
        <w:pStyle w:val="ListParagraph"/>
        <w:numPr>
          <w:ilvl w:val="0"/>
          <w:numId w:val="8"/>
        </w:numPr>
        <w:spacing w:after="80" w:line="276"/>
      </w:pPr>
      <w:r>
        <w:rPr>
          <w:rFonts w:ascii="Arial" w:cs="Arial" w:eastAsia="Arial" w:hAnsi="Arial"/>
          <w:b/>
          <w:bCs/>
          <w:color w:val="2C3E50"/>
          <w:sz w:val="22"/>
          <w:szCs w:val="22"/>
        </w:rPr>
        <w:t xml:space="preserve">Virtual cohort generation: </w:t>
      </w:r>
      <w:r>
        <w:rPr>
          <w:rFonts w:ascii="Arial" w:cs="Arial" w:eastAsia="Arial" w:hAnsi="Arial"/>
          <w:color w:val="2C3E50"/>
          <w:sz w:val="22"/>
          <w:szCs w:val="22"/>
        </w:rPr>
        <w:t xml:space="preserve">Monte Carlo population engine with LHS sampling, correlation preservation, and configurable variability for rat, dog, and human</w:t>
      </w:r>
    </w:p>
    <w:p>
      <w:pPr>
        <w:pStyle w:val="ListParagraph"/>
        <w:numPr>
          <w:ilvl w:val="0"/>
          <w:numId w:val="8"/>
        </w:numPr>
        <w:spacing w:after="80" w:line="276"/>
      </w:pPr>
      <w:r>
        <w:rPr>
          <w:rFonts w:ascii="Arial" w:cs="Arial" w:eastAsia="Arial" w:hAnsi="Arial"/>
          <w:b/>
          <w:bCs/>
          <w:color w:val="2C3E50"/>
          <w:sz w:val="22"/>
          <w:szCs w:val="22"/>
        </w:rPr>
        <w:t xml:space="preserve">Species selection AI: </w:t>
      </w:r>
      <w:r>
        <w:rPr>
          <w:rFonts w:ascii="Arial" w:cs="Arial" w:eastAsia="Arial" w:hAnsi="Arial"/>
          <w:color w:val="2C3E50"/>
          <w:sz w:val="22"/>
          <w:szCs w:val="22"/>
        </w:rPr>
        <w:t xml:space="preserve">Target homology scoring, CYP profile matching, historical precedent search with confidence scores</w:t>
      </w:r>
    </w:p>
    <w:p>
      <w:pPr>
        <w:pStyle w:val="ListParagraph"/>
        <w:numPr>
          <w:ilvl w:val="0"/>
          <w:numId w:val="8"/>
        </w:numPr>
        <w:spacing w:after="80" w:line="276"/>
      </w:pPr>
      <w:r>
        <w:rPr>
          <w:rFonts w:ascii="Arial" w:cs="Arial" w:eastAsia="Arial" w:hAnsi="Arial"/>
          <w:b/>
          <w:bCs/>
          <w:color w:val="2C3E50"/>
          <w:sz w:val="22"/>
          <w:szCs w:val="22"/>
        </w:rPr>
        <w:t xml:space="preserve">Allometric scaling: </w:t>
      </w:r>
      <w:r>
        <w:rPr>
          <w:rFonts w:ascii="Arial" w:cs="Arial" w:eastAsia="Arial" w:hAnsi="Arial"/>
          <w:color w:val="2C3E50"/>
          <w:sz w:val="22"/>
          <w:szCs w:val="22"/>
        </w:rPr>
        <w:t xml:space="preserve">FDA-approved scaling factors across 7 species; HED calculation via body surface area + PBPK refinement</w:t>
      </w:r>
    </w:p>
    <w:p>
      <w:pPr>
        <w:pStyle w:val="ListParagraph"/>
        <w:numPr>
          <w:ilvl w:val="0"/>
          <w:numId w:val="8"/>
        </w:numPr>
        <w:spacing w:after="80" w:line="276"/>
      </w:pPr>
      <w:r>
        <w:rPr>
          <w:rFonts w:ascii="Arial" w:cs="Arial" w:eastAsia="Arial" w:hAnsi="Arial"/>
          <w:b/>
          <w:bCs/>
          <w:color w:val="2C3E50"/>
          <w:sz w:val="22"/>
          <w:szCs w:val="22"/>
        </w:rPr>
        <w:t xml:space="preserve">1-compartment PBPK: </w:t>
      </w:r>
      <w:r>
        <w:rPr>
          <w:rFonts w:ascii="Arial" w:cs="Arial" w:eastAsia="Arial" w:hAnsi="Arial"/>
          <w:color w:val="2C3E50"/>
          <w:sz w:val="22"/>
          <w:szCs w:val="22"/>
        </w:rPr>
        <w:t xml:space="preserve">Browser-side PK simulation suitable for DRF and initial exposure estimation</w:t>
      </w:r>
    </w:p>
    <w:p>
      <w:pPr>
        <w:pStyle w:val="ListParagraph"/>
        <w:numPr>
          <w:ilvl w:val="0"/>
          <w:numId w:val="8"/>
        </w:numPr>
        <w:spacing w:after="80" w:line="276"/>
      </w:pPr>
      <w:r>
        <w:rPr>
          <w:rFonts w:ascii="Arial" w:cs="Arial" w:eastAsia="Arial" w:hAnsi="Arial"/>
          <w:b/>
          <w:bCs/>
          <w:color w:val="2C3E50"/>
          <w:sz w:val="22"/>
          <w:szCs w:val="22"/>
        </w:rPr>
        <w:t xml:space="preserve">Tox prediction: </w:t>
      </w:r>
      <w:r>
        <w:rPr>
          <w:rFonts w:ascii="Arial" w:cs="Arial" w:eastAsia="Arial" w:hAnsi="Arial"/>
          <w:color w:val="2C3E50"/>
          <w:sz w:val="22"/>
          <w:szCs w:val="22"/>
        </w:rPr>
        <w:t xml:space="preserve">ADMET descriptors + structural alerts for hepatotoxicity, cardiotoxicity, nephrotoxicity</w:t>
      </w:r>
    </w:p>
    <w:p>
      <w:pPr>
        <w:pStyle w:val="ListParagraph"/>
        <w:numPr>
          <w:ilvl w:val="0"/>
          <w:numId w:val="8"/>
        </w:numPr>
        <w:spacing w:after="80" w:line="276"/>
      </w:pPr>
      <w:r>
        <w:rPr>
          <w:rFonts w:ascii="Arial" w:cs="Arial" w:eastAsia="Arial" w:hAnsi="Arial"/>
          <w:b/>
          <w:bCs/>
          <w:color w:val="2C3E50"/>
          <w:sz w:val="22"/>
          <w:szCs w:val="22"/>
        </w:rPr>
        <w:t xml:space="preserve">Study design engine: </w:t>
      </w:r>
      <w:r>
        <w:rPr>
          <w:rFonts w:ascii="Arial" w:cs="Arial" w:eastAsia="Arial" w:hAnsi="Arial"/>
          <w:color w:val="2C3E50"/>
          <w:sz w:val="22"/>
          <w:szCs w:val="22"/>
        </w:rPr>
        <w:t xml:space="preserve">ICH-based study recommendations, sample size calculation, group structure templates</w:t>
      </w:r>
    </w:p>
    <w:p>
      <w:pPr>
        <w:pStyle w:val="ListParagraph"/>
        <w:numPr>
          <w:ilvl w:val="0"/>
          <w:numId w:val="8"/>
        </w:numPr>
        <w:spacing w:after="80" w:line="276"/>
      </w:pPr>
      <w:r>
        <w:rPr>
          <w:rFonts w:ascii="Arial" w:cs="Arial" w:eastAsia="Arial" w:hAnsi="Arial"/>
          <w:b/>
          <w:bCs/>
          <w:color w:val="2C3E50"/>
          <w:sz w:val="22"/>
          <w:szCs w:val="22"/>
        </w:rPr>
        <w:t xml:space="preserve">IND compliance checklist: </w:t>
      </w:r>
      <w:r>
        <w:rPr>
          <w:rFonts w:ascii="Arial" w:cs="Arial" w:eastAsia="Arial" w:hAnsi="Arial"/>
          <w:color w:val="2C3E50"/>
          <w:sz w:val="22"/>
          <w:szCs w:val="22"/>
        </w:rPr>
        <w:t xml:space="preserve">Interactive FDA Module 2.4/2.6 requirements map with auto-population from simulation outputs</w:t>
      </w:r>
    </w:p>
    <w:p>
      <w:pPr>
        <w:pStyle w:val="ListParagraph"/>
        <w:numPr>
          <w:ilvl w:val="0"/>
          <w:numId w:val="8"/>
        </w:numPr>
        <w:spacing w:after="80" w:line="276"/>
      </w:pPr>
      <w:r>
        <w:rPr>
          <w:rFonts w:ascii="Arial" w:cs="Arial" w:eastAsia="Arial" w:hAnsi="Arial"/>
          <w:b/>
          <w:bCs/>
          <w:color w:val="2C3E50"/>
          <w:sz w:val="22"/>
          <w:szCs w:val="22"/>
        </w:rPr>
        <w:t xml:space="preserve">Layer 1 handoff: </w:t>
      </w:r>
      <w:r>
        <w:rPr>
          <w:rFonts w:ascii="Arial" w:cs="Arial" w:eastAsia="Arial" w:hAnsi="Arial"/>
          <w:color w:val="2C3E50"/>
          <w:sz w:val="22"/>
          <w:szCs w:val="22"/>
        </w:rPr>
        <w:t xml:space="preserve">Structured data export (HED, NOAEL, MTD, safety margins) for clinical module consumption</w:t>
      </w:r>
    </w:p>
    <w:p>
      <w:r>
        <w:br w:type="page"/>
      </w:r>
    </w:p>
    <w:p>
      <w:pPr>
        <w:pStyle w:val="Heading1"/>
        <w:spacing w:after="200" w:before="360"/>
      </w:pPr>
      <w:r>
        <w:rPr>
          <w:rFonts w:ascii="Arial" w:cs="Arial" w:eastAsia="Arial" w:hAnsi="Arial"/>
          <w:b/>
          <w:bCs/>
          <w:color w:val="1A5276"/>
          <w:sz w:val="36"/>
          <w:szCs w:val="36"/>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PBPK prediction accuracy vs. in-vivo</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≥75% within 2-fold of observed</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Validation against published PK data</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Toxicity prediction sensitivity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≥80% for major organ toxicities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Benchmarked against ToxCast reference compounds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Layer 0 cohort generation time</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&lt;15 sec for 10,000 virtual animals</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Automated performance testing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IND submission success rate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≥85% first-cycle acceptance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User-reported outcomes tracking</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Time-to-IND reduction</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≥30% vs. user baseline</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Pre/post adoption comparison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Animal use reduction per program</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≥30% fewer animals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Comparison with traditional study designs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User adoption</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50+ active biotech accounts</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Monthly active users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NPS score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≥50</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Quarterly user surveys</w:t>
            </w:r>
          </w:p>
        </w:tc>
      </w:tr>
    </w:tbl>
    <w:p>
      <w:pPr>
        <w:spacing w:after="120"/>
      </w:pPr>
    </w:p>
    <w:p>
      <w:pPr>
        <w:pStyle w:val="Heading1"/>
        <w:spacing w:after="200" w:before="360"/>
      </w:pPr>
      <w:r>
        <w:rPr>
          <w:rFonts w:ascii="Arial" w:cs="Arial" w:eastAsia="Arial" w:hAnsi="Arial"/>
          <w:b/>
          <w:bCs/>
          <w:color w:val="1A5276"/>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Regulatory uncertainty around NAM acceptance</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Design for hybrid packages (NAM + animal); partner with FDA pilot programs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Model prediction inaccuracy → safety issues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Critical</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Conservative safety margins; mandatory disclaimers; human expert review checkpoints; validation against published data</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Browser-side compute limitations</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Progressive enhancement: browser MVP → backend scale-up; WebAssembly PBPK solver for performance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Data quality in public tox databases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Automated QC pipelines; manual curation for critical datasets; version-controlled snapshots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Virtual cohort over-confidence</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after="40"/>
            </w:pPr>
            <w:r>
              <w:rPr>
                <w:rFonts w:ascii="Arial" w:cs="Arial" w:eastAsia="Arial" w:hAnsi="Arial"/>
                <w:color w:val="2C3E50"/>
                <w:sz w:val="20"/>
                <w:szCs w:val="20"/>
              </w:rPr>
              <w:t xml:space="preserve">Display uncertainty quantification on all predictions; require expert sign-off for regulatory submissions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Small biotech adoption barriers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Tiered pricing; guided onboarding; pre-built templates for common drug classes</w:t>
            </w:r>
          </w:p>
        </w:tc>
      </w:tr>
    </w:tbl>
    <w:p>
      <w:pPr>
        <w:spacing w:after="120"/>
      </w:pPr>
    </w:p>
    <w:p>
      <w:pPr>
        <w:pStyle w:val="Heading1"/>
        <w:spacing w:after="200" w:before="360"/>
      </w:pPr>
      <w:r>
        <w:rPr>
          <w:rFonts w:ascii="Arial" w:cs="Arial" w:eastAsia="Arial" w:hAnsi="Arial"/>
          <w:b/>
          <w:bCs/>
          <w:color w:val="1A5276"/>
          <w:sz w:val="36"/>
          <w:szCs w:val="36"/>
        </w:rPr>
        <w:t xml:space="preserve">12. Conclusion</w:t>
      </w:r>
    </w:p>
    <w:p>
      <w:pPr>
        <w:spacing w:after="160" w:line="276"/>
      </w:pPr>
      <w:r>
        <w:rPr>
          <w:rFonts w:ascii="Arial" w:cs="Arial" w:eastAsia="Arial" w:hAnsi="Arial"/>
          <w:color w:val="2C3E50"/>
          <w:sz w:val="22"/>
          <w:szCs w:val="22"/>
        </w:rPr>
        <w:t xml:space="preserve">The addition of Layer 0: Animal Cohort Architecture transforms the Animal Testing Simulation Module from a collection of independent tools into a true end-to-end preclinical intelligence platform. By establishing virtual animal models, structured study groups, and population variability engines as the foundational data layer, every downstream simulation, study design decision, and regulatory assessment is anchored in scientifically rigorous, computationally validated cohort data.</w:t>
      </w:r>
    </w:p>
    <w:p>
      <w:pPr>
        <w:spacing w:after="160" w:line="276"/>
      </w:pPr>
      <w:r>
        <w:rPr>
          <w:rFonts w:ascii="Arial" w:cs="Arial" w:eastAsia="Arial" w:hAnsi="Arial"/>
          <w:color w:val="2C3E50"/>
          <w:sz w:val="22"/>
          <w:szCs w:val="22"/>
        </w:rPr>
        <w:t xml:space="preserve">The four-layer stack (Layer 0: Animal Cohort → Layer 1: Molecular → Layer 2: Patient Cohort → Layer 3: Trial) creates a seamless molecule-to-market data pipeline where preclinical intelligence flows directly into clinical planning. The critical handoff points — HED, NOAEL, MTD, safety margins, and species justification — eliminate the data gaps that traditionally slow the pre-clinical to clinical transition.</w:t>
      </w:r>
    </w:p>
    <w:p>
      <w:pPr>
        <w:spacing w:after="160" w:line="276"/>
      </w:pPr>
      <w:r>
        <w:rPr>
          <w:rFonts w:ascii="Arial" w:cs="Arial" w:eastAsia="Arial" w:hAnsi="Arial"/>
          <w:color w:val="2C3E50"/>
          <w:sz w:val="22"/>
          <w:szCs w:val="22"/>
        </w:rPr>
        <w:t xml:space="preserve">With a browser-side MVP delivering 70% of the spec’s scientific value and a phased roadmap to full backend capabilities, Hakase AI is positioned to become the essential preclinical partner for the next generation of biotech companies navigating the NAM-first regulatory paradigm.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i/>
        <w:iCs/>
        <w:color w:val="1A5276"/>
        <w:sz w:val="18"/>
        <w:szCs w:val="18"/>
      </w:rPr>
      <w:t xml:space="preserve">Hakase AI — Animal Testing Simulation Module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10"/>
    <w:lvlOverride w:ilvl="0">
      <w:startOverride w:val="1"/>
    </w:lvlOverride>
  </w:num>
  <w:num w:numId="6">
    <w:abstractNumId w:val="5"/>
    <w:lvlOverride w:ilvl="0">
      <w:startOverride w:val="1"/>
    </w:lvlOverride>
  </w:num>
  <w:num w:numId="7">
    <w:abstractNumId w:val="12"/>
    <w:lvlOverride w:ilvl="0">
      <w:startOverride w:val="1"/>
    </w:lvlOverride>
  </w:num>
  <w:num w:numId="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5276"/>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2026-03-19T04:51:52.902Z</dcterms:created>
  <dcterms:modified xsi:type="dcterms:W3CDTF">2026-03-19T04:51:52.902Z</dcterms:modified>
</cp:coreProperties>
</file>

<file path=docProps/custom.xml><?xml version="1.0" encoding="utf-8"?>
<Properties xmlns="http://schemas.openxmlformats.org/officeDocument/2006/custom-properties" xmlns:vt="http://schemas.openxmlformats.org/officeDocument/2006/docPropsVTypes"/>
</file>