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rFonts w:ascii="Arial" w:cs="Arial" w:eastAsia="Arial" w:hAnsi="Arial"/>
          <w:b/>
          <w:bCs/>
          <w:color w:val="1A5276"/>
          <w:sz w:val="56"/>
          <w:szCs w:val="56"/>
        </w:rPr>
        <w:t xml:space="preserve">HAKASE AI</w:t>
      </w:r>
    </w:p>
    <w:p>
      <w:pPr>
        <w:spacing w:after="120"/>
        <w:jc w:val="center"/>
      </w:pPr>
      <w:r>
        <w:rPr>
          <w:rFonts w:ascii="Arial" w:cs="Arial" w:eastAsia="Arial" w:hAnsi="Arial"/>
          <w:b/>
          <w:bCs/>
          <w:color w:val="2C3E50"/>
          <w:sz w:val="44"/>
          <w:szCs w:val="44"/>
        </w:rPr>
        <w:t xml:space="preserve">Animal Testing Simulation Module</w:t>
      </w:r>
    </w:p>
    <w:p>
      <w:pPr>
        <w:spacing w:after="80"/>
        <w:jc w:val="center"/>
      </w:pPr>
      <w:r>
        <w:rPr>
          <w:rFonts w:ascii="Arial" w:cs="Arial" w:eastAsia="Arial" w:hAnsi="Arial"/>
          <w:color w:val="27AE60"/>
          <w:sz w:val="28"/>
          <w:szCs w:val="28"/>
        </w:rPr>
        <w:t xml:space="preserve">Four-Layer Architecture: Molecule → Animal → Patient → Trial</w:t>
      </w:r>
    </w:p>
    <w:p>
      <w:pPr>
        <w:pBdr>
          <w:bottom w:val="single" w:color="1A5276" w:sz="6" w:space="1"/>
        </w:pBdr>
        <w:spacing w:after="600"/>
        <w:jc w:val="center"/>
      </w:pPr>
      <w:r>
        <w:rPr>
          <w:rFonts w:ascii="Arial" w:cs="Arial" w:eastAsia="Arial" w:hAnsi="Arial"/>
          <w:color w:val="27AE60"/>
          <w:sz w:val="28"/>
          <w:szCs w:val="28"/>
        </w:rPr>
        <w:t xml:space="preserve">Product Specification &amp; Feature Brief</w:t>
      </w:r>
    </w:p>
    <w:p>
      <w:pPr>
        <w:spacing w:after="500"/>
      </w:pPr>
    </w:p>
    <w:p>
      <w:pPr>
        <w:spacing w:after="80"/>
        <w:jc w:val="center"/>
      </w:pPr>
      <w:r>
        <w:rPr>
          <w:rFonts w:ascii="Arial" w:cs="Arial" w:eastAsia="Arial" w:hAnsi="Arial"/>
          <w:color w:val="2C3E50"/>
          <w:sz w:val="24"/>
          <w:szCs w:val="24"/>
        </w:rPr>
        <w:t xml:space="preserve">Version 3.0 — Revised Layer Architecture</w:t>
      </w:r>
    </w:p>
    <w:p>
      <w:pPr>
        <w:spacing w:after="80"/>
        <w:jc w:val="center"/>
      </w:pPr>
      <w:r>
        <w:rPr>
          <w:rFonts w:ascii="Arial" w:cs="Arial" w:eastAsia="Arial" w:hAnsi="Arial"/>
          <w:color w:val="2C3E50"/>
          <w:sz w:val="24"/>
          <w:szCs w:val="24"/>
        </w:rPr>
        <w:t xml:space="preserve">March 2026</w:t>
      </w:r>
    </w:p>
    <w:p>
      <w:pPr>
        <w:jc w:val="center"/>
      </w:pPr>
      <w:r>
        <w:rPr>
          <w:rFonts w:ascii="Arial" w:cs="Arial" w:eastAsia="Arial" w:hAnsi="Arial"/>
          <w:b/>
          <w:bCs/>
          <w:color w:val="E74C3C"/>
          <w:sz w:val="22"/>
          <w:szCs w:val="22"/>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5276"/>
          <w:sz w:val="36"/>
          <w:szCs w:val="36"/>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A5276"/>
          <w:sz w:val="36"/>
          <w:szCs w:val="36"/>
        </w:rPr>
        <w:t xml:space="preserve">1. Executive Summary</w:t>
      </w:r>
    </w:p>
    <w:p>
      <w:pPr>
        <w:pStyle w:val="Heading2"/>
        <w:spacing w:after="200" w:before="240"/>
      </w:pPr>
      <w:r>
        <w:rPr>
          <w:rFonts w:ascii="Arial" w:cs="Arial" w:eastAsia="Arial" w:hAnsi="Arial"/>
          <w:b/>
          <w:bCs/>
          <w:color w:val="1A5276"/>
          <w:sz w:val="30"/>
          <w:szCs w:val="30"/>
        </w:rPr>
        <w:t xml:space="preserve">1.1 The Four-Layer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6"/>
              <w:left w:val="single" w:color="BDC3C7" w:sz="1"/>
              <w:bottom w:val="single" w:color="BDC3C7" w:sz="1"/>
              <w:right w:val="single" w:color="BDC3C7" w:sz="1"/>
            </w:tcBorders>
            <w:shd w:fill="D5F5E3" w:val="clear"/>
            <w:tcMar>
              <w:top w:type="dxa" w:w="120"/>
              <w:left w:type="dxa" w:w="200"/>
              <w:bottom w:type="dxa" w:w="120"/>
              <w:right w:type="dxa" w:w="200"/>
            </w:tcMar>
          </w:tcPr>
          <w:p>
            <w:pPr>
              <w:spacing w:after="80"/>
            </w:pPr>
            <w:r>
              <w:rPr>
                <w:rFonts w:ascii="Arial" w:cs="Arial" w:eastAsia="Arial" w:hAnsi="Arial"/>
                <w:b/>
                <w:bCs/>
                <w:color w:val="1A5276"/>
                <w:sz w:val="22"/>
                <w:szCs w:val="22"/>
              </w:rPr>
              <w:t xml:space="preserve">REVISED ARCHITECTURE: Layers 1–4</w:t>
            </w:r>
          </w:p>
          <w:p>
            <w:pPr>
              <w:spacing w:after="40"/>
            </w:pPr>
            <w:r>
              <w:rPr>
                <w:rFonts w:ascii="Arial" w:cs="Arial" w:eastAsia="Arial" w:hAnsi="Arial"/>
                <w:color w:val="2C3E50"/>
                <w:sz w:val="20"/>
                <w:szCs w:val="20"/>
              </w:rPr>
              <w:t xml:space="preserve">The Hakase AI platform uses a clean 1-based layer numbering system. The molecule must be identified FIRST — you cannot design an animal cohort without knowing what compound you are testing. The revised stack reflects this natural scientific workflow: Layer 1 (Molecule) → Layer 2 (Animal Cohort) → Layer 3 (Patient Cohort) → Layer 4 (Trial).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280"/>
        <w:gridCol w:w="3280"/>
      </w:tblGrid>
      <w:tr>
        <w:trPr>
          <w:tblHeader/>
        </w:trPr>
        <w:tc>
          <w:tcPr>
            <w:tcW w:type="dxa" w:w="1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32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32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Output → Handoff</w:t>
            </w:r>
          </w:p>
        </w:tc>
      </w:tr>
      <w:tr>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1</w:t>
            </w:r>
          </w:p>
        </w:tc>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Molecule / Drug Input</w:t>
            </w:r>
          </w:p>
        </w:tc>
        <w:tc>
          <w:tcPr>
            <w:tcW w:type="dxa" w:w="32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Compound identification, structure import, ADMET profiling, target-indication mapping</w:t>
            </w:r>
          </w:p>
        </w:tc>
        <w:tc>
          <w:tcPr>
            <w:tcW w:type="dxa" w:w="32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Molecular descriptors, ADMET profile, target info → feeds Layer 2</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Layer 2 (NEW)</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Animal Cohort</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Virtual animal models, species selection, population variability, study group design, PBPK simulation, tox prediction, FIH dose</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HED, NOAEL, MTD, safety margins, species justification → feeds Layer 3</w:t>
            </w:r>
          </w:p>
        </w:tc>
      </w:tr>
      <w:tr>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3</w:t>
            </w:r>
          </w:p>
        </w:tc>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Patient Cohort</w:t>
            </w:r>
          </w:p>
        </w:tc>
        <w:tc>
          <w:tcPr>
            <w:tcW w:type="dxa" w:w="32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Clinical trial patient populations, stratification, enrollment modeling</w:t>
            </w:r>
          </w:p>
        </w:tc>
        <w:tc>
          <w:tcPr>
            <w:tcW w:type="dxa" w:w="32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Patient cohorts, enrollment predictions, outcome models → feeds Layer 4</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Layer 4</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Trial</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Clinical trial design, execution, monitoring, regulatory submission</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Protocol, site selection, adaptive design, regulatory package</w:t>
            </w:r>
          </w:p>
        </w:tc>
      </w:tr>
    </w:tbl>
    <w:p>
      <w:pPr>
        <w:spacing w:after="120"/>
      </w:pPr>
    </w:p>
    <w:p>
      <w:pPr>
        <w:spacing w:after="160" w:line="276"/>
      </w:pPr>
      <w:r>
        <w:rPr>
          <w:rFonts w:ascii="Arial" w:cs="Arial" w:eastAsia="Arial" w:hAnsi="Arial"/>
          <w:color w:val="2C3E50"/>
          <w:sz w:val="22"/>
          <w:szCs w:val="22"/>
        </w:rPr>
        <w:t xml:space="preserve">The critical handoff between Layers 1 and 2: Layer 1 provides the molecular structure (SMILES/SDF/MOL), ADMET profile, target information, and therapeutic indication. Layer 2 consumes this to drive species selection (target homology requires knowing the target), PBPK simulation (molecular properties drive absorption/distribution/metabolism), and toxicity prediction (structural alerts require the molecular structure). Without Layer 1, Layer 2 has nothing to simulate.</w:t>
      </w:r>
    </w:p>
    <w:p>
      <w:pPr>
        <w:spacing w:after="160" w:line="276"/>
      </w:pPr>
      <w:r>
        <w:rPr>
          <w:rFonts w:ascii="Arial" w:cs="Arial" w:eastAsia="Arial" w:hAnsi="Arial"/>
          <w:color w:val="2C3E50"/>
          <w:sz w:val="22"/>
          <w:szCs w:val="22"/>
        </w:rPr>
        <w:t xml:space="preserve">The critical handoff between Layers 2 and 3: Layer 2’s predicted Human Equivalent Dose (HED) from allometric scaling becomes the starting dose input for Layer 3. The NOAEL and MTD values populate safety margin calculations. The species-specific toxicity profile informs adverse event monitoring design in the clinical protocol.</w:t>
      </w:r>
    </w:p>
    <w:p>
      <w:pPr>
        <w:pStyle w:val="Heading2"/>
        <w:spacing w:after="200" w:before="240"/>
      </w:pPr>
      <w:r>
        <w:rPr>
          <w:rFonts w:ascii="Arial" w:cs="Arial" w:eastAsia="Arial" w:hAnsi="Arial"/>
          <w:b/>
          <w:bCs/>
          <w:color w:val="1A5276"/>
          <w:sz w:val="30"/>
          <w:szCs w:val="30"/>
        </w:rPr>
        <w:t xml:space="preserve">1.2 Purpose</w:t>
      </w:r>
    </w:p>
    <w:p>
      <w:pPr>
        <w:spacing w:after="160" w:line="276"/>
      </w:pPr>
      <w:r>
        <w:rPr>
          <w:rFonts w:ascii="Arial" w:cs="Arial" w:eastAsia="Arial" w:hAnsi="Arial"/>
          <w:color w:val="2C3E50"/>
          <w:sz w:val="22"/>
          <w:szCs w:val="22"/>
        </w:rPr>
        <w:t xml:space="preserve">This document specifies the Animal Testing Simulation Module for the Hakase AI platform, introducing Layer 2: Animal Cohort as the new pre-clinical intelligence layer. The module addresses the critical gap between molecule identification (Layer 1) and clinical development (Layers 3–4) by providing integrated in-silico modeling, preclinical study design, and regulatory compliance tooling.</w:t>
      </w:r>
    </w:p>
    <w:p>
      <w:pPr>
        <w:pStyle w:val="Heading2"/>
        <w:spacing w:after="200" w:before="240"/>
      </w:pPr>
      <w:r>
        <w:rPr>
          <w:rFonts w:ascii="Arial" w:cs="Arial" w:eastAsia="Arial" w:hAnsi="Arial"/>
          <w:b/>
          <w:bCs/>
          <w:color w:val="1A5276"/>
          <w:sz w:val="30"/>
          <w:szCs w:val="30"/>
        </w:rPr>
        <w:t xml:space="preserve">1.3 Strategic Context</w:t>
      </w:r>
    </w:p>
    <w:p>
      <w:pPr>
        <w:spacing w:after="160" w:line="276"/>
      </w:pPr>
      <w:r>
        <w:rPr>
          <w:rFonts w:ascii="Arial" w:cs="Arial" w:eastAsia="Arial" w:hAnsi="Arial"/>
          <w:color w:val="2C3E50"/>
          <w:sz w:val="22"/>
          <w:szCs w:val="22"/>
        </w:rPr>
        <w:t xml:space="preserve">The pre-clinical landscape is undergoing a fundamental transformation. The FDA Modernization Act 2.0 (December 2022) eliminated the decades-old mandate for animal testing. In April 2025, the FDA released a formal roadmap to phase out animal testing, initially targeting monoclonal antibodies. The FDA Modernization Act 3.0 (December 2025) instructs the FDA to establish formal qualification processes for New Approach Methodologies (NAMs). In July 2025, the NIH announced that proposals relying exclusively on animal data would no longer be eligible for agency support.</w:t>
      </w:r>
    </w:p>
    <w:p>
      <w:pPr>
        <w:spacing w:after="160" w:line="276"/>
      </w:pPr>
      <w:r>
        <w:rPr>
          <w:rFonts w:ascii="Arial" w:cs="Arial" w:eastAsia="Arial" w:hAnsi="Arial"/>
          <w:color w:val="2C3E50"/>
          <w:sz w:val="22"/>
          <w:szCs w:val="22"/>
        </w:rPr>
        <w:t xml:space="preserve">Small biotechs navigating pre-clinical development need tools that bridge traditional animal testing and the emerging NAM-first regulatory paradigm. Layer 2 positions Hakase as the first integrated platform to combine virtual cohort modeling, in-silico prediction, hybrid study design, and regulatory document generation in a single product.</w:t>
      </w:r>
    </w:p>
    <w:p>
      <w:pPr>
        <w:pStyle w:val="Heading2"/>
        <w:spacing w:after="200" w:before="240"/>
      </w:pPr>
      <w:r>
        <w:rPr>
          <w:rFonts w:ascii="Arial" w:cs="Arial" w:eastAsia="Arial" w:hAnsi="Arial"/>
          <w:b/>
          <w:bCs/>
          <w:color w:val="1A5276"/>
          <w:sz w:val="30"/>
          <w:szCs w:val="30"/>
        </w:rPr>
        <w:t xml:space="preserve">1.4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Traditional Approach</w:t>
            </w:r>
          </w:p>
        </w:tc>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With Hakase Layers 1–4</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Pre-clinical timeline</w:t>
            </w:r>
          </w:p>
        </w:tc>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36–42 months</w:t>
            </w:r>
          </w:p>
        </w:tc>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18–24 months (projected)</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Animal study costs (Phase I-enabling)</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$2–5M per program</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40–60% reduction via NAM integration</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IND submission rejection rate</w:t>
            </w:r>
          </w:p>
        </w:tc>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~30% first-cycle</w:t>
            </w:r>
          </w:p>
        </w:tc>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&lt;15% (AI-guided compliance)</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Species selection accuracy</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Manual, literature-based</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AI-driven, pharmacologically validated</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Dose prediction accuracy</w:t>
            </w:r>
          </w:p>
        </w:tc>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50–100x safety margins</w:t>
            </w:r>
          </w:p>
        </w:tc>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PBPK-refined, tighter margins</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Animal use reduction</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Baseline</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30–50% fewer via optimized cohort design</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Regulatory document prep time</w:t>
            </w:r>
          </w:p>
        </w:tc>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4–8 weeks manual</w:t>
            </w:r>
          </w:p>
        </w:tc>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Auto-generated in hours</w:t>
            </w:r>
          </w:p>
        </w:tc>
      </w:tr>
    </w:tbl>
    <w:p>
      <w:r>
        <w:br w:type="page"/>
      </w:r>
    </w:p>
    <w:p>
      <w:pPr>
        <w:pStyle w:val="Heading1"/>
        <w:spacing w:after="200" w:before="360"/>
      </w:pPr>
      <w:r>
        <w:rPr>
          <w:rFonts w:ascii="Arial" w:cs="Arial" w:eastAsia="Arial" w:hAnsi="Arial"/>
          <w:b/>
          <w:bCs/>
          <w:color w:val="1A5276"/>
          <w:sz w:val="36"/>
          <w:szCs w:val="36"/>
        </w:rPr>
        <w:t xml:space="preserve">2. Market &amp; Regulatory Landscape</w:t>
      </w:r>
    </w:p>
    <w:p>
      <w:pPr>
        <w:pStyle w:val="Heading2"/>
        <w:spacing w:after="200" w:before="240"/>
      </w:pPr>
      <w:r>
        <w:rPr>
          <w:rFonts w:ascii="Arial" w:cs="Arial" w:eastAsia="Arial" w:hAnsi="Arial"/>
          <w:b/>
          <w:bCs/>
          <w:color w:val="1A5276"/>
          <w:sz w:val="30"/>
          <w:szCs w:val="30"/>
        </w:rPr>
        <w:t xml:space="preserve">2.1 Regulatory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39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39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1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Dec 2022</w:t>
            </w:r>
          </w:p>
        </w:tc>
        <w:tc>
          <w:tcPr>
            <w:tcW w:type="dxa" w:w="39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FDA Modernization Act 2.0 signed</w:t>
            </w:r>
          </w:p>
        </w:tc>
        <w:tc>
          <w:tcPr>
            <w:tcW w:type="dxa" w:w="39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Removed statutory animal testing requirement</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Apr 2025</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FDA Roadmap for Reducing Animal Testing</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Phased plan starting with monoclonal antibodies</w:t>
            </w:r>
          </w:p>
        </w:tc>
      </w:tr>
      <w:tr>
        <w:tc>
          <w:tcPr>
            <w:tcW w:type="dxa" w:w="1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Jul 2025</w:t>
            </w:r>
          </w:p>
        </w:tc>
        <w:tc>
          <w:tcPr>
            <w:tcW w:type="dxa" w:w="39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NIH $150M NAM funding + animal-only exclusion</w:t>
            </w:r>
          </w:p>
        </w:tc>
        <w:tc>
          <w:tcPr>
            <w:tcW w:type="dxa" w:w="39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Funding shifts toward human-relevant models</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Dec 2025</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FDA Modernization Act 3.0 passed</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FDA must create formal NAM qualification process</w:t>
            </w:r>
          </w:p>
        </w:tc>
      </w:tr>
      <w:tr>
        <w:tc>
          <w:tcPr>
            <w:tcW w:type="dxa" w:w="1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2026+</w:t>
            </w:r>
          </w:p>
        </w:tc>
        <w:tc>
          <w:tcPr>
            <w:tcW w:type="dxa" w:w="39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FDA pilot: non-animal mAb testing</w:t>
            </w:r>
          </w:p>
        </w:tc>
        <w:tc>
          <w:tcPr>
            <w:tcW w:type="dxa" w:w="39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First NAM-based approval packages</w:t>
            </w:r>
          </w:p>
        </w:tc>
      </w:tr>
    </w:tbl>
    <w:p>
      <w:pPr>
        <w:spacing w:after="120"/>
      </w:pPr>
    </w:p>
    <w:p>
      <w:pPr>
        <w:pStyle w:val="Heading2"/>
        <w:spacing w:after="200" w:before="240"/>
      </w:pPr>
      <w:r>
        <w:rPr>
          <w:rFonts w:ascii="Arial" w:cs="Arial" w:eastAsia="Arial" w:hAnsi="Arial"/>
          <w:b/>
          <w:bCs/>
          <w:color w:val="1A5276"/>
          <w:sz w:val="30"/>
          <w:szCs w:val="30"/>
        </w:rPr>
        <w:t xml:space="preserve">2.2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4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Gap Hakase Fills</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Certara (Simcyp/Phoenix)</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PBPK modeling</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Enterprise-priced; no cohort modeling, no regulatory doc generation</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Simulations Plus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ADME / PBPK</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Standalone; no NAM integration, no 4-layer workflow</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Instem Provantis</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Study management</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Data capture only; no predictive modeling or virtual cohorts</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Emulate (Organ-on-Chip)</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In vitro NAM</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Hardware-dependent; no in-silico layer or document generation</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Deep Origin (PREDICTS)</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ARPA-H virtual human</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Research-stage; no commercial product or study design tools</w:t>
            </w:r>
          </w:p>
        </w:tc>
      </w:tr>
    </w:tbl>
    <w:p>
      <w:r>
        <w:br w:type="page"/>
      </w:r>
    </w:p>
    <w:p>
      <w:pPr>
        <w:pStyle w:val="Heading1"/>
        <w:spacing w:after="200" w:before="360"/>
      </w:pPr>
      <w:r>
        <w:rPr>
          <w:rFonts w:ascii="Arial" w:cs="Arial" w:eastAsia="Arial" w:hAnsi="Arial"/>
          <w:b/>
          <w:bCs/>
          <w:color w:val="1A5276"/>
          <w:sz w:val="36"/>
          <w:szCs w:val="36"/>
        </w:rPr>
        <w:t xml:space="preserve">3. Layer 1: Molecule / Drug Input</w:t>
      </w:r>
    </w:p>
    <w:p>
      <w:pPr>
        <w:spacing w:after="160" w:line="276"/>
      </w:pPr>
      <w:r>
        <w:rPr>
          <w:rFonts w:ascii="Arial" w:cs="Arial" w:eastAsia="Arial" w:hAnsi="Arial"/>
          <w:color w:val="2C3E50"/>
          <w:sz w:val="22"/>
          <w:szCs w:val="22"/>
        </w:rPr>
        <w:t xml:space="preserve">Layer 1 is the entry point for the entire simulation pipeline. A molecule must be imported and profiled before any animal cohort can be designed. This layer exists in the current Hakase platform and is extended here with additional outputs required by Layer 2.</w:t>
      </w:r>
    </w:p>
    <w:p>
      <w:pPr>
        <w:pStyle w:val="Heading2"/>
        <w:spacing w:after="200" w:before="240"/>
      </w:pPr>
      <w:r>
        <w:rPr>
          <w:rFonts w:ascii="Arial" w:cs="Arial" w:eastAsia="Arial" w:hAnsi="Arial"/>
          <w:b/>
          <w:bCs/>
          <w:color w:val="1A5276"/>
          <w:sz w:val="30"/>
          <w:szCs w:val="30"/>
        </w:rPr>
        <w:t xml:space="preserve">3.1 Input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Format</w:t>
            </w:r>
          </w:p>
        </w:tc>
        <w:tc>
          <w:tcPr>
            <w:tcW w:type="dxa" w:w="3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SMILES string</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Simplified molecular input line entry system</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CC(=O)Oc1ccccc1C(=O)O (aspirin)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SDF / MOL file</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Structure-Data File with 3D coordinates</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Upload from drug design software</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InChI / InChIKey</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IUPAC International Chemical Identifier</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InChIKey=BSYNRYMUTXBXSQ-UHFFFAOYSA-N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PDB ID</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Protein Data Bank identifier (for biologics)</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Target protein structure</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Manual entry</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Draw structure in molecular editor</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Browser-based sketcher (Ketcher/JSME)</w:t>
            </w:r>
          </w:p>
        </w:tc>
      </w:tr>
    </w:tbl>
    <w:p>
      <w:pPr>
        <w:spacing w:after="120"/>
      </w:pPr>
    </w:p>
    <w:p>
      <w:pPr>
        <w:pStyle w:val="Heading2"/>
        <w:spacing w:after="200" w:before="240"/>
      </w:pPr>
      <w:r>
        <w:rPr>
          <w:rFonts w:ascii="Arial" w:cs="Arial" w:eastAsia="Arial" w:hAnsi="Arial"/>
          <w:b/>
          <w:bCs/>
          <w:color w:val="1A5276"/>
          <w:sz w:val="30"/>
          <w:szCs w:val="30"/>
        </w:rPr>
        <w:t xml:space="preserve">3.2 Layer 1 Processing Pipeline</w:t>
      </w:r>
    </w:p>
    <w:p>
      <w:pPr>
        <w:pStyle w:val="ListParagraph"/>
        <w:numPr>
          <w:ilvl w:val="0"/>
          <w:numId w:val="2"/>
        </w:numPr>
        <w:spacing w:after="80" w:line="276"/>
      </w:pPr>
      <w:r>
        <w:rPr>
          <w:rFonts w:ascii="Arial" w:cs="Arial" w:eastAsia="Arial" w:hAnsi="Arial"/>
          <w:b/>
          <w:bCs/>
          <w:color w:val="2C3E50"/>
          <w:sz w:val="22"/>
          <w:szCs w:val="22"/>
        </w:rPr>
        <w:t xml:space="preserve">Molecular descriptor calculation: </w:t>
      </w:r>
      <w:r>
        <w:rPr>
          <w:rFonts w:ascii="Arial" w:cs="Arial" w:eastAsia="Arial" w:hAnsi="Arial"/>
          <w:color w:val="2C3E50"/>
          <w:sz w:val="22"/>
          <w:szCs w:val="22"/>
        </w:rPr>
        <w:t xml:space="preserve">Physicochemical properties (MW, LogP, PSA, HBD/HBA, rotatable bonds), Lipinski compliance, drug-likeness scores</w:t>
      </w:r>
    </w:p>
    <w:p>
      <w:pPr>
        <w:pStyle w:val="ListParagraph"/>
        <w:numPr>
          <w:ilvl w:val="0"/>
          <w:numId w:val="2"/>
        </w:numPr>
        <w:spacing w:after="80" w:line="276"/>
      </w:pPr>
      <w:r>
        <w:rPr>
          <w:rFonts w:ascii="Arial" w:cs="Arial" w:eastAsia="Arial" w:hAnsi="Arial"/>
          <w:b/>
          <w:bCs/>
          <w:color w:val="2C3E50"/>
          <w:sz w:val="22"/>
          <w:szCs w:val="22"/>
        </w:rPr>
        <w:t xml:space="preserve">ADMET profiling: </w:t>
      </w:r>
      <w:r>
        <w:rPr>
          <w:rFonts w:ascii="Arial" w:cs="Arial" w:eastAsia="Arial" w:hAnsi="Arial"/>
          <w:color w:val="2C3E50"/>
          <w:sz w:val="22"/>
          <w:szCs w:val="22"/>
        </w:rPr>
        <w:t xml:space="preserve">Absorption (Caco-2 permeability, P-gp substrate), Distribution (plasma protein binding, Vd estimation), Metabolism (CYP substrate/inhibitor prediction), Excretion (renal/biliary), Toxicity (structural alerts)</w:t>
      </w:r>
    </w:p>
    <w:p>
      <w:pPr>
        <w:pStyle w:val="ListParagraph"/>
        <w:numPr>
          <w:ilvl w:val="0"/>
          <w:numId w:val="2"/>
        </w:numPr>
        <w:spacing w:after="80" w:line="276"/>
      </w:pPr>
      <w:r>
        <w:rPr>
          <w:rFonts w:ascii="Arial" w:cs="Arial" w:eastAsia="Arial" w:hAnsi="Arial"/>
          <w:b/>
          <w:bCs/>
          <w:color w:val="2C3E50"/>
          <w:sz w:val="22"/>
          <w:szCs w:val="22"/>
        </w:rPr>
        <w:t xml:space="preserve">Target-indication mapping: </w:t>
      </w:r>
      <w:r>
        <w:rPr>
          <w:rFonts w:ascii="Arial" w:cs="Arial" w:eastAsia="Arial" w:hAnsi="Arial"/>
          <w:color w:val="2C3E50"/>
          <w:sz w:val="22"/>
          <w:szCs w:val="22"/>
        </w:rPr>
        <w:t xml:space="preserve">Cross-reference target against indication databases; identify therapeutic area, mechanism of action, and known pharmacology</w:t>
      </w:r>
    </w:p>
    <w:p>
      <w:pPr>
        <w:pStyle w:val="ListParagraph"/>
        <w:numPr>
          <w:ilvl w:val="0"/>
          <w:numId w:val="2"/>
        </w:numPr>
        <w:spacing w:after="80" w:line="276"/>
      </w:pPr>
      <w:r>
        <w:rPr>
          <w:rFonts w:ascii="Arial" w:cs="Arial" w:eastAsia="Arial" w:hAnsi="Arial"/>
          <w:b/>
          <w:bCs/>
          <w:color w:val="2C3E50"/>
          <w:sz w:val="22"/>
          <w:szCs w:val="22"/>
        </w:rPr>
        <w:t xml:space="preserve">Compound classification: </w:t>
      </w:r>
      <w:r>
        <w:rPr>
          <w:rFonts w:ascii="Arial" w:cs="Arial" w:eastAsia="Arial" w:hAnsi="Arial"/>
          <w:color w:val="2C3E50"/>
          <w:sz w:val="22"/>
          <w:szCs w:val="22"/>
        </w:rPr>
        <w:t xml:space="preserve">Small molecule vs. biologic vs. peptide vs. ADC — this classification drives Layer 2’s species selection and regulatory pathway</w:t>
      </w:r>
    </w:p>
    <w:p>
      <w:pPr>
        <w:pStyle w:val="Heading2"/>
        <w:spacing w:after="200" w:before="240"/>
      </w:pPr>
      <w:r>
        <w:rPr>
          <w:rFonts w:ascii="Arial" w:cs="Arial" w:eastAsia="Arial" w:hAnsi="Arial"/>
          <w:b/>
          <w:bCs/>
          <w:color w:val="1A5276"/>
          <w:sz w:val="30"/>
          <w:szCs w:val="30"/>
        </w:rPr>
        <w:t xml:space="preserve">3.3 Layer 1 → Layer 2 Handoff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6"/>
              <w:left w:val="single" w:color="BDC3C7" w:sz="1"/>
              <w:bottom w:val="single" w:color="BDC3C7" w:sz="1"/>
              <w:right w:val="single" w:color="BDC3C7" w:sz="1"/>
            </w:tcBorders>
            <w:shd w:fill="FDEBD0" w:val="clear"/>
            <w:tcMar>
              <w:top w:type="dxa" w:w="120"/>
              <w:left w:type="dxa" w:w="200"/>
              <w:bottom w:type="dxa" w:w="120"/>
              <w:right w:type="dxa" w:w="200"/>
            </w:tcMar>
          </w:tcPr>
          <w:p>
            <w:pPr>
              <w:spacing w:after="80"/>
            </w:pPr>
            <w:r>
              <w:rPr>
                <w:rFonts w:ascii="Arial" w:cs="Arial" w:eastAsia="Arial" w:hAnsi="Arial"/>
                <w:b/>
                <w:bCs/>
                <w:color w:val="1A5276"/>
                <w:sz w:val="22"/>
                <w:szCs w:val="22"/>
              </w:rPr>
              <w:t xml:space="preserve">HANDOFF: Layer 1 → Layer 2</w:t>
            </w:r>
          </w:p>
          <w:p>
            <w:pPr>
              <w:spacing w:after="40"/>
            </w:pPr>
            <w:r>
              <w:rPr>
                <w:rFonts w:ascii="Arial" w:cs="Arial" w:eastAsia="Arial" w:hAnsi="Arial"/>
                <w:color w:val="2C3E50"/>
                <w:sz w:val="20"/>
                <w:szCs w:val="20"/>
              </w:rPr>
              <w:t xml:space="preserve">Layer 1 outputs a structured Compound Profile that Layer 2 consumes: molecular descriptors (for PBPK parameterization), ADMET predictions (for species-specific metabolism mapping), target identity (for species homology scoring), compound class (for regulatory pathway selection), and structural alerts (for preliminary toxicity flagging). Without this handoff, Layer 2 cannot function.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Handoff Data</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4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Consumed By (Layer 2)</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Molecular descriptors (MW, LogP, PSA, pKa)</w:t>
            </w:r>
          </w:p>
        </w:tc>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JSON object</w:t>
            </w:r>
          </w:p>
        </w:tc>
        <w:tc>
          <w:tcPr>
            <w:tcW w:type="dxa" w:w="4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PBPK engine: absorption/distribution parameterization</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ADMET predictions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Scored profile with confidence</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Species metabolism mapping, CYP substrate assignment</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Target protein identity + sequence</w:t>
            </w:r>
          </w:p>
        </w:tc>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UniProt ID + FASTA</w:t>
            </w:r>
          </w:p>
        </w:tc>
        <w:tc>
          <w:tcPr>
            <w:tcW w:type="dxa" w:w="4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Species selection: target homology scoring</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Compound classification</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Enum: small_mol | biologic | peptide | adc</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Regulatory pathway selection, study type determination</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Structural alerts</w:t>
            </w:r>
          </w:p>
        </w:tc>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Array of flagged substructures</w:t>
            </w:r>
          </w:p>
        </w:tc>
        <w:tc>
          <w:tcPr>
            <w:tcW w:type="dxa" w:w="4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Toxicity prediction: pre-screening before PBPK simulation</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Known pharmacology (if any)</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Literature references + IC50/EC50</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Dose range estimation: starting point for allometric scaling</w:t>
            </w:r>
          </w:p>
        </w:tc>
      </w:tr>
    </w:tbl>
    <w:p>
      <w:r>
        <w:br w:type="page"/>
      </w:r>
    </w:p>
    <w:p>
      <w:pPr>
        <w:pStyle w:val="Heading1"/>
        <w:spacing w:after="200" w:before="360"/>
      </w:pPr>
      <w:r>
        <w:rPr>
          <w:rFonts w:ascii="Arial" w:cs="Arial" w:eastAsia="Arial" w:hAnsi="Arial"/>
          <w:b/>
          <w:bCs/>
          <w:color w:val="1A5276"/>
          <w:sz w:val="36"/>
          <w:szCs w:val="36"/>
        </w:rPr>
        <w:t xml:space="preserve">4. Layer 2: Animal Cohort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6"/>
              <w:left w:val="single" w:color="BDC3C7" w:sz="1"/>
              <w:bottom w:val="single" w:color="BDC3C7" w:sz="1"/>
              <w:right w:val="single" w:color="BDC3C7" w:sz="1"/>
            </w:tcBorders>
            <w:shd w:fill="D5F5E3" w:val="clear"/>
            <w:tcMar>
              <w:top w:type="dxa" w:w="120"/>
              <w:left w:type="dxa" w:w="200"/>
              <w:bottom w:type="dxa" w:w="120"/>
              <w:right w:type="dxa" w:w="200"/>
            </w:tcMar>
          </w:tcPr>
          <w:p>
            <w:pPr>
              <w:spacing w:after="80"/>
            </w:pPr>
            <w:r>
              <w:rPr>
                <w:rFonts w:ascii="Arial" w:cs="Arial" w:eastAsia="Arial" w:hAnsi="Arial"/>
                <w:b/>
                <w:bCs/>
                <w:color w:val="1A5276"/>
                <w:sz w:val="22"/>
                <w:szCs w:val="22"/>
              </w:rPr>
              <w:t xml:space="preserve">THE CORE ADDITION</w:t>
            </w:r>
          </w:p>
          <w:p>
            <w:pPr>
              <w:spacing w:after="40"/>
            </w:pPr>
            <w:r>
              <w:rPr>
                <w:rFonts w:ascii="Arial" w:cs="Arial" w:eastAsia="Arial" w:hAnsi="Arial"/>
                <w:color w:val="2C3E50"/>
                <w:sz w:val="20"/>
                <w:szCs w:val="20"/>
              </w:rPr>
              <w:t xml:space="preserve">Layer 2 is the pre-clinical intelligence layer. It receives a compound profile from Layer 1 and produces a complete pre-clinical simulation package: virtual animal cohorts, PBPK simulation results, toxicity predictions, dose recommendations, and regulatory-ready documents. Its outputs hand off directly to Layer 3 (Patient Cohort) as the scientific foundation for clinical development.</w:t>
            </w:r>
          </w:p>
        </w:tc>
      </w:tr>
    </w:tbl>
    <w:p>
      <w:pPr>
        <w:spacing w:after="120"/>
      </w:pPr>
    </w:p>
    <w:p>
      <w:pPr>
        <w:pStyle w:val="Heading2"/>
        <w:spacing w:after="200" w:before="240"/>
      </w:pPr>
      <w:r>
        <w:rPr>
          <w:rFonts w:ascii="Arial" w:cs="Arial" w:eastAsia="Arial" w:hAnsi="Arial"/>
          <w:b/>
          <w:bCs/>
          <w:color w:val="1A5276"/>
          <w:sz w:val="30"/>
          <w:szCs w:val="30"/>
        </w:rPr>
        <w:t xml:space="preserve">4.1 Virtual Animal Model Engine</w:t>
      </w:r>
    </w:p>
    <w:p>
      <w:pPr>
        <w:spacing w:after="160" w:line="276"/>
      </w:pPr>
      <w:r>
        <w:rPr>
          <w:rFonts w:ascii="Arial" w:cs="Arial" w:eastAsia="Arial" w:hAnsi="Arial"/>
          <w:color w:val="2C3E50"/>
          <w:sz w:val="22"/>
          <w:szCs w:val="22"/>
        </w:rPr>
        <w:t xml:space="preserve">Each virtual animal is a parameterized digital entity with species-specific physiological, biochemical, and genetic attributes. These are computational objects that respond dynamically to simulated drug exposure based on the compound profile received from Layer 1.</w:t>
      </w:r>
    </w:p>
    <w:p>
      <w:pPr>
        <w:pStyle w:val="Heading3"/>
        <w:spacing w:after="200" w:before="240"/>
      </w:pPr>
      <w:r>
        <w:rPr>
          <w:rFonts w:ascii="Arial" w:cs="Arial" w:eastAsia="Arial" w:hAnsi="Arial"/>
          <w:b/>
          <w:bCs/>
          <w:color w:val="1A5276"/>
          <w:sz w:val="26"/>
          <w:szCs w:val="26"/>
        </w:rPr>
        <w:t xml:space="preserve">4.1.1 Core Data Model: Virtual Animal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80"/>
        <w:gridCol w:w="4180"/>
      </w:tblGrid>
      <w:tr>
        <w:trPr>
          <w:tblHeader/>
        </w:trP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 Category</w:t>
            </w:r>
          </w:p>
        </w:tc>
        <w:tc>
          <w:tcPr>
            <w:tcW w:type="dxa" w:w="31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Parameters</w:t>
            </w:r>
          </w:p>
        </w:tc>
        <w:tc>
          <w:tcPr>
            <w:tcW w:type="dxa" w:w="41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 Derivation</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Identity</w:t>
            </w:r>
          </w:p>
        </w:tc>
        <w:tc>
          <w:tcPr>
            <w:tcW w:type="dxa" w:w="3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Species, strain, sex, age (weeks), body weight (g)</w:t>
            </w:r>
          </w:p>
        </w:tc>
        <w:tc>
          <w:tcPr>
            <w:tcW w:type="dxa" w:w="4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User-configured or AI-recommended based on Layer 1 compound class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Organ physiology</w:t>
            </w:r>
          </w:p>
        </w:tc>
        <w:tc>
          <w:tcPr>
            <w:tcW w:type="dxa" w:w="3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Organ weights (14 compartments), blood flows, tissue volumes</w:t>
            </w:r>
          </w:p>
        </w:tc>
        <w:tc>
          <w:tcPr>
            <w:tcW w:type="dxa" w:w="4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Species-specific reference databases (Brown et al., Davies &amp; Morris)</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GI physiology</w:t>
            </w:r>
          </w:p>
        </w:tc>
        <w:tc>
          <w:tcPr>
            <w:tcW w:type="dxa" w:w="3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Gastric pH, transit times, intestinal surface area, bile salts</w:t>
            </w:r>
          </w:p>
        </w:tc>
        <w:tc>
          <w:tcPr>
            <w:tcW w:type="dxa" w:w="4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Literature-derived, strain-specific adjustments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Hepatic metabolism</w:t>
            </w:r>
          </w:p>
        </w:tc>
        <w:tc>
          <w:tcPr>
            <w:tcW w:type="dxa" w:w="3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CYP isoform expression, UGT activity, microsomal protein</w:t>
            </w:r>
          </w:p>
        </w:tc>
        <w:tc>
          <w:tcPr>
            <w:tcW w:type="dxa" w:w="4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IVIVE scaling factors; CYP assignment from Layer 1 ADMET data</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Renal function</w:t>
            </w:r>
          </w:p>
        </w:tc>
        <w:tc>
          <w:tcPr>
            <w:tcW w:type="dxa" w:w="3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GFR, tubular secretion/reabsorption, urine pH</w:t>
            </w:r>
          </w:p>
        </w:tc>
        <w:tc>
          <w:tcPr>
            <w:tcW w:type="dxa" w:w="4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Allometric scaling from body weight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Cardiovascular</w:t>
            </w:r>
          </w:p>
        </w:tc>
        <w:tc>
          <w:tcPr>
            <w:tcW w:type="dxa" w:w="3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Cardiac output, blood pressure, heart rate, hERG density</w:t>
            </w:r>
          </w:p>
        </w:tc>
        <w:tc>
          <w:tcPr>
            <w:tcW w:type="dxa" w:w="4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Species baselines from safety pharmacology literature</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Plasma biochemistry</w:t>
            </w:r>
          </w:p>
        </w:tc>
        <w:tc>
          <w:tcPr>
            <w:tcW w:type="dxa" w:w="3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Albumin, alpha-1-acid glycoprotein, total protein, lipids</w:t>
            </w:r>
          </w:p>
        </w:tc>
        <w:tc>
          <w:tcPr>
            <w:tcW w:type="dxa" w:w="4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Reference ranges per species/strain/age/sex</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Genetic profile</w:t>
            </w:r>
          </w:p>
        </w:tc>
        <w:tc>
          <w:tcPr>
            <w:tcW w:type="dxa" w:w="3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Metabolizer phenotype per CYP, transporter polymorphisms</w:t>
            </w:r>
          </w:p>
        </w:tc>
        <w:tc>
          <w:tcPr>
            <w:tcW w:type="dxa" w:w="4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Population frequency distributions</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Immune baseline</w:t>
            </w:r>
          </w:p>
        </w:tc>
        <w:tc>
          <w:tcPr>
            <w:tcW w:type="dxa" w:w="3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WBC differential, cytokine baselines, complement levels</w:t>
            </w:r>
          </w:p>
        </w:tc>
        <w:tc>
          <w:tcPr>
            <w:tcW w:type="dxa" w:w="4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Species-specific normal ranges</w:t>
            </w:r>
          </w:p>
        </w:tc>
      </w:tr>
    </w:tbl>
    <w:p>
      <w:pPr>
        <w:spacing w:after="120"/>
      </w:pPr>
    </w:p>
    <w:p>
      <w:pPr>
        <w:pStyle w:val="Heading3"/>
        <w:spacing w:after="200" w:before="240"/>
      </w:pPr>
      <w:r>
        <w:rPr>
          <w:rFonts w:ascii="Arial" w:cs="Arial" w:eastAsia="Arial" w:hAnsi="Arial"/>
          <w:b/>
          <w:bCs/>
          <w:color w:val="1A5276"/>
          <w:sz w:val="26"/>
          <w:szCs w:val="26"/>
        </w:rPr>
        <w:t xml:space="preserve">4.1.2 MVP Species &amp; Strain Library (Tiered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6"/>
              <w:left w:val="single" w:color="BDC3C7" w:sz="1"/>
              <w:bottom w:val="single" w:color="BDC3C7" w:sz="1"/>
              <w:right w:val="single" w:color="BDC3C7" w:sz="1"/>
            </w:tcBorders>
            <w:shd w:fill="E8DAEF" w:val="clear"/>
            <w:tcMar>
              <w:top w:type="dxa" w:w="120"/>
              <w:left w:type="dxa" w:w="200"/>
              <w:bottom w:type="dxa" w:w="120"/>
              <w:right w:type="dxa" w:w="200"/>
            </w:tcMar>
          </w:tcPr>
          <w:p>
            <w:pPr>
              <w:spacing w:after="80"/>
            </w:pPr>
            <w:r>
              <w:rPr>
                <w:rFonts w:ascii="Arial" w:cs="Arial" w:eastAsia="Arial" w:hAnsi="Arial"/>
                <w:b/>
                <w:bCs/>
                <w:color w:val="1A5276"/>
                <w:sz w:val="22"/>
                <w:szCs w:val="22"/>
              </w:rPr>
              <w:t xml:space="preserve">MVP DECISION: Tiered Strain Depth</w:t>
            </w:r>
          </w:p>
          <w:p>
            <w:pPr>
              <w:spacing w:after="40"/>
            </w:pPr>
            <w:r>
              <w:rPr>
                <w:rFonts w:ascii="Arial" w:cs="Arial" w:eastAsia="Arial" w:hAnsi="Arial"/>
                <w:color w:val="2C3E50"/>
                <w:sz w:val="20"/>
                <w:szCs w:val="20"/>
              </w:rPr>
              <w:t xml:space="preserve">For MVP, rodent species ship with 2–3 validated strains (covering outbred + inbred use cases). Non-rodent species ship with a single validated strain. This produces 7 total parameter sets to validate, balancing scientific coverage with launch timeline. Additional strains added in Phase 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1960"/>
        <w:gridCol w:w="1800"/>
      </w:tblGrid>
      <w:tr>
        <w:trPr>
          <w:tblHeader/>
        </w:trPr>
        <w:tc>
          <w:tcPr>
            <w:tcW w:type="dxa" w:w="1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Species</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MVP Strains</w:t>
            </w:r>
          </w:p>
        </w:tc>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Strain Rationale</w:t>
            </w:r>
          </w:p>
        </w:tc>
        <w:tc>
          <w:tcPr>
            <w:tcW w:type="dxa" w:w="1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Typical Use Cases</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Mouse</w:t>
            </w:r>
          </w:p>
        </w:tc>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CD-1 (outbred), C57BL/6 (inbred)</w:t>
            </w:r>
          </w:p>
        </w:tc>
        <w:tc>
          <w:tcPr>
            <w:tcW w:type="dxa" w:w="2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CD-1: general purpose tox/PK; C57BL/6: immunology, oncology, transgenic background</w:t>
            </w:r>
          </w:p>
        </w:tc>
        <w:tc>
          <w:tcPr>
            <w:tcW w:type="dxa" w:w="19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Efficacy, oncology, immunology, PK</w:t>
            </w:r>
          </w:p>
        </w:tc>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Validated</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Rat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Sprague Dawley, Wistar</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SD: most common GLP tox strain globally; Wistar: European regulatory preference</w:t>
            </w:r>
          </w:p>
        </w:tc>
        <w:tc>
          <w:tcPr>
            <w:tcW w:type="dxa" w:w="1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General tox, GLP repeat-dose, ADME, carcinogenicity</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Validated</w:t>
            </w:r>
          </w:p>
        </w:tc>
      </w:tr>
      <w:tr>
        <w:tc>
          <w:tcPr>
            <w:tcW w:type="dxa" w:w="1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Dog (Beagle)</w:t>
            </w:r>
          </w:p>
        </w:tc>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Standard Beagle</w:t>
            </w:r>
          </w:p>
        </w:tc>
        <w:tc>
          <w:tcPr>
            <w:tcW w:type="dxa" w:w="2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Industry standard non-rodent; best CV safety pharmacology data</w:t>
            </w:r>
          </w:p>
        </w:tc>
        <w:tc>
          <w:tcPr>
            <w:tcW w:type="dxa" w:w="19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Non-rodent tox, CV safety pharmacology</w:t>
            </w:r>
          </w:p>
        </w:tc>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Validated</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Cynomolgus monkey</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Mauritian-origin</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Most common NHP; well-characterized immune system; biologics standard</w:t>
            </w:r>
          </w:p>
        </w:tc>
        <w:tc>
          <w:tcPr>
            <w:tcW w:type="dxa" w:w="1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Biologics, CNS, immunogenicity</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Validated</w:t>
            </w:r>
          </w:p>
        </w:tc>
      </w:tr>
      <w:tr>
        <w:tc>
          <w:tcPr>
            <w:tcW w:type="dxa" w:w="1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Human (reference)</w:t>
            </w:r>
          </w:p>
        </w:tc>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Adult reference model</w:t>
            </w:r>
          </w:p>
        </w:tc>
        <w:tc>
          <w:tcPr>
            <w:tcW w:type="dxa" w:w="2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Translational target; allometric scaling endpoint</w:t>
            </w:r>
          </w:p>
        </w:tc>
        <w:tc>
          <w:tcPr>
            <w:tcW w:type="dxa" w:w="19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FIH dose projection, translational bridging</w:t>
            </w:r>
          </w:p>
        </w:tc>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Validated</w:t>
            </w:r>
          </w:p>
        </w:tc>
      </w:tr>
    </w:tbl>
    <w:p>
      <w:pPr>
        <w:spacing w:after="120"/>
      </w:pPr>
    </w:p>
    <w:p>
      <w:pPr>
        <w:pStyle w:val="Heading3"/>
        <w:spacing w:after="200" w:before="240"/>
      </w:pPr>
      <w:r>
        <w:rPr>
          <w:rFonts w:ascii="Arial" w:cs="Arial" w:eastAsia="Arial" w:hAnsi="Arial"/>
          <w:b/>
          <w:bCs/>
          <w:color w:val="1A5276"/>
          <w:sz w:val="26"/>
          <w:szCs w:val="26"/>
        </w:rPr>
        <w:t xml:space="preserve">4.1.3 Phase 2+ Strain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Species</w:t>
            </w:r>
          </w:p>
        </w:tc>
        <w:tc>
          <w:tcPr>
            <w:tcW w:type="dxa" w:w="351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2 Strains</w:t>
            </w:r>
          </w:p>
        </w:tc>
        <w:tc>
          <w:tcPr>
            <w:tcW w:type="dxa" w:w="351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3+ Strains</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Mouse</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BALB/c (immunology), nude/SCID (xenograft)</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NOD-SCID-gamma, humanized models</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Rat</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Han Wistar, F344 (carcinogenicity)</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Long-Evans, Zucker (metabolic disease)</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Dog</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 (single strain sufficient)</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Cynomolgus</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Chinese-origin (cost-effective)</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Minipig (new species)</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Göttingen</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Yucatan</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Rabbit (new species)</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New Zealand White</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Zebrafish (new species)</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Wild-type AB</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Casper (transparent)</w:t>
            </w:r>
          </w:p>
        </w:tc>
      </w:tr>
    </w:tbl>
    <w:p>
      <w:r>
        <w:br w:type="page"/>
      </w:r>
    </w:p>
    <w:p>
      <w:pPr>
        <w:pStyle w:val="Heading2"/>
        <w:spacing w:after="200" w:before="240"/>
      </w:pPr>
      <w:r>
        <w:rPr>
          <w:rFonts w:ascii="Arial" w:cs="Arial" w:eastAsia="Arial" w:hAnsi="Arial"/>
          <w:b/>
          <w:bCs/>
          <w:color w:val="1A5276"/>
          <w:sz w:val="30"/>
          <w:szCs w:val="30"/>
        </w:rPr>
        <w:t xml:space="preserve">4.2 Study Group Architecture</w:t>
      </w:r>
    </w:p>
    <w:p>
      <w:pPr>
        <w:spacing w:after="160" w:line="276"/>
      </w:pPr>
      <w:r>
        <w:rPr>
          <w:rFonts w:ascii="Arial" w:cs="Arial" w:eastAsia="Arial" w:hAnsi="Arial"/>
          <w:color w:val="2C3E50"/>
          <w:sz w:val="22"/>
          <w:szCs w:val="22"/>
        </w:rPr>
        <w:t xml:space="preserve">Layer 2 defines the experimental group structure for any simulated preclinical study. Virtual animals are organized into treatment groups that mirror real GLP study designs, with group parameters driven by Layer 1’s compound profile.</w:t>
      </w:r>
    </w:p>
    <w:p>
      <w:pPr>
        <w:pStyle w:val="Heading3"/>
        <w:spacing w:after="200" w:before="240"/>
      </w:pPr>
      <w:r>
        <w:rPr>
          <w:rFonts w:ascii="Arial" w:cs="Arial" w:eastAsia="Arial" w:hAnsi="Arial"/>
          <w:b/>
          <w:bCs/>
          <w:color w:val="1A5276"/>
          <w:sz w:val="26"/>
          <w:szCs w:val="26"/>
        </w:rPr>
        <w:t xml:space="preserve">4.2.1 Group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80"/>
        <w:gridCol w:w="4180"/>
      </w:tblGrid>
      <w:tr>
        <w:trPr>
          <w:tblHeader/>
        </w:trP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Group Type</w:t>
            </w:r>
          </w:p>
        </w:tc>
        <w:tc>
          <w:tcPr>
            <w:tcW w:type="dxa" w:w="31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41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Configuration</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Vehicle control</w:t>
            </w:r>
          </w:p>
        </w:tc>
        <w:tc>
          <w:tcPr>
            <w:tcW w:type="dxa" w:w="3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Baseline comparator, isolates drug effects</w:t>
            </w:r>
          </w:p>
        </w:tc>
        <w:tc>
          <w:tcPr>
            <w:tcW w:type="dxa" w:w="4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Same formulation minus API; n per regulatory minimum</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Low dose</w:t>
            </w:r>
          </w:p>
        </w:tc>
        <w:tc>
          <w:tcPr>
            <w:tcW w:type="dxa" w:w="3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Subtherapeutic exposure, NOAEL identification</w:t>
            </w:r>
          </w:p>
        </w:tc>
        <w:tc>
          <w:tcPr>
            <w:tcW w:type="dxa" w:w="4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1/10th of projected efficacious dose from Layer 1</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Mid dose</w:t>
            </w:r>
          </w:p>
        </w:tc>
        <w:tc>
          <w:tcPr>
            <w:tcW w:type="dxa" w:w="3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Therapeutic range exploration</w:t>
            </w:r>
          </w:p>
        </w:tc>
        <w:tc>
          <w:tcPr>
            <w:tcW w:type="dxa" w:w="4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Geometric mean of low and high dose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High dose</w:t>
            </w:r>
          </w:p>
        </w:tc>
        <w:tc>
          <w:tcPr>
            <w:tcW w:type="dxa" w:w="3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MTD approach, safety margin determination</w:t>
            </w:r>
          </w:p>
        </w:tc>
        <w:tc>
          <w:tcPr>
            <w:tcW w:type="dxa" w:w="4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Target 10–50x human AUC or dose-limiting toxicity</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Recovery / Reversibility</w:t>
            </w:r>
          </w:p>
        </w:tc>
        <w:tc>
          <w:tcPr>
            <w:tcW w:type="dxa" w:w="3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Assess reversibility post-dosing</w:t>
            </w:r>
          </w:p>
        </w:tc>
        <w:tc>
          <w:tcPr>
            <w:tcW w:type="dxa" w:w="4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Subset of control + high dose; 2–4 week recovery</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Satellite TK</w:t>
            </w:r>
          </w:p>
        </w:tc>
        <w:tc>
          <w:tcPr>
            <w:tcW w:type="dxa" w:w="3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Toxicokinetic sampling without disturbing main study</w:t>
            </w:r>
          </w:p>
        </w:tc>
        <w:tc>
          <w:tcPr>
            <w:tcW w:type="dxa" w:w="4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Sparse sampling; 3–5 animals/sex/timepoint</w:t>
            </w:r>
          </w:p>
        </w:tc>
      </w:tr>
    </w:tbl>
    <w:p>
      <w:pPr>
        <w:spacing w:after="120"/>
      </w:pPr>
    </w:p>
    <w:p>
      <w:pPr>
        <w:pStyle w:val="Heading3"/>
        <w:spacing w:after="200" w:before="240"/>
      </w:pPr>
      <w:r>
        <w:rPr>
          <w:rFonts w:ascii="Arial" w:cs="Arial" w:eastAsia="Arial" w:hAnsi="Arial"/>
          <w:b/>
          <w:bCs/>
          <w:color w:val="1A5276"/>
          <w:sz w:val="26"/>
          <w:szCs w:val="26"/>
        </w:rPr>
        <w:t xml:space="preserve">4.2.2 Randomization Engine</w:t>
      </w:r>
    </w:p>
    <w:p>
      <w:pPr>
        <w:spacing w:after="160" w:line="276"/>
      </w:pPr>
      <w:r>
        <w:rPr>
          <w:rFonts w:ascii="Arial" w:cs="Arial" w:eastAsia="Arial" w:hAnsi="Arial"/>
          <w:color w:val="2C3E50"/>
          <w:sz w:val="22"/>
          <w:szCs w:val="22"/>
        </w:rPr>
        <w:t xml:space="preserve">Stratified randomization by body weight ensures balanced group compositions. Supports block randomization (fixed block sizes), stratified randomization (by weight quartile), and adaptive randomization (minimization algorithm). Reproducible via seeded PRNG with full audit trail for GLP compliance.</w:t>
      </w:r>
    </w:p>
    <w:p>
      <w:pPr>
        <w:pStyle w:val="Heading3"/>
        <w:spacing w:after="200" w:before="240"/>
      </w:pPr>
      <w:r>
        <w:rPr>
          <w:rFonts w:ascii="Arial" w:cs="Arial" w:eastAsia="Arial" w:hAnsi="Arial"/>
          <w:b/>
          <w:bCs/>
          <w:color w:val="1A5276"/>
          <w:sz w:val="26"/>
          <w:szCs w:val="26"/>
        </w:rPr>
        <w:t xml:space="preserve">4.2.3 Sample Size 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800"/>
        <w:gridCol w:w="2960"/>
      </w:tblGrid>
      <w:tr>
        <w:trPr>
          <w:tblHeader/>
        </w:trPr>
        <w:tc>
          <w:tcPr>
            <w:tcW w:type="dxa" w:w="2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Study Type</w:t>
            </w:r>
          </w:p>
        </w:tc>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Regulatory Minimum (per sex)</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AI-Optimized Range</w:t>
            </w:r>
          </w:p>
        </w:tc>
        <w:tc>
          <w:tcPr>
            <w:tcW w:type="dxa" w:w="2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Basis</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Acute toxicity (rodent)</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5/sex/group</w:t>
            </w:r>
          </w:p>
        </w:tc>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5–10/sex/group</w:t>
            </w:r>
          </w:p>
        </w:tc>
        <w:tc>
          <w:tcPr>
            <w:tcW w:type="dxa" w:w="29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ICH M3, LD50 estimation</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Repeat-dose (rodent, ≤14d)</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10/sex/group</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10–15/sex/group</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Historical control variability</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Repeat-dose (rodent, ≥28d GLP)</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10–15/sex/group</w:t>
            </w:r>
          </w:p>
        </w:tc>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10–20/sex/group</w:t>
            </w:r>
          </w:p>
        </w:tc>
        <w:tc>
          <w:tcPr>
            <w:tcW w:type="dxa" w:w="29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OECD 407/408 detection power</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Repeat-dose (non-rodent)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3–4/sex/group</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3–6/sex/group</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ICH S4, NHP welfare</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Satellite TK (rodent)</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3/sex/timepoint</w:t>
            </w:r>
          </w:p>
        </w:tc>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3–5/sex/timepoint</w:t>
            </w:r>
          </w:p>
        </w:tc>
        <w:tc>
          <w:tcPr>
            <w:tcW w:type="dxa" w:w="29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FDA bioanalytical guidance</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Safety pharmacology (CV, dog)</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4–8 total (crossover)</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4–8</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ICH S7A/S7B</w:t>
            </w:r>
          </w:p>
        </w:tc>
      </w:tr>
    </w:tbl>
    <w:p>
      <w:r>
        <w:br w:type="page"/>
      </w:r>
    </w:p>
    <w:p>
      <w:pPr>
        <w:pStyle w:val="Heading2"/>
        <w:spacing w:after="200" w:before="240"/>
      </w:pPr>
      <w:r>
        <w:rPr>
          <w:rFonts w:ascii="Arial" w:cs="Arial" w:eastAsia="Arial" w:hAnsi="Arial"/>
          <w:b/>
          <w:bCs/>
          <w:color w:val="1A5276"/>
          <w:sz w:val="30"/>
          <w:szCs w:val="30"/>
        </w:rPr>
        <w:t xml:space="preserve">4.3 Population Variability Engine</w:t>
      </w:r>
    </w:p>
    <w:p>
      <w:pPr>
        <w:spacing w:after="160" w:line="276"/>
      </w:pPr>
      <w:r>
        <w:rPr>
          <w:rFonts w:ascii="Arial" w:cs="Arial" w:eastAsia="Arial" w:hAnsi="Arial"/>
          <w:color w:val="2C3E50"/>
          <w:sz w:val="22"/>
          <w:szCs w:val="22"/>
        </w:rPr>
        <w:t xml:space="preserve">The population variability engine transforms Layer 2 from a simple lookup system into a true simulation substrate. It generates realistic cohort-level variability that propagates through all downstream simulations.</w:t>
      </w:r>
    </w:p>
    <w:p>
      <w:pPr>
        <w:pStyle w:val="Heading3"/>
        <w:spacing w:after="200" w:before="240"/>
      </w:pPr>
      <w:r>
        <w:rPr>
          <w:rFonts w:ascii="Arial" w:cs="Arial" w:eastAsia="Arial" w:hAnsi="Arial"/>
          <w:b/>
          <w:bCs/>
          <w:color w:val="1A5276"/>
          <w:sz w:val="26"/>
          <w:szCs w:val="26"/>
        </w:rPr>
        <w:t xml:space="preserve">4.3.1 Variability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80"/>
        <w:gridCol w:w="3980"/>
      </w:tblGrid>
      <w:tr>
        <w:trPr>
          <w:tblHeader/>
        </w:trP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1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Parameters Affected</w:t>
            </w:r>
          </w:p>
        </w:tc>
        <w:tc>
          <w:tcPr>
            <w:tcW w:type="dxa" w:w="39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Inter-individual (IIV)</w:t>
            </w:r>
          </w:p>
        </w:tc>
        <w:tc>
          <w:tcPr>
            <w:tcW w:type="dxa" w:w="3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Body weight, organ weights, enzyme expression, GFR</w:t>
            </w:r>
          </w:p>
        </w:tc>
        <w:tc>
          <w:tcPr>
            <w:tcW w:type="dxa" w:w="39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Log-normal distributions; CV 15–40%</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Inter-occasion (IOV)</w:t>
            </w:r>
          </w:p>
        </w:tc>
        <w:tc>
          <w:tcPr>
            <w:tcW w:type="dxa" w:w="3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Food intake, GI transit, stress hormones</w:t>
            </w:r>
          </w:p>
        </w:tc>
        <w:tc>
          <w:tcPr>
            <w:tcW w:type="dxa" w:w="39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Within-subject variability; CV 10–25%</w:t>
            </w:r>
          </w:p>
        </w:tc>
      </w:tr>
      <w:tr>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Genetic polymorphism</w:t>
            </w:r>
          </w:p>
        </w:tc>
        <w:tc>
          <w:tcPr>
            <w:tcW w:type="dxa" w:w="3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CYP expression, transporter variants</w:t>
            </w:r>
          </w:p>
        </w:tc>
        <w:tc>
          <w:tcPr>
            <w:tcW w:type="dxa" w:w="39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Discrete phenotype categories (PM/IM/EM/UM)</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Strain-specific</w:t>
            </w:r>
          </w:p>
        </w:tc>
        <w:tc>
          <w:tcPr>
            <w:tcW w:type="dxa" w:w="3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Immune phenotype, tumor susceptibility, metabolic rate</w:t>
            </w:r>
          </w:p>
        </w:tc>
        <w:tc>
          <w:tcPr>
            <w:tcW w:type="dxa" w:w="39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Strain-dependent baseline parameter sets</w:t>
            </w:r>
          </w:p>
        </w:tc>
      </w:tr>
      <w:tr>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Environmental</w:t>
            </w:r>
          </w:p>
        </w:tc>
        <w:tc>
          <w:tcPr>
            <w:tcW w:type="dxa" w:w="3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Circadian rhythm, housing density, temperature</w:t>
            </w:r>
          </w:p>
        </w:tc>
        <w:tc>
          <w:tcPr>
            <w:tcW w:type="dxa" w:w="39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Time-varying covariates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Age-related</w:t>
            </w:r>
          </w:p>
        </w:tc>
        <w:tc>
          <w:tcPr>
            <w:tcW w:type="dxa" w:w="3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Organ maturation, enzyme ontogeny, renal decline</w:t>
            </w:r>
          </w:p>
        </w:tc>
        <w:tc>
          <w:tcPr>
            <w:tcW w:type="dxa" w:w="39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Age-scaling functions per species</w:t>
            </w:r>
          </w:p>
        </w:tc>
      </w:tr>
    </w:tbl>
    <w:p>
      <w:pPr>
        <w:spacing w:after="120"/>
      </w:pPr>
    </w:p>
    <w:p>
      <w:pPr>
        <w:pStyle w:val="Heading3"/>
        <w:spacing w:after="200" w:before="240"/>
      </w:pPr>
      <w:r>
        <w:rPr>
          <w:rFonts w:ascii="Arial" w:cs="Arial" w:eastAsia="Arial" w:hAnsi="Arial"/>
          <w:b/>
          <w:bCs/>
          <w:color w:val="1A5276"/>
          <w:sz w:val="26"/>
          <w:szCs w:val="26"/>
        </w:rPr>
        <w:t xml:space="preserve">4.3.2 Monte Carlo Population Generation</w:t>
      </w:r>
    </w:p>
    <w:p>
      <w:pPr>
        <w:pStyle w:val="ListParagraph"/>
        <w:numPr>
          <w:ilvl w:val="0"/>
          <w:numId w:val="3"/>
        </w:numPr>
        <w:spacing w:after="80" w:line="276"/>
      </w:pPr>
      <w:r>
        <w:rPr>
          <w:rFonts w:ascii="Arial" w:cs="Arial" w:eastAsia="Arial" w:hAnsi="Arial"/>
          <w:b/>
          <w:bCs/>
          <w:color w:val="2C3E50"/>
          <w:sz w:val="22"/>
          <w:szCs w:val="22"/>
        </w:rPr>
        <w:t xml:space="preserve">Sampling: </w:t>
      </w:r>
      <w:r>
        <w:rPr>
          <w:rFonts w:ascii="Arial" w:cs="Arial" w:eastAsia="Arial" w:hAnsi="Arial"/>
          <w:color w:val="2C3E50"/>
          <w:sz w:val="22"/>
          <w:szCs w:val="22"/>
        </w:rPr>
        <w:t xml:space="preserve">Latin Hypercube Sampling (LHS) for efficient parameter space coverage with smaller sample sizes</w:t>
      </w:r>
    </w:p>
    <w:p>
      <w:pPr>
        <w:pStyle w:val="ListParagraph"/>
        <w:numPr>
          <w:ilvl w:val="0"/>
          <w:numId w:val="3"/>
        </w:numPr>
        <w:spacing w:after="80" w:line="276"/>
      </w:pPr>
      <w:r>
        <w:rPr>
          <w:rFonts w:ascii="Arial" w:cs="Arial" w:eastAsia="Arial" w:hAnsi="Arial"/>
          <w:b/>
          <w:bCs/>
          <w:color w:val="2C3E50"/>
          <w:sz w:val="22"/>
          <w:szCs w:val="22"/>
        </w:rPr>
        <w:t xml:space="preserve">Correlation preservation: </w:t>
      </w:r>
      <w:r>
        <w:rPr>
          <w:rFonts w:ascii="Arial" w:cs="Arial" w:eastAsia="Arial" w:hAnsi="Arial"/>
          <w:color w:val="2C3E50"/>
          <w:sz w:val="22"/>
          <w:szCs w:val="22"/>
        </w:rPr>
        <w:t xml:space="preserve">Cholesky decomposition maintains physiological correlations (e.g., body weight ↔ organ weights ↔ cardiac output ↔ GFR)</w:t>
      </w:r>
    </w:p>
    <w:p>
      <w:pPr>
        <w:pStyle w:val="ListParagraph"/>
        <w:numPr>
          <w:ilvl w:val="0"/>
          <w:numId w:val="3"/>
        </w:numPr>
        <w:spacing w:after="80" w:line="276"/>
      </w:pPr>
      <w:r>
        <w:rPr>
          <w:rFonts w:ascii="Arial" w:cs="Arial" w:eastAsia="Arial" w:hAnsi="Arial"/>
          <w:b/>
          <w:bCs/>
          <w:color w:val="2C3E50"/>
          <w:sz w:val="22"/>
          <w:szCs w:val="22"/>
        </w:rPr>
        <w:t xml:space="preserve">Outlier handling: </w:t>
      </w:r>
      <w:r>
        <w:rPr>
          <w:rFonts w:ascii="Arial" w:cs="Arial" w:eastAsia="Arial" w:hAnsi="Arial"/>
          <w:color w:val="2C3E50"/>
          <w:sz w:val="22"/>
          <w:szCs w:val="22"/>
        </w:rPr>
        <w:t xml:space="preserve">Configurable bounds (default: 2.5th–97.5th percentile) prevent physiologically implausible virtual animals</w:t>
      </w:r>
    </w:p>
    <w:p>
      <w:pPr>
        <w:pStyle w:val="ListParagraph"/>
        <w:numPr>
          <w:ilvl w:val="0"/>
          <w:numId w:val="3"/>
        </w:numPr>
        <w:spacing w:after="80" w:line="276"/>
      </w:pPr>
      <w:r>
        <w:rPr>
          <w:rFonts w:ascii="Arial" w:cs="Arial" w:eastAsia="Arial" w:hAnsi="Arial"/>
          <w:b/>
          <w:bCs/>
          <w:color w:val="2C3E50"/>
          <w:sz w:val="22"/>
          <w:szCs w:val="22"/>
        </w:rPr>
        <w:t xml:space="preserve">Population sizes: </w:t>
      </w:r>
      <w:r>
        <w:rPr>
          <w:rFonts w:ascii="Arial" w:cs="Arial" w:eastAsia="Arial" w:hAnsi="Arial"/>
          <w:color w:val="2C3E50"/>
          <w:sz w:val="22"/>
          <w:szCs w:val="22"/>
        </w:rPr>
        <w:t xml:space="preserve">Default 1,000 virtual animals per simulation; scalable to 100,000 for rare event detection</w:t>
      </w:r>
    </w:p>
    <w:p>
      <w:pPr>
        <w:pStyle w:val="ListParagraph"/>
        <w:numPr>
          <w:ilvl w:val="0"/>
          <w:numId w:val="3"/>
        </w:numPr>
        <w:spacing w:after="80" w:line="276"/>
      </w:pPr>
      <w:r>
        <w:rPr>
          <w:rFonts w:ascii="Arial" w:cs="Arial" w:eastAsia="Arial" w:hAnsi="Arial"/>
          <w:b/>
          <w:bCs/>
          <w:color w:val="2C3E50"/>
          <w:sz w:val="22"/>
          <w:szCs w:val="22"/>
        </w:rPr>
        <w:t xml:space="preserve">Reproducibility: </w:t>
      </w:r>
      <w:r>
        <w:rPr>
          <w:rFonts w:ascii="Arial" w:cs="Arial" w:eastAsia="Arial" w:hAnsi="Arial"/>
          <w:color w:val="2C3E50"/>
          <w:sz w:val="22"/>
          <w:szCs w:val="22"/>
        </w:rPr>
        <w:t xml:space="preserve">Seeded RNG ensures identical cohorts across simulation reruns for regulatory reproducibility</w:t>
      </w:r>
    </w:p>
    <w:p>
      <w:pPr>
        <w:pStyle w:val="Heading3"/>
        <w:spacing w:after="200" w:before="240"/>
      </w:pPr>
      <w:r>
        <w:rPr>
          <w:rFonts w:ascii="Arial" w:cs="Arial" w:eastAsia="Arial" w:hAnsi="Arial"/>
          <w:b/>
          <w:bCs/>
          <w:color w:val="1A5276"/>
          <w:sz w:val="26"/>
          <w:szCs w:val="26"/>
        </w:rPr>
        <w:t xml:space="preserve">4.3.3 Covariate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w:t>
            </w:r>
          </w:p>
        </w:tc>
        <w:tc>
          <w:tcPr>
            <w:tcW w:type="dxa" w:w="3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c>
          <w:tcPr>
            <w:tcW w:type="dxa" w:w="3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Allometric scaling</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Organ weight ∝ BW^0.75; GFR ∝ BW^0.75</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Power-law from Dedrick plots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Sex-linked</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Female rats: lower CYP2C11, higher CYP2C12</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Sex-specific distributions</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Age-maturation</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Neonatal: immature CYP3A, reduced albumin</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Sigmoidal Hill equation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Disease-state</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Hepatic impairment: reduced CYP, albumin, blood flow</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Severity-graded modifications</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Strain genetics</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F344 rat: higher leukemia susceptibility</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Strain-specific incidence rates</w:t>
            </w:r>
          </w:p>
        </w:tc>
      </w:tr>
    </w:tbl>
    <w:p>
      <w:r>
        <w:br w:type="page"/>
      </w:r>
    </w:p>
    <w:p>
      <w:pPr>
        <w:pStyle w:val="Heading2"/>
        <w:spacing w:after="200" w:before="240"/>
      </w:pPr>
      <w:r>
        <w:rPr>
          <w:rFonts w:ascii="Arial" w:cs="Arial" w:eastAsia="Arial" w:hAnsi="Arial"/>
          <w:b/>
          <w:bCs/>
          <w:color w:val="1A5276"/>
          <w:sz w:val="30"/>
          <w:szCs w:val="30"/>
        </w:rPr>
        <w:t xml:space="preserve">4.4 Simulation Pillars (Operating on Layer 2 Cohorts)</w:t>
      </w:r>
    </w:p>
    <w:p>
      <w:pPr>
        <w:spacing w:after="160" w:line="276"/>
      </w:pPr>
      <w:r>
        <w:rPr>
          <w:rFonts w:ascii="Arial" w:cs="Arial" w:eastAsia="Arial" w:hAnsi="Arial"/>
          <w:color w:val="2C3E50"/>
          <w:sz w:val="22"/>
          <w:szCs w:val="22"/>
        </w:rPr>
        <w:t xml:space="preserve">Three integrated simulation pillars operate on the Layer 2 virtual cohort, consuming Layer 1’s compound profile and producing the outputs that hand off to Layer 3.</w:t>
      </w:r>
    </w:p>
    <w:p>
      <w:pPr>
        <w:pStyle w:val="Heading3"/>
        <w:spacing w:after="200" w:before="240"/>
      </w:pPr>
      <w:r>
        <w:rPr>
          <w:rFonts w:ascii="Arial" w:cs="Arial" w:eastAsia="Arial" w:hAnsi="Arial"/>
          <w:b/>
          <w:bCs/>
          <w:color w:val="1A5276"/>
          <w:sz w:val="26"/>
          <w:szCs w:val="26"/>
        </w:rPr>
        <w:t xml:space="preserve">4.4.1 Pillar A: In-Silico Simulation Engine</w:t>
      </w:r>
    </w:p>
    <w:p>
      <w:pPr>
        <w:pStyle w:val="ListParagraph"/>
        <w:numPr>
          <w:ilvl w:val="0"/>
          <w:numId w:val="4"/>
        </w:numPr>
        <w:spacing w:after="80" w:line="276"/>
      </w:pPr>
      <w:r>
        <w:rPr>
          <w:rFonts w:ascii="Arial" w:cs="Arial" w:eastAsia="Arial" w:hAnsi="Arial"/>
          <w:b/>
          <w:bCs/>
          <w:color w:val="2C3E50"/>
          <w:sz w:val="22"/>
          <w:szCs w:val="22"/>
        </w:rPr>
        <w:t xml:space="preserve">PBPK modeling: </w:t>
      </w:r>
      <w:r>
        <w:rPr>
          <w:rFonts w:ascii="Arial" w:cs="Arial" w:eastAsia="Arial" w:hAnsi="Arial"/>
          <w:color w:val="2C3E50"/>
          <w:sz w:val="22"/>
          <w:szCs w:val="22"/>
        </w:rPr>
        <w:t xml:space="preserve">Runs on each virtual animal instance from the Layer 2 cohort. Receives molecular descriptors from Layer 1 (LogP, pKa, solubility) + physiological parameters from virtual animals. Produces per-animal PK curves; population-level aggregation gives exposure distributions (AUC, Cmax, Tmax) with confidence intervals.</w:t>
      </w:r>
    </w:p>
    <w:p>
      <w:pPr>
        <w:pStyle w:val="ListParagraph"/>
        <w:numPr>
          <w:ilvl w:val="0"/>
          <w:numId w:val="4"/>
        </w:numPr>
        <w:spacing w:after="80" w:line="276"/>
      </w:pPr>
      <w:r>
        <w:rPr>
          <w:rFonts w:ascii="Arial" w:cs="Arial" w:eastAsia="Arial" w:hAnsi="Arial"/>
          <w:b/>
          <w:bCs/>
          <w:color w:val="2C3E50"/>
          <w:sz w:val="22"/>
          <w:szCs w:val="22"/>
        </w:rPr>
        <w:t xml:space="preserve">Toxicity prediction: </w:t>
      </w:r>
      <w:r>
        <w:rPr>
          <w:rFonts w:ascii="Arial" w:cs="Arial" w:eastAsia="Arial" w:hAnsi="Arial"/>
          <w:color w:val="2C3E50"/>
          <w:sz w:val="22"/>
          <w:szCs w:val="22"/>
        </w:rPr>
        <w:t xml:space="preserve">Combines Layer 1 structural alerts with Layer 2 organ-specific exposure from PBPK. Predicts LD50, MTD, NOAEL, organ toxicities (DILI, hERG, nephro, neuro), genotoxicity, reproductive toxicity, immunotoxicity.</w:t>
      </w:r>
    </w:p>
    <w:p>
      <w:pPr>
        <w:pStyle w:val="ListParagraph"/>
        <w:numPr>
          <w:ilvl w:val="0"/>
          <w:numId w:val="4"/>
        </w:numPr>
        <w:spacing w:after="80" w:line="276"/>
      </w:pPr>
      <w:r>
        <w:rPr>
          <w:rFonts w:ascii="Arial" w:cs="Arial" w:eastAsia="Arial" w:hAnsi="Arial"/>
          <w:b/>
          <w:bCs/>
          <w:color w:val="2C3E50"/>
          <w:sz w:val="22"/>
          <w:szCs w:val="22"/>
        </w:rPr>
        <w:t xml:space="preserve">FIH dose projection: </w:t>
      </w:r>
      <w:r>
        <w:rPr>
          <w:rFonts w:ascii="Arial" w:cs="Arial" w:eastAsia="Arial" w:hAnsi="Arial"/>
          <w:color w:val="2C3E50"/>
          <w:sz w:val="22"/>
          <w:szCs w:val="22"/>
        </w:rPr>
        <w:t xml:space="preserve">Calculates Human Equivalent Dose via body surface area scaling (FDA guidance) + PBPK refinement. Dual-method cross-validation: allometric + PBPK.</w:t>
      </w:r>
    </w:p>
    <w:p>
      <w:pPr>
        <w:pStyle w:val="Heading3"/>
        <w:spacing w:after="200" w:before="240"/>
      </w:pPr>
      <w:r>
        <w:rPr>
          <w:rFonts w:ascii="Arial" w:cs="Arial" w:eastAsia="Arial" w:hAnsi="Arial"/>
          <w:b/>
          <w:bCs/>
          <w:color w:val="1A5276"/>
          <w:sz w:val="26"/>
          <w:szCs w:val="26"/>
        </w:rPr>
        <w:t xml:space="preserve">4.4.2 Pillar B: Study Design Intelligence</w:t>
      </w:r>
    </w:p>
    <w:p>
      <w:pPr>
        <w:pStyle w:val="ListParagraph"/>
        <w:numPr>
          <w:ilvl w:val="0"/>
          <w:numId w:val="5"/>
        </w:numPr>
        <w:spacing w:after="80" w:line="276"/>
      </w:pPr>
      <w:r>
        <w:rPr>
          <w:rFonts w:ascii="Arial" w:cs="Arial" w:eastAsia="Arial" w:hAnsi="Arial"/>
          <w:b/>
          <w:bCs/>
          <w:color w:val="2C3E50"/>
          <w:sz w:val="22"/>
          <w:szCs w:val="22"/>
        </w:rPr>
        <w:t xml:space="preserve">AI species selection: </w:t>
      </w:r>
      <w:r>
        <w:rPr>
          <w:rFonts w:ascii="Arial" w:cs="Arial" w:eastAsia="Arial" w:hAnsi="Arial"/>
          <w:color w:val="2C3E50"/>
          <w:sz w:val="22"/>
          <w:szCs w:val="22"/>
        </w:rPr>
        <w:t xml:space="preserve">Scores target homology (from Layer 1 target ID), CYP profile matching (from Layer 1 ADMET), metabolic relevance, and historical precedent. Recommends optimal species pair (rodent + non-rodent) with confidence scores.</w:t>
      </w:r>
    </w:p>
    <w:p>
      <w:pPr>
        <w:pStyle w:val="ListParagraph"/>
        <w:numPr>
          <w:ilvl w:val="0"/>
          <w:numId w:val="5"/>
        </w:numPr>
        <w:spacing w:after="80" w:line="276"/>
      </w:pPr>
      <w:r>
        <w:rPr>
          <w:rFonts w:ascii="Arial" w:cs="Arial" w:eastAsia="Arial" w:hAnsi="Arial"/>
          <w:b/>
          <w:bCs/>
          <w:color w:val="2C3E50"/>
          <w:sz w:val="22"/>
          <w:szCs w:val="22"/>
        </w:rPr>
        <w:t xml:space="preserve">Dose range finding: </w:t>
      </w:r>
      <w:r>
        <w:rPr>
          <w:rFonts w:ascii="Arial" w:cs="Arial" w:eastAsia="Arial" w:hAnsi="Arial"/>
          <w:color w:val="2C3E50"/>
          <w:sz w:val="22"/>
          <w:szCs w:val="22"/>
        </w:rPr>
        <w:t xml:space="preserve">Uses PBPK predictions on Layer 2 cohort to set dose levels with exposure multiples over projected human therapeutic exposure.</w:t>
      </w:r>
    </w:p>
    <w:p>
      <w:pPr>
        <w:pStyle w:val="ListParagraph"/>
        <w:numPr>
          <w:ilvl w:val="0"/>
          <w:numId w:val="5"/>
        </w:numPr>
        <w:spacing w:after="80" w:line="276"/>
      </w:pPr>
      <w:r>
        <w:rPr>
          <w:rFonts w:ascii="Arial" w:cs="Arial" w:eastAsia="Arial" w:hAnsi="Arial"/>
          <w:b/>
          <w:bCs/>
          <w:color w:val="2C3E50"/>
          <w:sz w:val="22"/>
          <w:szCs w:val="22"/>
        </w:rPr>
        <w:t xml:space="preserve">Endpoint optimization: </w:t>
      </w:r>
      <w:r>
        <w:rPr>
          <w:rFonts w:ascii="Arial" w:cs="Arial" w:eastAsia="Arial" w:hAnsi="Arial"/>
          <w:color w:val="2C3E50"/>
          <w:sz w:val="22"/>
          <w:szCs w:val="22"/>
        </w:rPr>
        <w:t xml:space="preserve">Cross-references ICH guidelines (S1–S10) with Layer 2’s toxicity flag matrix to recommend study-specific endpoints.</w:t>
      </w:r>
    </w:p>
    <w:p>
      <w:pPr>
        <w:pStyle w:val="ListParagraph"/>
        <w:numPr>
          <w:ilvl w:val="0"/>
          <w:numId w:val="5"/>
        </w:numPr>
        <w:spacing w:after="80" w:line="276"/>
      </w:pPr>
      <w:r>
        <w:rPr>
          <w:rFonts w:ascii="Arial" w:cs="Arial" w:eastAsia="Arial" w:hAnsi="Arial"/>
          <w:b/>
          <w:bCs/>
          <w:color w:val="2C3E50"/>
          <w:sz w:val="22"/>
          <w:szCs w:val="22"/>
        </w:rPr>
        <w:t xml:space="preserve">Protocol generation: </w:t>
      </w:r>
      <w:r>
        <w:rPr>
          <w:rFonts w:ascii="Arial" w:cs="Arial" w:eastAsia="Arial" w:hAnsi="Arial"/>
          <w:color w:val="2C3E50"/>
          <w:sz w:val="22"/>
          <w:szCs w:val="22"/>
        </w:rPr>
        <w:t xml:space="preserve">Auto-populates GLP protocol templates with group structures, sample sizes, randomization scheme, and TK sampling schedules from Layer 2.</w:t>
      </w:r>
    </w:p>
    <w:p>
      <w:pPr>
        <w:pStyle w:val="Heading3"/>
        <w:spacing w:after="200" w:before="240"/>
      </w:pPr>
      <w:r>
        <w:rPr>
          <w:rFonts w:ascii="Arial" w:cs="Arial" w:eastAsia="Arial" w:hAnsi="Arial"/>
          <w:b/>
          <w:bCs/>
          <w:color w:val="1A5276"/>
          <w:sz w:val="26"/>
          <w:szCs w:val="26"/>
        </w:rPr>
        <w:t xml:space="preserve">4.4.3 Pillar C: Regulatory Compliance &amp; Document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6"/>
              <w:left w:val="single" w:color="BDC3C7" w:sz="1"/>
              <w:bottom w:val="single" w:color="BDC3C7" w:sz="1"/>
              <w:right w:val="single" w:color="BDC3C7" w:sz="1"/>
            </w:tcBorders>
            <w:shd w:fill="FDEBD0" w:val="clear"/>
            <w:tcMar>
              <w:top w:type="dxa" w:w="120"/>
              <w:left w:type="dxa" w:w="200"/>
              <w:bottom w:type="dxa" w:w="120"/>
              <w:right w:type="dxa" w:w="200"/>
            </w:tcMar>
          </w:tcPr>
          <w:p>
            <w:pPr>
              <w:spacing w:after="80"/>
            </w:pPr>
            <w:r>
              <w:rPr>
                <w:rFonts w:ascii="Arial" w:cs="Arial" w:eastAsia="Arial" w:hAnsi="Arial"/>
                <w:b/>
                <w:bCs/>
                <w:color w:val="1A5276"/>
                <w:sz w:val="22"/>
                <w:szCs w:val="22"/>
              </w:rPr>
              <w:t xml:space="preserve">DECISION: Full Regulatory Document Generation</w:t>
            </w:r>
          </w:p>
          <w:p>
            <w:pPr>
              <w:spacing w:after="40"/>
            </w:pPr>
            <w:r>
              <w:rPr>
                <w:rFonts w:ascii="Arial" w:cs="Arial" w:eastAsia="Arial" w:hAnsi="Arial"/>
                <w:color w:val="2C3E50"/>
                <w:sz w:val="20"/>
                <w:szCs w:val="20"/>
              </w:rPr>
              <w:t xml:space="preserve">Rather than producing checklists alone, Layer 2 generates complete regulatory-ready documents in Word (.docx) and PDF formats. These are auto-populated from Layer 1 compound data and Layer 2 simulation results, ready for pre-IND meetings, CRO handoff, or IND submission packages.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280"/>
        <w:gridCol w:w="2880"/>
      </w:tblGrid>
      <w:tr>
        <w:trPr>
          <w:tblHeader/>
        </w:trP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32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28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Auto-Populated From</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Species Justification</w:t>
            </w:r>
          </w:p>
        </w:tc>
        <w:tc>
          <w:tcPr>
            <w:tcW w:type="dxa" w:w="1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DOCX + PDF</w:t>
            </w:r>
          </w:p>
        </w:tc>
        <w:tc>
          <w:tcPr>
            <w:tcW w:type="dxa" w:w="32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Scientific rationale for species selection with target homology data, metabolic pathway analysis, and historical precedent citations</w:t>
            </w:r>
          </w:p>
        </w:tc>
        <w:tc>
          <w:tcPr>
            <w:tcW w:type="dxa" w:w="28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1 target ID + Layer 2 species selection AI</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Pre-IND Briefing Document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DOCX + PDF</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Proposed nonclinical program, species rationale, dose selection strategy, NAM integration plan</w:t>
            </w:r>
          </w:p>
        </w:tc>
        <w:tc>
          <w:tcPr>
            <w:tcW w:type="dxa" w:w="28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Layer 2 simulation results + regulatory navigator</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GLP Study Protocol</w:t>
            </w:r>
          </w:p>
        </w:tc>
        <w:tc>
          <w:tcPr>
            <w:tcW w:type="dxa" w:w="1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DOCX + PDF</w:t>
            </w:r>
          </w:p>
        </w:tc>
        <w:tc>
          <w:tcPr>
            <w:tcW w:type="dxa" w:w="32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Complete study protocol: objectives, test system, design, dose administration, sample collection, statistical plan</w:t>
            </w:r>
          </w:p>
        </w:tc>
        <w:tc>
          <w:tcPr>
            <w:tcW w:type="dxa" w:w="28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2 study group architecture + simulation outputs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Nonclinical Overview (Module 2.4)</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DOCX + PDF</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Integrated summary of pharmacology, PK, and toxicology findings per ICH CTD format</w:t>
            </w:r>
          </w:p>
        </w:tc>
        <w:tc>
          <w:tcPr>
            <w:tcW w:type="dxa" w:w="28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All Layer 2 simulation results aggregated</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Nonclinical Written Summary (Module 2.6)</w:t>
            </w:r>
          </w:p>
        </w:tc>
        <w:tc>
          <w:tcPr>
            <w:tcW w:type="dxa" w:w="1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DOCX + PDF</w:t>
            </w:r>
          </w:p>
        </w:tc>
        <w:tc>
          <w:tcPr>
            <w:tcW w:type="dxa" w:w="32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Detailed written summaries of each nonclinical study with tabulated results</w:t>
            </w:r>
          </w:p>
        </w:tc>
        <w:tc>
          <w:tcPr>
            <w:tcW w:type="dxa" w:w="28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Individual simulation run reports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NAM Rationale Document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DOCX + PDF</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Justification for NAM substitution per FDA Modernization Act 3.0 framework</w:t>
            </w:r>
          </w:p>
        </w:tc>
        <w:tc>
          <w:tcPr>
            <w:tcW w:type="dxa" w:w="28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Layer 2 NAM readiness assessment</w:t>
            </w:r>
          </w:p>
        </w:tc>
      </w:tr>
    </w:tbl>
    <w:p>
      <w:pPr>
        <w:spacing w:after="120"/>
      </w:pPr>
    </w:p>
    <w:p>
      <w:pPr>
        <w:pStyle w:val="ListParagraph"/>
        <w:numPr>
          <w:ilvl w:val="0"/>
          <w:numId w:val="6"/>
        </w:numPr>
        <w:spacing w:after="80" w:line="276"/>
      </w:pPr>
      <w:r>
        <w:rPr>
          <w:rFonts w:ascii="Arial" w:cs="Arial" w:eastAsia="Arial" w:hAnsi="Arial"/>
          <w:b/>
          <w:bCs/>
          <w:color w:val="2C3E50"/>
          <w:sz w:val="22"/>
          <w:szCs w:val="22"/>
        </w:rPr>
        <w:t xml:space="preserve">IND requirements map: </w:t>
      </w:r>
      <w:r>
        <w:rPr>
          <w:rFonts w:ascii="Arial" w:cs="Arial" w:eastAsia="Arial" w:hAnsi="Arial"/>
          <w:color w:val="2C3E50"/>
          <w:sz w:val="22"/>
          <w:szCs w:val="22"/>
        </w:rPr>
        <w:t xml:space="preserve">Interactive checklist covering pharmacology, PK, toxicology, and special studies; auto-populated from Layer 2 handoff data. Gaps identified and remediation recommendations generated.</w:t>
      </w:r>
    </w:p>
    <w:p>
      <w:pPr>
        <w:pStyle w:val="ListParagraph"/>
        <w:numPr>
          <w:ilvl w:val="0"/>
          <w:numId w:val="6"/>
        </w:numPr>
        <w:spacing w:after="80" w:line="276"/>
      </w:pPr>
      <w:r>
        <w:rPr>
          <w:rFonts w:ascii="Arial" w:cs="Arial" w:eastAsia="Arial" w:hAnsi="Arial"/>
          <w:b/>
          <w:bCs/>
          <w:color w:val="2C3E50"/>
          <w:sz w:val="22"/>
          <w:szCs w:val="22"/>
        </w:rPr>
        <w:t xml:space="preserve">NAM integration strategy: </w:t>
      </w:r>
      <w:r>
        <w:rPr>
          <w:rFonts w:ascii="Arial" w:cs="Arial" w:eastAsia="Arial" w:hAnsi="Arial"/>
          <w:color w:val="2C3E50"/>
          <w:sz w:val="22"/>
          <w:szCs w:val="22"/>
        </w:rPr>
        <w:t xml:space="preserve">Evaluates which study elements are eligible for NAM substitution per current FDA guidance; generates hybrid package recommendations with evidence-weight scoring.</w:t>
      </w:r>
    </w:p>
    <w:p>
      <w:pPr>
        <w:pStyle w:val="ListParagraph"/>
        <w:numPr>
          <w:ilvl w:val="0"/>
          <w:numId w:val="6"/>
        </w:numPr>
        <w:spacing w:after="80" w:line="276"/>
      </w:pPr>
      <w:r>
        <w:rPr>
          <w:rFonts w:ascii="Arial" w:cs="Arial" w:eastAsia="Arial" w:hAnsi="Arial"/>
          <w:b/>
          <w:bCs/>
          <w:color w:val="2C3E50"/>
          <w:sz w:val="22"/>
          <w:szCs w:val="22"/>
        </w:rPr>
        <w:t xml:space="preserve">GLP compliance engine: </w:t>
      </w:r>
      <w:r>
        <w:rPr>
          <w:rFonts w:ascii="Arial" w:cs="Arial" w:eastAsia="Arial" w:hAnsi="Arial"/>
          <w:color w:val="2C3E50"/>
          <w:sz w:val="22"/>
          <w:szCs w:val="22"/>
        </w:rPr>
        <w:t xml:space="preserve">Automated check of 150+ GLP requirements against generated protocols; audit trail meeting 21 CFR Part 11.</w:t>
      </w:r>
    </w:p>
    <w:p>
      <w:pPr>
        <w:pStyle w:val="ListParagraph"/>
        <w:numPr>
          <w:ilvl w:val="0"/>
          <w:numId w:val="6"/>
        </w:numPr>
        <w:spacing w:after="80" w:line="276"/>
      </w:pPr>
      <w:r>
        <w:rPr>
          <w:rFonts w:ascii="Arial" w:cs="Arial" w:eastAsia="Arial" w:hAnsi="Arial"/>
          <w:b/>
          <w:bCs/>
          <w:color w:val="2C3E50"/>
          <w:sz w:val="22"/>
          <w:szCs w:val="22"/>
        </w:rPr>
        <w:t xml:space="preserve">Multi-jurisdiction: </w:t>
      </w:r>
      <w:r>
        <w:rPr>
          <w:rFonts w:ascii="Arial" w:cs="Arial" w:eastAsia="Arial" w:hAnsi="Arial"/>
          <w:color w:val="2C3E50"/>
          <w:sz w:val="22"/>
          <w:szCs w:val="22"/>
        </w:rPr>
        <w:t xml:space="preserve">FDA (full support), EMA (core support with EU-specific annotations), PMDA/NMPA (planned Phase 3).</w:t>
      </w:r>
    </w:p>
    <w:p>
      <w:r>
        <w:br w:type="page"/>
      </w:r>
    </w:p>
    <w:p>
      <w:pPr>
        <w:pStyle w:val="Heading2"/>
        <w:spacing w:after="200" w:before="240"/>
      </w:pPr>
      <w:r>
        <w:rPr>
          <w:rFonts w:ascii="Arial" w:cs="Arial" w:eastAsia="Arial" w:hAnsi="Arial"/>
          <w:b/>
          <w:bCs/>
          <w:color w:val="1A5276"/>
          <w:sz w:val="30"/>
          <w:szCs w:val="30"/>
        </w:rPr>
        <w:t xml:space="preserve">4.5 Complete Data Flow: Layer 1 → Layer 2 → Layer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 2 Output</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Consuming Component</w:t>
            </w:r>
          </w:p>
        </w:tc>
        <w:tc>
          <w:tcPr>
            <w:tcW w:type="dxa" w:w="4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It’s Used</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HED (Human Equivalent Dose)</w:t>
            </w:r>
          </w:p>
        </w:tc>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3: Starting dose</w:t>
            </w:r>
          </w:p>
        </w:tc>
        <w:tc>
          <w:tcPr>
            <w:tcW w:type="dxa" w:w="4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Becomes proposed FIH starting dose in clinical protocol</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NOAEL / MTD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Layer 3: Safety margins</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Populates therapeutic index and safety margin calculations</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Species justification doc</w:t>
            </w:r>
          </w:p>
        </w:tc>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3: Regulatory package</w:t>
            </w:r>
          </w:p>
        </w:tc>
        <w:tc>
          <w:tcPr>
            <w:tcW w:type="dxa" w:w="4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Included in pre-IND and IND submission as nonclinical rationale</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Dose-exposure curves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Layer 3: PK expectations</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Informs clinical PK study design and bioanalytical assay specifications</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Toxicity flag matrix</w:t>
            </w:r>
          </w:p>
        </w:tc>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3: Monitoring plan</w:t>
            </w:r>
          </w:p>
        </w:tc>
        <w:tc>
          <w:tcPr>
            <w:tcW w:type="dxa" w:w="4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Organ-specific tox predictions drive clinical AE monitoring and stopping rules</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GLP protocol package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CRO handoff</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Complete protocols ready for CRO execution (Charles River, Labcorp, IITRI format)</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Nonclinical Overview (2.4)</w:t>
            </w:r>
          </w:p>
        </w:tc>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IND submission</w:t>
            </w:r>
          </w:p>
        </w:tc>
        <w:tc>
          <w:tcPr>
            <w:tcW w:type="dxa" w:w="4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Regulatory document for FDA Module 2.4 of the CTD</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NAM rationale document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Pre-IND meeting</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Supporting justification for NAM-inclusive development strategy</w:t>
            </w:r>
          </w:p>
        </w:tc>
      </w:tr>
    </w:tbl>
    <w:p>
      <w:r>
        <w:br w:type="page"/>
      </w:r>
    </w:p>
    <w:p>
      <w:pPr>
        <w:pStyle w:val="Heading1"/>
        <w:spacing w:after="200" w:before="360"/>
      </w:pPr>
      <w:r>
        <w:rPr>
          <w:rFonts w:ascii="Arial" w:cs="Arial" w:eastAsia="Arial" w:hAnsi="Arial"/>
          <w:b/>
          <w:bCs/>
          <w:color w:val="1A5276"/>
          <w:sz w:val="36"/>
          <w:szCs w:val="36"/>
        </w:rPr>
        <w:t xml:space="preserve">5. Data Integration Layer</w:t>
      </w:r>
    </w:p>
    <w:p>
      <w:pPr>
        <w:pStyle w:val="Heading2"/>
        <w:spacing w:after="200" w:before="240"/>
      </w:pPr>
      <w:r>
        <w:rPr>
          <w:rFonts w:ascii="Arial" w:cs="Arial" w:eastAsia="Arial" w:hAnsi="Arial"/>
          <w:b/>
          <w:bCs/>
          <w:color w:val="1A5276"/>
          <w:sz w:val="30"/>
          <w:szCs w:val="30"/>
        </w:rPr>
        <w:t xml:space="preserve">5.1 Database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Database</w:t>
            </w:r>
          </w:p>
        </w:tc>
        <w:tc>
          <w:tcPr>
            <w:tcW w:type="dxa" w:w="30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w:t>
            </w:r>
          </w:p>
        </w:tc>
        <w:tc>
          <w:tcPr>
            <w:tcW w:type="dxa" w:w="40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Use in Layers 1–2</w:t>
            </w:r>
          </w:p>
        </w:tc>
      </w:tr>
      <w:tr>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EPA ToxCast / Tox21</w:t>
            </w:r>
          </w:p>
        </w:tc>
        <w:tc>
          <w:tcPr>
            <w:tcW w:type="dxa" w:w="30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HTS toxicity assays (9,000+ chemicals, 1,200+ endpoints)</w:t>
            </w:r>
          </w:p>
        </w:tc>
        <w:tc>
          <w:tcPr>
            <w:tcW w:type="dxa" w:w="40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2: Toxicity prediction calibration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ChEMBL</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Bioactivity (1.8M compounds, 1.1M assays)</w:t>
            </w:r>
          </w:p>
        </w:tc>
        <w:tc>
          <w:tcPr>
            <w:tcW w:type="dxa" w:w="4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Layer 1: ADMET profiling; Layer 2: IVIVE factors</w:t>
            </w:r>
          </w:p>
        </w:tc>
      </w:tr>
      <w:tr>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PubChem</w:t>
            </w:r>
          </w:p>
        </w:tc>
        <w:tc>
          <w:tcPr>
            <w:tcW w:type="dxa" w:w="30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Chemical structures &amp; bioassays (97M compounds)</w:t>
            </w:r>
          </w:p>
        </w:tc>
        <w:tc>
          <w:tcPr>
            <w:tcW w:type="dxa" w:w="40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1: Compound profiling, structural similarity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TOXRIC</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Toxicological benchmarks (15+ species, 1,474 endpoints)</w:t>
            </w:r>
          </w:p>
        </w:tc>
        <w:tc>
          <w:tcPr>
            <w:tcW w:type="dxa" w:w="4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Layer 2: Multi-species cohort validation</w:t>
            </w:r>
          </w:p>
        </w:tc>
      </w:tr>
      <w:tr>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OECD QSAR Toolbox</w:t>
            </w:r>
          </w:p>
        </w:tc>
        <w:tc>
          <w:tcPr>
            <w:tcW w:type="dxa" w:w="30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69 profilers, 55 databases</w:t>
            </w:r>
          </w:p>
        </w:tc>
        <w:tc>
          <w:tcPr>
            <w:tcW w:type="dxa" w:w="40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2: Read-across, structural alerts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DrugBank</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Drug-target interactions, ADME properties</w:t>
            </w:r>
          </w:p>
        </w:tc>
        <w:tc>
          <w:tcPr>
            <w:tcW w:type="dxa" w:w="4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Layer 1: PK parameters; Layer 2: reference benchmarking</w:t>
            </w:r>
          </w:p>
        </w:tc>
      </w:tr>
      <w:tr>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ClinicalTrials.gov</w:t>
            </w:r>
          </w:p>
        </w:tc>
        <w:tc>
          <w:tcPr>
            <w:tcW w:type="dxa" w:w="30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400,000+ trial protocols</w:t>
            </w:r>
          </w:p>
        </w:tc>
        <w:tc>
          <w:tcPr>
            <w:tcW w:type="dxa" w:w="40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2: Historical species/dose precedent search</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FDA FAERS</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20M+ adverse event reports</w:t>
            </w:r>
          </w:p>
        </w:tc>
        <w:tc>
          <w:tcPr>
            <w:tcW w:type="dxa" w:w="4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Layer 2: Post-market safety signal correlation</w:t>
            </w:r>
          </w:p>
        </w:tc>
      </w:tr>
      <w:tr>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Brown/Davies Reference DB</w:t>
            </w:r>
          </w:p>
        </w:tc>
        <w:tc>
          <w:tcPr>
            <w:tcW w:type="dxa" w:w="30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Species physiological parameters</w:t>
            </w:r>
          </w:p>
        </w:tc>
        <w:tc>
          <w:tcPr>
            <w:tcW w:type="dxa" w:w="40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2: Virtual animal parameterization defaults</w:t>
            </w:r>
          </w:p>
        </w:tc>
      </w:tr>
    </w:tbl>
    <w:p>
      <w:pPr>
        <w:spacing w:after="120"/>
      </w:pPr>
    </w:p>
    <w:p>
      <w:pPr>
        <w:pStyle w:val="Heading2"/>
        <w:spacing w:after="200" w:before="240"/>
      </w:pPr>
      <w:r>
        <w:rPr>
          <w:rFonts w:ascii="Arial" w:cs="Arial" w:eastAsia="Arial" w:hAnsi="Arial"/>
          <w:b/>
          <w:bCs/>
          <w:color w:val="1A5276"/>
          <w:sz w:val="30"/>
          <w:szCs w:val="30"/>
        </w:rPr>
        <w:t xml:space="preserve">5.2 ToxCast Integration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6"/>
              <w:left w:val="single" w:color="BDC3C7" w:sz="1"/>
              <w:bottom w:val="single" w:color="BDC3C7" w:sz="1"/>
              <w:right w:val="single" w:color="BDC3C7" w:sz="1"/>
            </w:tcBorders>
            <w:shd w:fill="D6EAF8" w:val="clear"/>
            <w:tcMar>
              <w:top w:type="dxa" w:w="120"/>
              <w:left w:type="dxa" w:w="200"/>
              <w:bottom w:type="dxa" w:w="120"/>
              <w:right w:type="dxa" w:w="200"/>
            </w:tcMar>
          </w:tcPr>
          <w:p>
            <w:pPr>
              <w:spacing w:after="80"/>
            </w:pPr>
            <w:r>
              <w:rPr>
                <w:rFonts w:ascii="Arial" w:cs="Arial" w:eastAsia="Arial" w:hAnsi="Arial"/>
                <w:b/>
                <w:bCs/>
                <w:color w:val="1A5276"/>
                <w:sz w:val="22"/>
                <w:szCs w:val="22"/>
              </w:rPr>
              <w:t xml:space="preserve">ARCHITECTURE DECISION: Cached Approximation Model</w:t>
            </w:r>
          </w:p>
          <w:p>
            <w:pPr>
              <w:spacing w:after="40"/>
            </w:pPr>
            <w:r>
              <w:rPr>
                <w:rFonts w:ascii="Arial" w:cs="Arial" w:eastAsia="Arial" w:hAnsi="Arial"/>
                <w:color w:val="2C3E50"/>
                <w:sz w:val="20"/>
                <w:szCs w:val="20"/>
              </w:rPr>
              <w:t xml:space="preserve">ToxCast’s EPA REST API is publicly accessible but slow and rate-limited. Rather than depending on live API calls, Layer 2 uses a calibrated approximation model trained on ToxCast data, with periodic cache refresh (weekly ETL). The UI displays “Data: EPA ToxCast (cached [date])” to maintain transparency. This is the same approach used for FAERS integration today. Live ToxCast API queries are available as a backend-optional feature for users who need the latest data.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560"/>
        <w:gridCol w:w="2340"/>
      </w:tblGrid>
      <w:tr>
        <w:trPr>
          <w:tblHeader/>
        </w:trPr>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w:t>
            </w:r>
          </w:p>
        </w:tc>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Method</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Refresh Cadence</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UI Label</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ToxCast / Tox21</w:t>
            </w:r>
          </w:p>
        </w:tc>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Calibrated approximation model + cached data</w:t>
            </w:r>
          </w:p>
        </w:tc>
        <w:tc>
          <w:tcPr>
            <w:tcW w:type="dxa" w:w="1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Weekly ETL</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"EPA ToxCast (cached [date])"</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ChEMBL</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Direct API for Layer 1; cached for Layer 2 batch ops</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Monthly sync</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"ChEMBL v[version]"</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OECD QSAR Toolbox</w:t>
            </w:r>
          </w:p>
        </w:tc>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Server-side orchestration (proprietary desktop app)</w:t>
            </w:r>
          </w:p>
        </w:tc>
        <w:tc>
          <w:tcPr>
            <w:tcW w:type="dxa" w:w="1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Phase 3 feature</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"OECD QSAR (when available)"</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FAERS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Cached approximation model (existing)</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Weekly ETL</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"FDA FAERS (cached [date])"</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DrugBank</w:t>
            </w:r>
          </w:p>
        </w:tc>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Licensed API access</w:t>
            </w:r>
          </w:p>
        </w:tc>
        <w:tc>
          <w:tcPr>
            <w:tcW w:type="dxa" w:w="1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Monthly sync</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"DrugBank v[version]"</w:t>
            </w:r>
          </w:p>
        </w:tc>
      </w:tr>
    </w:tbl>
    <w:p>
      <w:r>
        <w:br w:type="page"/>
      </w:r>
    </w:p>
    <w:p>
      <w:pPr>
        <w:pStyle w:val="Heading1"/>
        <w:spacing w:after="200" w:before="360"/>
      </w:pPr>
      <w:r>
        <w:rPr>
          <w:rFonts w:ascii="Arial" w:cs="Arial" w:eastAsia="Arial" w:hAnsi="Arial"/>
          <w:b/>
          <w:bCs/>
          <w:color w:val="1A5276"/>
          <w:sz w:val="36"/>
          <w:szCs w:val="36"/>
        </w:rPr>
        <w:t xml:space="preserve">6. AI Model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360"/>
        <w:gridCol w:w="2000"/>
      </w:tblGrid>
      <w:tr>
        <w:trPr>
          <w:tblHeader/>
        </w:trP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Base</w:t>
            </w:r>
          </w:p>
        </w:tc>
        <w:tc>
          <w:tcPr>
            <w:tcW w:type="dxa" w:w="3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MolProfiler (existing)</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RDKit + ChEMBL</w:t>
            </w:r>
          </w:p>
        </w:tc>
        <w:tc>
          <w:tcPr>
            <w:tcW w:type="dxa" w:w="3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Molecular descriptor calculation, ADMET screening</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1</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ToxBERT (new)</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BioBERT + ToxCast/TOXRIC</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Toxicity prediction from molecular descriptors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Layer 2</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PK-Translator (new)</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PBPK engine</w:t>
            </w:r>
          </w:p>
        </w:tc>
        <w:tc>
          <w:tcPr>
            <w:tcW w:type="dxa" w:w="3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Cross-species PK extrapolation, FIH dose</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2</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CohortGen (new)</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Monte Carlo + LHS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Population generation and variability modeling</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Layer 2</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SpeciesSelector (new)</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Multi-factor scoring</w:t>
            </w:r>
          </w:p>
        </w:tc>
        <w:tc>
          <w:tcPr>
            <w:tcW w:type="dxa" w:w="3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AI species recommendation</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2</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ProtocolGPT (existing)</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BioGPT + protocols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Protocol generation and optimization</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Layer 2</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RegDocGen (new)</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Clinical-T5 + FDA guidance</w:t>
            </w:r>
          </w:p>
        </w:tc>
        <w:tc>
          <w:tcPr>
            <w:tcW w:type="dxa" w:w="3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Regulatory document generation (DOCX/PDF)</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2</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ClinicalBERT (existing)</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BERT + MIMIC-III</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Clinical outcome prediction</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Layer 3</w:t>
            </w:r>
          </w:p>
        </w:tc>
      </w:tr>
    </w:tbl>
    <w:p>
      <w:r>
        <w:br w:type="page"/>
      </w:r>
    </w:p>
    <w:p>
      <w:pPr>
        <w:pStyle w:val="Heading1"/>
        <w:spacing w:after="200" w:before="360"/>
      </w:pPr>
      <w:r>
        <w:rPr>
          <w:rFonts w:ascii="Arial" w:cs="Arial" w:eastAsia="Arial" w:hAnsi="Arial"/>
          <w:b/>
          <w:bCs/>
          <w:color w:val="1A5276"/>
          <w:sz w:val="36"/>
          <w:szCs w:val="36"/>
        </w:rPr>
        <w:t xml:space="preserve">7. User Experience &amp; Workflows</w:t>
      </w:r>
    </w:p>
    <w:p>
      <w:pPr>
        <w:pStyle w:val="Heading2"/>
        <w:spacing w:after="200" w:before="240"/>
      </w:pPr>
      <w:r>
        <w:rPr>
          <w:rFonts w:ascii="Arial" w:cs="Arial" w:eastAsia="Arial" w:hAnsi="Arial"/>
          <w:b/>
          <w:bCs/>
          <w:color w:val="1A5276"/>
          <w:sz w:val="30"/>
          <w:szCs w:val="30"/>
        </w:rPr>
        <w:t xml:space="preserve">7.1 Primary Workflow: Molecule → IND</w:t>
      </w:r>
    </w:p>
    <w:p>
      <w:pPr>
        <w:spacing w:after="160" w:line="276"/>
      </w:pPr>
      <w:r>
        <w:rPr>
          <w:rFonts w:ascii="Arial" w:cs="Arial" w:eastAsia="Arial" w:hAnsi="Arial"/>
          <w:color w:val="2C3E50"/>
          <w:sz w:val="22"/>
          <w:szCs w:val="22"/>
        </w:rPr>
        <w:t xml:space="preserve">The four-layer workflow guides users from compound identification through IND-ready package:</w:t>
      </w:r>
    </w:p>
    <w:p>
      <w:pPr>
        <w:pStyle w:val="ListParagraph"/>
        <w:numPr>
          <w:ilvl w:val="0"/>
          <w:numId w:val="7"/>
        </w:numPr>
        <w:spacing w:after="80" w:line="276"/>
      </w:pPr>
      <w:r>
        <w:rPr>
          <w:rFonts w:ascii="Arial" w:cs="Arial" w:eastAsia="Arial" w:hAnsi="Arial"/>
          <w:b/>
          <w:bCs/>
          <w:color w:val="2C3E50"/>
          <w:sz w:val="22"/>
          <w:szCs w:val="22"/>
        </w:rPr>
        <w:t xml:space="preserve">Step 1 — Layer 1: Compound Input: </w:t>
      </w:r>
      <w:r>
        <w:rPr>
          <w:rFonts w:ascii="Arial" w:cs="Arial" w:eastAsia="Arial" w:hAnsi="Arial"/>
          <w:color w:val="2C3E50"/>
          <w:sz w:val="22"/>
          <w:szCs w:val="22"/>
        </w:rPr>
        <w:t xml:space="preserve">User imports molecular structure (SMILES, SDF, MOL). System generates molecular descriptors, ADMET profile, target mapping, and compound classification.</w:t>
      </w:r>
    </w:p>
    <w:p>
      <w:pPr>
        <w:pStyle w:val="ListParagraph"/>
        <w:numPr>
          <w:ilvl w:val="0"/>
          <w:numId w:val="7"/>
        </w:numPr>
        <w:spacing w:after="80" w:line="276"/>
      </w:pPr>
      <w:r>
        <w:rPr>
          <w:rFonts w:ascii="Arial" w:cs="Arial" w:eastAsia="Arial" w:hAnsi="Arial"/>
          <w:b/>
          <w:bCs/>
          <w:color w:val="2C3E50"/>
          <w:sz w:val="22"/>
          <w:szCs w:val="22"/>
        </w:rPr>
        <w:t xml:space="preserve">Step 2 — Layer 2: Species &amp; Cohort Design: </w:t>
      </w:r>
      <w:r>
        <w:rPr>
          <w:rFonts w:ascii="Arial" w:cs="Arial" w:eastAsia="Arial" w:hAnsi="Arial"/>
          <w:color w:val="2C3E50"/>
          <w:sz w:val="22"/>
          <w:szCs w:val="22"/>
        </w:rPr>
        <w:t xml:space="preserve">AI recommends species pair based on Layer 1 target homology and CYP profiles. User confirms. System generates virtual animal cohort with population variability.</w:t>
      </w:r>
    </w:p>
    <w:p>
      <w:pPr>
        <w:pStyle w:val="ListParagraph"/>
        <w:numPr>
          <w:ilvl w:val="0"/>
          <w:numId w:val="7"/>
        </w:numPr>
        <w:spacing w:after="80" w:line="276"/>
      </w:pPr>
      <w:r>
        <w:rPr>
          <w:rFonts w:ascii="Arial" w:cs="Arial" w:eastAsia="Arial" w:hAnsi="Arial"/>
          <w:b/>
          <w:bCs/>
          <w:color w:val="2C3E50"/>
          <w:sz w:val="22"/>
          <w:szCs w:val="22"/>
        </w:rPr>
        <w:t xml:space="preserve">Step 3 — Layer 2: Study Group Assignment: </w:t>
      </w:r>
      <w:r>
        <w:rPr>
          <w:rFonts w:ascii="Arial" w:cs="Arial" w:eastAsia="Arial" w:hAnsi="Arial"/>
          <w:color w:val="2C3E50"/>
          <w:sz w:val="22"/>
          <w:szCs w:val="22"/>
        </w:rPr>
        <w:t xml:space="preserve">AI proposes group structure (control, dose groups, recovery, satellite TK) with sample sizes per ICH guidelines. User reviews and customizes.</w:t>
      </w:r>
    </w:p>
    <w:p>
      <w:pPr>
        <w:pStyle w:val="ListParagraph"/>
        <w:numPr>
          <w:ilvl w:val="0"/>
          <w:numId w:val="7"/>
        </w:numPr>
        <w:spacing w:after="80" w:line="276"/>
      </w:pPr>
      <w:r>
        <w:rPr>
          <w:rFonts w:ascii="Arial" w:cs="Arial" w:eastAsia="Arial" w:hAnsi="Arial"/>
          <w:b/>
          <w:bCs/>
          <w:color w:val="2C3E50"/>
          <w:sz w:val="22"/>
          <w:szCs w:val="22"/>
        </w:rPr>
        <w:t xml:space="preserve">Step 4 — Layer 2: PBPK &amp; Tox Simulation: </w:t>
      </w:r>
      <w:r>
        <w:rPr>
          <w:rFonts w:ascii="Arial" w:cs="Arial" w:eastAsia="Arial" w:hAnsi="Arial"/>
          <w:color w:val="2C3E50"/>
          <w:sz w:val="22"/>
          <w:szCs w:val="22"/>
        </w:rPr>
        <w:t xml:space="preserve">Simulation runs on virtual cohort using Layer 1 molecular properties. Population PK curves, tox predictions, and dose-exposure relationships generated.</w:t>
      </w:r>
    </w:p>
    <w:p>
      <w:pPr>
        <w:pStyle w:val="ListParagraph"/>
        <w:numPr>
          <w:ilvl w:val="0"/>
          <w:numId w:val="7"/>
        </w:numPr>
        <w:spacing w:after="80" w:line="276"/>
      </w:pPr>
      <w:r>
        <w:rPr>
          <w:rFonts w:ascii="Arial" w:cs="Arial" w:eastAsia="Arial" w:hAnsi="Arial"/>
          <w:b/>
          <w:bCs/>
          <w:color w:val="2C3E50"/>
          <w:sz w:val="22"/>
          <w:szCs w:val="22"/>
        </w:rPr>
        <w:t xml:space="preserve">Step 5 — Layer 2: Dose Optimization: </w:t>
      </w:r>
      <w:r>
        <w:rPr>
          <w:rFonts w:ascii="Arial" w:cs="Arial" w:eastAsia="Arial" w:hAnsi="Arial"/>
          <w:color w:val="2C3E50"/>
          <w:sz w:val="22"/>
          <w:szCs w:val="22"/>
        </w:rPr>
        <w:t xml:space="preserve">Based on simulation results, system recommends dose adjustments, endpoint refinements, or cohort modifications. Iterative simulation loop.</w:t>
      </w:r>
    </w:p>
    <w:p>
      <w:pPr>
        <w:pStyle w:val="ListParagraph"/>
        <w:numPr>
          <w:ilvl w:val="0"/>
          <w:numId w:val="7"/>
        </w:numPr>
        <w:spacing w:after="80" w:line="276"/>
      </w:pPr>
      <w:r>
        <w:rPr>
          <w:rFonts w:ascii="Arial" w:cs="Arial" w:eastAsia="Arial" w:hAnsi="Arial"/>
          <w:b/>
          <w:bCs/>
          <w:color w:val="2C3E50"/>
          <w:sz w:val="22"/>
          <w:szCs w:val="22"/>
        </w:rPr>
        <w:t xml:space="preserve">Step 6 — Layer 2: NAM Assessment: </w:t>
      </w:r>
      <w:r>
        <w:rPr>
          <w:rFonts w:ascii="Arial" w:cs="Arial" w:eastAsia="Arial" w:hAnsi="Arial"/>
          <w:color w:val="2C3E50"/>
          <w:sz w:val="22"/>
          <w:szCs w:val="22"/>
        </w:rPr>
        <w:t xml:space="preserve">Identifies opportunities to substitute or supplement animal studies with validated NAMs per FDA Modernization Act 3.0.</w:t>
      </w:r>
    </w:p>
    <w:p>
      <w:pPr>
        <w:pStyle w:val="ListParagraph"/>
        <w:numPr>
          <w:ilvl w:val="0"/>
          <w:numId w:val="7"/>
        </w:numPr>
        <w:spacing w:after="80" w:line="276"/>
      </w:pPr>
      <w:r>
        <w:rPr>
          <w:rFonts w:ascii="Arial" w:cs="Arial" w:eastAsia="Arial" w:hAnsi="Arial"/>
          <w:b/>
          <w:bCs/>
          <w:color w:val="2C3E50"/>
          <w:sz w:val="22"/>
          <w:szCs w:val="22"/>
        </w:rPr>
        <w:t xml:space="preserve">Step 7 — Layer 2: Regulatory Document Generation: </w:t>
      </w:r>
      <w:r>
        <w:rPr>
          <w:rFonts w:ascii="Arial" w:cs="Arial" w:eastAsia="Arial" w:hAnsi="Arial"/>
          <w:color w:val="2C3E50"/>
          <w:sz w:val="22"/>
          <w:szCs w:val="22"/>
        </w:rPr>
        <w:t xml:space="preserve">Auto-generates species justification, pre-IND briefing document, GLP protocols, nonclinical overview (Module 2.4), and NAM rationale as DOCX/PDF.</w:t>
      </w:r>
    </w:p>
    <w:p>
      <w:pPr>
        <w:pStyle w:val="ListParagraph"/>
        <w:numPr>
          <w:ilvl w:val="0"/>
          <w:numId w:val="7"/>
        </w:numPr>
        <w:spacing w:after="80" w:line="276"/>
      </w:pPr>
      <w:r>
        <w:rPr>
          <w:rFonts w:ascii="Arial" w:cs="Arial" w:eastAsia="Arial" w:hAnsi="Arial"/>
          <w:b/>
          <w:bCs/>
          <w:color w:val="2C3E50"/>
          <w:sz w:val="22"/>
          <w:szCs w:val="22"/>
        </w:rPr>
        <w:t xml:space="preserve">Step 8 — Layer 2 → 3 Handoff: </w:t>
      </w:r>
      <w:r>
        <w:rPr>
          <w:rFonts w:ascii="Arial" w:cs="Arial" w:eastAsia="Arial" w:hAnsi="Arial"/>
          <w:color w:val="2C3E50"/>
          <w:sz w:val="22"/>
          <w:szCs w:val="22"/>
        </w:rPr>
        <w:t xml:space="preserve">Packages HED, NOAEL, MTD, safety margins, tox flag matrix, and regulatory documents for Layer 3 consumption.</w:t>
      </w:r>
    </w:p>
    <w:p>
      <w:pPr>
        <w:pStyle w:val="ListParagraph"/>
        <w:numPr>
          <w:ilvl w:val="0"/>
          <w:numId w:val="7"/>
        </w:numPr>
        <w:spacing w:after="80" w:line="276"/>
      </w:pPr>
      <w:r>
        <w:rPr>
          <w:rFonts w:ascii="Arial" w:cs="Arial" w:eastAsia="Arial" w:hAnsi="Arial"/>
          <w:b/>
          <w:bCs/>
          <w:color w:val="2C3E50"/>
          <w:sz w:val="22"/>
          <w:szCs w:val="22"/>
        </w:rPr>
        <w:t xml:space="preserve">Step 9 — Layers 3–4: Clinical Development: </w:t>
      </w:r>
      <w:r>
        <w:rPr>
          <w:rFonts w:ascii="Arial" w:cs="Arial" w:eastAsia="Arial" w:hAnsi="Arial"/>
          <w:color w:val="2C3E50"/>
          <w:sz w:val="22"/>
          <w:szCs w:val="22"/>
        </w:rPr>
        <w:t xml:space="preserve">Layer 3 receives preclinical outputs; HED becomes starting dose; tox flags inform monitoring plan. Layer 4 builds on Layer 3 for trial execution.</w:t>
      </w:r>
    </w:p>
    <w:p>
      <w:pPr>
        <w:pStyle w:val="Heading2"/>
        <w:spacing w:after="200" w:before="240"/>
      </w:pPr>
      <w:r>
        <w:rPr>
          <w:rFonts w:ascii="Arial" w:cs="Arial" w:eastAsia="Arial" w:hAnsi="Arial"/>
          <w:b/>
          <w:bCs/>
          <w:color w:val="1A5276"/>
          <w:sz w:val="30"/>
          <w:szCs w:val="30"/>
        </w:rPr>
        <w:t xml:space="preserve">7.2 Dashboard Views</w:t>
      </w:r>
    </w:p>
    <w:p>
      <w:pPr>
        <w:pStyle w:val="ListParagraph"/>
        <w:numPr>
          <w:ilvl w:val="0"/>
          <w:numId w:val="8"/>
        </w:numPr>
        <w:spacing w:after="80" w:line="276"/>
      </w:pPr>
      <w:r>
        <w:rPr>
          <w:rFonts w:ascii="Arial" w:cs="Arial" w:eastAsia="Arial" w:hAnsi="Arial"/>
          <w:b/>
          <w:bCs/>
          <w:color w:val="2C3E50"/>
          <w:sz w:val="22"/>
          <w:szCs w:val="22"/>
        </w:rPr>
        <w:t xml:space="preserve">Layer 1 — Compound Profile: </w:t>
      </w:r>
      <w:r>
        <w:rPr>
          <w:rFonts w:ascii="Arial" w:cs="Arial" w:eastAsia="Arial" w:hAnsi="Arial"/>
          <w:color w:val="2C3E50"/>
          <w:sz w:val="22"/>
          <w:szCs w:val="22"/>
        </w:rPr>
        <w:t xml:space="preserve">Molecular structure viewer, ADMET radar chart, target-indication map, drug-likeness scores, compound classification</w:t>
      </w:r>
    </w:p>
    <w:p>
      <w:pPr>
        <w:pStyle w:val="ListParagraph"/>
        <w:numPr>
          <w:ilvl w:val="0"/>
          <w:numId w:val="8"/>
        </w:numPr>
        <w:spacing w:after="80" w:line="276"/>
      </w:pPr>
      <w:r>
        <w:rPr>
          <w:rFonts w:ascii="Arial" w:cs="Arial" w:eastAsia="Arial" w:hAnsi="Arial"/>
          <w:b/>
          <w:bCs/>
          <w:color w:val="2C3E50"/>
          <w:sz w:val="22"/>
          <w:szCs w:val="22"/>
        </w:rPr>
        <w:t xml:space="preserve">Layer 2 — Cohort Dashboard (NEW): </w:t>
      </w:r>
      <w:r>
        <w:rPr>
          <w:rFonts w:ascii="Arial" w:cs="Arial" w:eastAsia="Arial" w:hAnsi="Arial"/>
          <w:color w:val="2C3E50"/>
          <w:sz w:val="22"/>
          <w:szCs w:val="22"/>
        </w:rPr>
        <w:t xml:space="preserve">Virtual population visualizations (weight distributions, parameter correlations), study group summary, randomization status, population statistics</w:t>
      </w:r>
    </w:p>
    <w:p>
      <w:pPr>
        <w:pStyle w:val="ListParagraph"/>
        <w:numPr>
          <w:ilvl w:val="0"/>
          <w:numId w:val="8"/>
        </w:numPr>
        <w:spacing w:after="80" w:line="276"/>
      </w:pPr>
      <w:r>
        <w:rPr>
          <w:rFonts w:ascii="Arial" w:cs="Arial" w:eastAsia="Arial" w:hAnsi="Arial"/>
          <w:b/>
          <w:bCs/>
          <w:color w:val="2C3E50"/>
          <w:sz w:val="22"/>
          <w:szCs w:val="22"/>
        </w:rPr>
        <w:t xml:space="preserve">Layer 2 — Simulation Dashboard: </w:t>
      </w:r>
      <w:r>
        <w:rPr>
          <w:rFonts w:ascii="Arial" w:cs="Arial" w:eastAsia="Arial" w:hAnsi="Arial"/>
          <w:color w:val="2C3E50"/>
          <w:sz w:val="22"/>
          <w:szCs w:val="22"/>
        </w:rPr>
        <w:t xml:space="preserve">PK curves with population CI bands, toxicity heatmaps, dose-response surfaces, interactive parameter adjustment</w:t>
      </w:r>
    </w:p>
    <w:p>
      <w:pPr>
        <w:pStyle w:val="ListParagraph"/>
        <w:numPr>
          <w:ilvl w:val="0"/>
          <w:numId w:val="8"/>
        </w:numPr>
        <w:spacing w:after="80" w:line="276"/>
      </w:pPr>
      <w:r>
        <w:rPr>
          <w:rFonts w:ascii="Arial" w:cs="Arial" w:eastAsia="Arial" w:hAnsi="Arial"/>
          <w:b/>
          <w:bCs/>
          <w:color w:val="2C3E50"/>
          <w:sz w:val="22"/>
          <w:szCs w:val="22"/>
        </w:rPr>
        <w:t xml:space="preserve">Layer 2 — Regulatory Dashboard: </w:t>
      </w:r>
      <w:r>
        <w:rPr>
          <w:rFonts w:ascii="Arial" w:cs="Arial" w:eastAsia="Arial" w:hAnsi="Arial"/>
          <w:color w:val="2C3E50"/>
          <w:sz w:val="22"/>
          <w:szCs w:val="22"/>
        </w:rPr>
        <w:t xml:space="preserve">IND readiness score, document generation status, compliance checklist, gap analysis, submission timeline</w:t>
      </w:r>
    </w:p>
    <w:p>
      <w:pPr>
        <w:pStyle w:val="ListParagraph"/>
        <w:numPr>
          <w:ilvl w:val="0"/>
          <w:numId w:val="8"/>
        </w:numPr>
        <w:spacing w:after="80" w:line="276"/>
      </w:pPr>
      <w:r>
        <w:rPr>
          <w:rFonts w:ascii="Arial" w:cs="Arial" w:eastAsia="Arial" w:hAnsi="Arial"/>
          <w:b/>
          <w:bCs/>
          <w:color w:val="2C3E50"/>
          <w:sz w:val="22"/>
          <w:szCs w:val="22"/>
        </w:rPr>
        <w:t xml:space="preserve">Portfolio View: </w:t>
      </w:r>
      <w:r>
        <w:rPr>
          <w:rFonts w:ascii="Arial" w:cs="Arial" w:eastAsia="Arial" w:hAnsi="Arial"/>
          <w:color w:val="2C3E50"/>
          <w:sz w:val="22"/>
          <w:szCs w:val="22"/>
        </w:rPr>
        <w:t xml:space="preserve">Multi-program overview showing all compounds across Layers 1–4 with status indicators</w:t>
      </w:r>
    </w:p>
    <w:p>
      <w:r>
        <w:br w:type="page"/>
      </w:r>
    </w:p>
    <w:p>
      <w:pPr>
        <w:pStyle w:val="Heading1"/>
        <w:spacing w:after="200" w:before="360"/>
      </w:pPr>
      <w:r>
        <w:rPr>
          <w:rFonts w:ascii="Arial" w:cs="Arial" w:eastAsia="Arial" w:hAnsi="Arial"/>
          <w:b/>
          <w:bCs/>
          <w:color w:val="1A5276"/>
          <w:sz w:val="36"/>
          <w:szCs w:val="36"/>
        </w:rPr>
        <w:t xml:space="preserve">8. Layer 2 API &amp; Data Schema</w:t>
      </w:r>
    </w:p>
    <w:p>
      <w:pPr>
        <w:pStyle w:val="Heading2"/>
        <w:spacing w:after="200" w:before="240"/>
      </w:pPr>
      <w:r>
        <w:rPr>
          <w:rFonts w:ascii="Arial" w:cs="Arial" w:eastAsia="Arial" w:hAnsi="Arial"/>
          <w:b/>
          <w:bCs/>
          <w:color w:val="1A5276"/>
          <w:sz w:val="30"/>
          <w:szCs w:val="30"/>
        </w:rPr>
        <w:t xml:space="preserve">8.1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2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4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CompoundProfile</w:t>
            </w:r>
          </w:p>
        </w:tc>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1 handoff object</w:t>
            </w:r>
          </w:p>
        </w:tc>
        <w:tc>
          <w:tcPr>
            <w:tcW w:type="dxa" w:w="4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compound_id, smiles, descriptors{}, admet{}, target{}, classification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Cohort</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Top-level Layer 2 container</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cohort_id, compound_id, species, strain, study_type, status</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VirtualAnimal</w:t>
            </w:r>
          </w:p>
        </w:tc>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Parameterized animal instance</w:t>
            </w:r>
          </w:p>
        </w:tc>
        <w:tc>
          <w:tcPr>
            <w:tcW w:type="dxa" w:w="4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animal_id, cohort_id, sex, age, weight, organ_params{}, metabolic{}, genetic{}</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StudyGroup</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Treatment group</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group_id, cohort_id, type, dose_mg_kg, route, n_per_sex, duration_days</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PopulationModel</w:t>
            </w:r>
          </w:p>
        </w:tc>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Variability distributions</w:t>
            </w:r>
          </w:p>
        </w:tc>
        <w:tc>
          <w:tcPr>
            <w:tcW w:type="dxa" w:w="4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model_id, species, strain, distributions{}, correlation_matrix{}, seed</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SimulationRun</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Executed simulation instance</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run_id, cohort_id, type, parameters{}, results{}, timestamp</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RegulatoryDocument</w:t>
            </w:r>
          </w:p>
        </w:tc>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Generated document</w:t>
            </w:r>
          </w:p>
        </w:tc>
        <w:tc>
          <w:tcPr>
            <w:tcW w:type="dxa" w:w="4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doc_id, cohort_id, doc_type, format, content, generated_at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LayerHandoff</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Packaged outputs for Layer 3</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handoff_id, cohort_id, hed, noael, mtd, safety_margin, documents[]</w:t>
            </w:r>
          </w:p>
        </w:tc>
      </w:tr>
    </w:tbl>
    <w:p>
      <w:pPr>
        <w:spacing w:after="120"/>
      </w:pPr>
    </w:p>
    <w:p>
      <w:pPr>
        <w:pStyle w:val="Heading2"/>
        <w:spacing w:after="200" w:before="240"/>
      </w:pPr>
      <w:r>
        <w:rPr>
          <w:rFonts w:ascii="Arial" w:cs="Arial" w:eastAsia="Arial" w:hAnsi="Arial"/>
          <w:b/>
          <w:bCs/>
          <w:color w:val="1A5276"/>
          <w:sz w:val="30"/>
          <w:szCs w:val="30"/>
        </w:rPr>
        <w:t xml:space="preserve">8.2 RESTful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760"/>
      </w:tblGrid>
      <w:tr>
        <w:trPr>
          <w:tblHeader/>
        </w:trPr>
        <w:tc>
          <w:tcPr>
            <w:tcW w:type="dxa" w:w="1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POST</w:t>
            </w:r>
          </w:p>
        </w:tc>
        <w:tc>
          <w:tcPr>
            <w:tcW w:type="dxa" w:w="3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/api/v1/compounds/profile</w:t>
            </w:r>
          </w:p>
        </w:tc>
        <w:tc>
          <w:tcPr>
            <w:tcW w:type="dxa" w:w="4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1: Generate compound profile from SMILES/SDF</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POST</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/api/v1/cohorts</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Create cohort from compound profile + species</w:t>
            </w:r>
          </w:p>
        </w:tc>
      </w:tr>
      <w:tr>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POST</w:t>
            </w:r>
          </w:p>
        </w:tc>
        <w:tc>
          <w:tcPr>
            <w:tcW w:type="dxa" w:w="3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/api/v1/cohorts/{id}/generate-population</w:t>
            </w:r>
          </w:p>
        </w:tc>
        <w:tc>
          <w:tcPr>
            <w:tcW w:type="dxa" w:w="4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Generate virtual population from model</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POST</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/api/v1/cohorts/{id}/randomize</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Assign virtual animals to study groups</w:t>
            </w:r>
          </w:p>
        </w:tc>
      </w:tr>
      <w:tr>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POST</w:t>
            </w:r>
          </w:p>
        </w:tc>
        <w:tc>
          <w:tcPr>
            <w:tcW w:type="dxa" w:w="3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/api/v1/cohorts/{id}/simulate</w:t>
            </w:r>
          </w:p>
        </w:tc>
        <w:tc>
          <w:tcPr>
            <w:tcW w:type="dxa" w:w="4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Execute PBPK/tox simulation on cohort</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GET</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/api/v1/cohorts/{id}/results</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Retrieve simulation results</w:t>
            </w:r>
          </w:p>
        </w:tc>
      </w:tr>
      <w:tr>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POST</w:t>
            </w:r>
          </w:p>
        </w:tc>
        <w:tc>
          <w:tcPr>
            <w:tcW w:type="dxa" w:w="3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/api/v1/cohorts/{id}/generate-documents</w:t>
            </w:r>
          </w:p>
        </w:tc>
        <w:tc>
          <w:tcPr>
            <w:tcW w:type="dxa" w:w="4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Generate regulatory documents (DOCX/PDF)</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POST</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/api/v1/cohorts/{id}/handoff</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Package Layer 2 outputs for Layer 3</w:t>
            </w:r>
          </w:p>
        </w:tc>
      </w:tr>
      <w:tr>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POST</w:t>
            </w:r>
          </w:p>
        </w:tc>
        <w:tc>
          <w:tcPr>
            <w:tcW w:type="dxa" w:w="3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/api/v1/species-recommend</w:t>
            </w:r>
          </w:p>
        </w:tc>
        <w:tc>
          <w:tcPr>
            <w:tcW w:type="dxa" w:w="4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AI species recommendation for a compound</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GET</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/api/v1/species-library</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List available species/strain combinations</w:t>
            </w:r>
          </w:p>
        </w:tc>
      </w:tr>
    </w:tbl>
    <w:p>
      <w:r>
        <w:br w:type="page"/>
      </w:r>
    </w:p>
    <w:p>
      <w:pPr>
        <w:pStyle w:val="Heading1"/>
        <w:spacing w:after="200" w:before="360"/>
      </w:pPr>
      <w:r>
        <w:rPr>
          <w:rFonts w:ascii="Arial" w:cs="Arial" w:eastAsia="Arial" w:hAnsi="Arial"/>
          <w:b/>
          <w:bCs/>
          <w:color w:val="1A5276"/>
          <w:sz w:val="36"/>
          <w:szCs w:val="36"/>
        </w:rPr>
        <w:t xml:space="preserve">9. Technical Requirements</w:t>
      </w:r>
    </w:p>
    <w:p>
      <w:pPr>
        <w:pStyle w:val="Heading2"/>
        <w:spacing w:after="200" w:before="240"/>
      </w:pPr>
      <w:r>
        <w:rPr>
          <w:rFonts w:ascii="Arial" w:cs="Arial" w:eastAsia="Arial" w:hAnsi="Arial"/>
          <w:b/>
          <w:bCs/>
          <w:color w:val="1A5276"/>
          <w:sz w:val="30"/>
          <w:szCs w:val="30"/>
        </w:rPr>
        <w:t xml:space="preserve">9.1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2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c>
          <w:tcPr>
            <w:tcW w:type="dxa" w:w="38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Browser compute</w:t>
            </w:r>
          </w:p>
        </w:tc>
        <w:tc>
          <w:tcPr>
            <w:tcW w:type="dxa" w:w="32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WebWorker threads, WebAssembly PBPK solver</w:t>
            </w:r>
          </w:p>
        </w:tc>
        <w:tc>
          <w:tcPr>
            <w:tcW w:type="dxa" w:w="38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2 MVP: 1,000–10,000 virtual animals browser-side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Backend compute</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GPU-accelerated (V100/A100)</w:t>
            </w:r>
          </w:p>
        </w:tc>
        <w:tc>
          <w:tcPr>
            <w:tcW w:type="dxa" w:w="38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Full PBPK (&gt;10K animals), ToxBERT, RegDocGen</w:t>
            </w:r>
          </w:p>
        </w:tc>
      </w:tr>
      <w:tr>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Document generation</w:t>
            </w:r>
          </w:p>
        </w:tc>
        <w:tc>
          <w:tcPr>
            <w:tcW w:type="dxa" w:w="32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docx-js + Puppeteer (PDF rendering)</w:t>
            </w:r>
          </w:p>
        </w:tc>
        <w:tc>
          <w:tcPr>
            <w:tcW w:type="dxa" w:w="38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Auto-generated DOCX with PDF conversion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Storage</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AES-256 encrypted at rest</w:t>
            </w:r>
          </w:p>
        </w:tc>
        <w:tc>
          <w:tcPr>
            <w:tcW w:type="dxa" w:w="38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Compound structures, cohorts, documents</w:t>
            </w:r>
          </w:p>
        </w:tc>
      </w:tr>
      <w:tr>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Compliance</w:t>
            </w:r>
          </w:p>
        </w:tc>
        <w:tc>
          <w:tcPr>
            <w:tcW w:type="dxa" w:w="32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HIPAA, 21 CFR Part 11, SOC 2 Type II</w:t>
            </w:r>
          </w:p>
        </w:tc>
        <w:tc>
          <w:tcPr>
            <w:tcW w:type="dxa" w:w="38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Audit trails on all parameters and documents</w:t>
            </w:r>
          </w:p>
        </w:tc>
      </w:tr>
    </w:tbl>
    <w:p>
      <w:pPr>
        <w:spacing w:after="120"/>
      </w:pPr>
    </w:p>
    <w:p>
      <w:pPr>
        <w:pStyle w:val="Heading2"/>
        <w:spacing w:after="200" w:before="240"/>
      </w:pPr>
      <w:r>
        <w:rPr>
          <w:rFonts w:ascii="Arial" w:cs="Arial" w:eastAsia="Arial" w:hAnsi="Arial"/>
          <w:b/>
          <w:bCs/>
          <w:color w:val="1A5276"/>
          <w:sz w:val="30"/>
          <w:szCs w:val="30"/>
        </w:rPr>
        <w:t xml:space="preserve">9.2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rPr>
          <w:tblHeader/>
        </w:trPr>
        <w:tc>
          <w:tcPr>
            <w:tcW w:type="dxa" w:w="3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27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Browser Target</w:t>
            </w:r>
          </w:p>
        </w:tc>
        <w:tc>
          <w:tcPr>
            <w:tcW w:type="dxa" w:w="27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Backend Target</w:t>
            </w:r>
          </w:p>
        </w:tc>
      </w:tr>
      <w:tr>
        <w:tc>
          <w:tcPr>
            <w:tcW w:type="dxa" w:w="3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1: Compound profiling</w:t>
            </w:r>
          </w:p>
        </w:tc>
        <w:tc>
          <w:tcPr>
            <w:tcW w:type="dxa" w:w="27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&lt;3 seconds</w:t>
            </w:r>
          </w:p>
        </w:tc>
        <w:tc>
          <w:tcPr>
            <w:tcW w:type="dxa" w:w="27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&lt;1 second</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Population generation (1,000 animals)</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&lt;2 seconds</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&lt;500ms</w:t>
            </w:r>
          </w:p>
        </w:tc>
      </w:tr>
      <w:tr>
        <w:tc>
          <w:tcPr>
            <w:tcW w:type="dxa" w:w="3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Population generation (10,000 animals)</w:t>
            </w:r>
          </w:p>
        </w:tc>
        <w:tc>
          <w:tcPr>
            <w:tcW w:type="dxa" w:w="27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&lt;15 seconds</w:t>
            </w:r>
          </w:p>
        </w:tc>
        <w:tc>
          <w:tcPr>
            <w:tcW w:type="dxa" w:w="27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&lt;2 seconds</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Species recommendation</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&lt;3 seconds</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&lt;1 second</w:t>
            </w:r>
          </w:p>
        </w:tc>
      </w:tr>
      <w:tr>
        <w:tc>
          <w:tcPr>
            <w:tcW w:type="dxa" w:w="3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1-compartment PBPK (per animal)</w:t>
            </w:r>
          </w:p>
        </w:tc>
        <w:tc>
          <w:tcPr>
            <w:tcW w:type="dxa" w:w="27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&lt;50ms</w:t>
            </w:r>
          </w:p>
        </w:tc>
        <w:tc>
          <w:tcPr>
            <w:tcW w:type="dxa" w:w="27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&lt;5ms</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Full 14-compartment PBPK (per animal)</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N/A</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&lt;500ms</w:t>
            </w:r>
          </w:p>
        </w:tc>
      </w:tr>
      <w:tr>
        <w:tc>
          <w:tcPr>
            <w:tcW w:type="dxa" w:w="3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Full cohort simulation (1,000 × 14-comp)</w:t>
            </w:r>
          </w:p>
        </w:tc>
        <w:tc>
          <w:tcPr>
            <w:tcW w:type="dxa" w:w="27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N/A</w:t>
            </w:r>
          </w:p>
        </w:tc>
        <w:tc>
          <w:tcPr>
            <w:tcW w:type="dxa" w:w="27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&lt;10 minutes</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Regulatory document generation (per doc)</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&lt;30 seconds</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&lt;10 seconds</w:t>
            </w:r>
          </w:p>
        </w:tc>
      </w:tr>
      <w:tr>
        <w:tc>
          <w:tcPr>
            <w:tcW w:type="dxa" w:w="3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Complete document package (6 docs)</w:t>
            </w:r>
          </w:p>
        </w:tc>
        <w:tc>
          <w:tcPr>
            <w:tcW w:type="dxa" w:w="27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&lt;3 minutes</w:t>
            </w:r>
          </w:p>
        </w:tc>
        <w:tc>
          <w:tcPr>
            <w:tcW w:type="dxa" w:w="27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&lt;1 minute</w:t>
            </w:r>
          </w:p>
        </w:tc>
      </w:tr>
    </w:tbl>
    <w:p>
      <w:r>
        <w:br w:type="page"/>
      </w:r>
    </w:p>
    <w:p>
      <w:pPr>
        <w:pStyle w:val="Heading1"/>
        <w:spacing w:after="200" w:before="360"/>
      </w:pPr>
      <w:r>
        <w:rPr>
          <w:rFonts w:ascii="Arial" w:cs="Arial" w:eastAsia="Arial" w:hAnsi="Arial"/>
          <w:b/>
          <w:bCs/>
          <w:color w:val="1A5276"/>
          <w:sz w:val="36"/>
          <w:szCs w:val="36"/>
        </w:rPr>
        <w:t xml:space="preserve">10. MVP Scope &amp; Browser-Side Capabilities</w:t>
      </w:r>
    </w:p>
    <w:p>
      <w:pPr>
        <w:spacing w:after="160" w:line="276"/>
      </w:pPr>
      <w:r>
        <w:rPr>
          <w:rFonts w:ascii="Arial" w:cs="Arial" w:eastAsia="Arial" w:hAnsi="Arial"/>
          <w:color w:val="2C3E50"/>
          <w:sz w:val="22"/>
          <w:szCs w:val="22"/>
        </w:rPr>
        <w:t xml:space="preserve">The MVP delivers browser-side Layers 1–2 with core simulation capabilities, covering approximately 70% of the full spec’s scientific value:</w:t>
      </w:r>
    </w:p>
    <w:p>
      <w:pPr>
        <w:pStyle w:val="Heading2"/>
        <w:spacing w:after="200" w:before="240"/>
      </w:pPr>
      <w:r>
        <w:rPr>
          <w:rFonts w:ascii="Arial" w:cs="Arial" w:eastAsia="Arial" w:hAnsi="Arial"/>
          <w:b/>
          <w:bCs/>
          <w:color w:val="1A5276"/>
          <w:sz w:val="30"/>
          <w:szCs w:val="30"/>
        </w:rPr>
        <w:t xml:space="preserve">10.1 MVP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000"/>
        <w:gridCol w:w="2560"/>
      </w:tblGrid>
      <w:tr>
        <w:trPr>
          <w:tblHeader/>
        </w:trPr>
        <w:tc>
          <w:tcPr>
            <w:tcW w:type="dxa" w:w="3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MVP (Browser)</w:t>
            </w:r>
          </w:p>
        </w:tc>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Full (Backend)</w:t>
            </w:r>
          </w:p>
        </w:tc>
        <w:tc>
          <w:tcPr>
            <w:tcW w:type="dxa" w:w="2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3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1: Compound import (SMILES/SDF)</w:t>
            </w:r>
          </w:p>
        </w:tc>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w:t>
            </w:r>
          </w:p>
        </w:tc>
        <w:tc>
          <w:tcPr>
            <w:tcW w:type="dxa" w:w="2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1</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Layer 1: ADMET profiling</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 (RDKit-lite)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 (full ChEMBL)</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1</w:t>
            </w:r>
          </w:p>
        </w:tc>
      </w:tr>
      <w:tr>
        <w:tc>
          <w:tcPr>
            <w:tcW w:type="dxa" w:w="3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2: Species selection AI</w:t>
            </w:r>
          </w:p>
        </w:tc>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w:t>
            </w:r>
          </w:p>
        </w:tc>
        <w:tc>
          <w:tcPr>
            <w:tcW w:type="dxa" w:w="2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1</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Layer 2: Virtual cohort generation (LHS)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 (1K–10K animals)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 (up to 100K)</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1</w:t>
            </w:r>
          </w:p>
        </w:tc>
      </w:tr>
      <w:tr>
        <w:tc>
          <w:tcPr>
            <w:tcW w:type="dxa" w:w="3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2: 1-compartment PBPK</w:t>
            </w:r>
          </w:p>
        </w:tc>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w:t>
            </w:r>
          </w:p>
        </w:tc>
        <w:tc>
          <w:tcPr>
            <w:tcW w:type="dxa" w:w="2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1</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Layer 2: 14-compartment PBPK</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2</w:t>
            </w:r>
          </w:p>
        </w:tc>
      </w:tr>
      <w:tr>
        <w:tc>
          <w:tcPr>
            <w:tcW w:type="dxa" w:w="3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2: Tox prediction (acute + organ)</w:t>
            </w:r>
          </w:p>
        </w:tc>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 (structural alerts + calibrated models)</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 (ToxBERT)</w:t>
            </w:r>
          </w:p>
        </w:tc>
        <w:tc>
          <w:tcPr>
            <w:tcW w:type="dxa" w:w="2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1 / 2</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Layer 2: ToxCast data</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 (cached approximation)</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 (live API + cache)</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1</w:t>
            </w:r>
          </w:p>
        </w:tc>
      </w:tr>
      <w:tr>
        <w:tc>
          <w:tcPr>
            <w:tcW w:type="dxa" w:w="3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2: Study design + sample size</w:t>
            </w:r>
          </w:p>
        </w:tc>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 (ICH rule engine)</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w:t>
            </w:r>
          </w:p>
        </w:tc>
        <w:tc>
          <w:tcPr>
            <w:tcW w:type="dxa" w:w="2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1</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Layer 2: FIH dose calculation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 (allometric + 1-comp PBPK)</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 (+ 14-comp refinement)</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1</w:t>
            </w:r>
          </w:p>
        </w:tc>
      </w:tr>
      <w:tr>
        <w:tc>
          <w:tcPr>
            <w:tcW w:type="dxa" w:w="3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2: Regulatory document generation</w:t>
            </w:r>
          </w:p>
        </w:tc>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 (DOCX)</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 (DOCX + PDF)</w:t>
            </w:r>
          </w:p>
        </w:tc>
        <w:tc>
          <w:tcPr>
            <w:tcW w:type="dxa" w:w="2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1</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Layer 2: IND compliance checklist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1</w:t>
            </w:r>
          </w:p>
        </w:tc>
      </w:tr>
      <w:tr>
        <w:tc>
          <w:tcPr>
            <w:tcW w:type="dxa" w:w="3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2: NAM readiness assessment</w:t>
            </w:r>
          </w:p>
        </w:tc>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 (rule-based)</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 (AI-scored)</w:t>
            </w:r>
          </w:p>
        </w:tc>
        <w:tc>
          <w:tcPr>
            <w:tcW w:type="dxa" w:w="2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1 / 2</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Layer 2 → 3 handoff</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1</w:t>
            </w:r>
          </w:p>
        </w:tc>
      </w:tr>
    </w:tbl>
    <w:p>
      <w:r>
        <w:br w:type="page"/>
      </w:r>
    </w:p>
    <w:p>
      <w:pPr>
        <w:pStyle w:val="Heading1"/>
        <w:spacing w:after="200" w:before="360"/>
      </w:pPr>
      <w:r>
        <w:rPr>
          <w:rFonts w:ascii="Arial" w:cs="Arial" w:eastAsia="Arial" w:hAnsi="Arial"/>
          <w:b/>
          <w:bCs/>
          <w:color w:val="1A5276"/>
          <w:sz w:val="36"/>
          <w:szCs w:val="36"/>
        </w:rPr>
        <w:t xml:space="preserve">11.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5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r>
      <w:tr>
        <w:tc>
          <w:tcPr>
            <w:tcW w:type="dxa" w:w="1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Phase 1: MVP</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Q2–Q3 2026</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1 (compound import + ADMET) + Layer 2 MVP: virtual cohort (7 param sets: CD-1, C57BL/6, SD, Wistar, Beagle, Cyno, Human), 1-comp PBPK, tox prediction, species selection, DRF, FIH dose, study design, regulatory doc generation (DOCX), IND checklist, ToxCast cached model</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Phase 2: Intelligence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Q4 2026–Q1 2027</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14-compartment PBPK (backend), ToxBERT, AI protocol optimization, GLP compliance engine, NAM AI scoring, population PK fitting, PDF document generation, additional mouse/rat strains (BALB/c, nude, Han Wistar, F344)</w:t>
            </w:r>
          </w:p>
        </w:tc>
      </w:tr>
      <w:tr>
        <w:tc>
          <w:tcPr>
            <w:tcW w:type="dxa" w:w="1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Phase 3: Expansion</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Q2–Q3 2027</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New species (minipig, rabbit, zebrafish), OECD QSAR integration, CRO API integration, EMA full support, disease-state population models, multi-compound interaction</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Phase 4: Advanced</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Q4 2027+</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Digital twin integration, automated regulatory writing, PMDA/NMPA support, humanized mouse models, real-time ToxCast API, NONMEM-style pop PK</w:t>
            </w:r>
          </w:p>
        </w:tc>
      </w:tr>
    </w:tbl>
    <w:p>
      <w:r>
        <w:br w:type="page"/>
      </w:r>
    </w:p>
    <w:p>
      <w:pPr>
        <w:pStyle w:val="Heading1"/>
        <w:spacing w:after="200" w:before="360"/>
      </w:pPr>
      <w:r>
        <w:rPr>
          <w:rFonts w:ascii="Arial" w:cs="Arial" w:eastAsia="Arial" w:hAnsi="Arial"/>
          <w:b/>
          <w:bCs/>
          <w:color w:val="1A5276"/>
          <w:sz w:val="36"/>
          <w:szCs w:val="36"/>
        </w:rPr>
        <w:t xml:space="preserve">12.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(Year 1)</w:t>
            </w:r>
          </w:p>
        </w:tc>
        <w:tc>
          <w:tcPr>
            <w:tcW w:type="dxa" w:w="3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PBPK prediction accuracy</w:t>
            </w:r>
          </w:p>
        </w:tc>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≥75% within 2-fold of observed</w:t>
            </w:r>
          </w:p>
        </w:tc>
        <w:tc>
          <w:tcPr>
            <w:tcW w:type="dxa" w:w="39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Validation vs. published PK data</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Tox prediction sensitivity</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≥80% for major organ toxicities</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Benchmarked vs. ToxCast reference compounds</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Document generation quality</w:t>
            </w:r>
          </w:p>
        </w:tc>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&gt;90% of generated docs usable without major edits</w:t>
            </w:r>
          </w:p>
        </w:tc>
        <w:tc>
          <w:tcPr>
            <w:tcW w:type="dxa" w:w="39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Expert reviewer scoring</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IND submission success rate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≥85% first-cycle acceptance</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User-reported outcomes</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Time-to-IND reduction</w:t>
            </w:r>
          </w:p>
        </w:tc>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≥30% vs. user baseline</w:t>
            </w:r>
          </w:p>
        </w:tc>
        <w:tc>
          <w:tcPr>
            <w:tcW w:type="dxa" w:w="39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Pre/post adoption comparison</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Animal use reduction</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≥30% fewer animals per program</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Traditional vs. optimized study design comparison</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User adoption</w:t>
            </w:r>
          </w:p>
        </w:tc>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50+ active biotech accounts</w:t>
            </w:r>
          </w:p>
        </w:tc>
        <w:tc>
          <w:tcPr>
            <w:tcW w:type="dxa" w:w="39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Monthly active users</w:t>
            </w:r>
          </w:p>
        </w:tc>
      </w:tr>
    </w:tbl>
    <w:p>
      <w:pPr>
        <w:spacing w:after="120"/>
      </w:pPr>
    </w:p>
    <w:p>
      <w:pPr>
        <w:pStyle w:val="Heading1"/>
        <w:spacing w:after="200" w:before="360"/>
      </w:pPr>
      <w:r>
        <w:rPr>
          <w:rFonts w:ascii="Arial" w:cs="Arial" w:eastAsia="Arial" w:hAnsi="Arial"/>
          <w:b/>
          <w:bCs/>
          <w:color w:val="1A5276"/>
          <w:sz w:val="36"/>
          <w:szCs w:val="36"/>
        </w:rP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rPr>
          <w:tblHeader/>
        </w:trPr>
        <w:tc>
          <w:tcPr>
            <w:tcW w:type="dxa" w:w="2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Regulatory uncertainty on NAM acceptance</w:t>
            </w:r>
          </w:p>
        </w:tc>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High</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Design for hybrid packages; partner with FDA pilot programs</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Model prediction inaccuracy</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Critical</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Conservative safety margins; mandatory disclaimers; expert review checkpoints</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Browser compute limitations</w:t>
            </w:r>
          </w:p>
        </w:tc>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Medium</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Progressive enhancement: browser MVP → backend; WebAssembly PBPK</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Document generation quality</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Medium</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Template-based generation; expert review workflow; iterative improvement from user feedback</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Strain parameter validation effort</w:t>
            </w:r>
          </w:p>
        </w:tc>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Medium</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Tiered approach (7 MVP sets); automated validation against published data</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Virtual cohort over-confidence</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High</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Uncertainty quantification on all outputs; mandatory expert sign-off for regulatory use</w:t>
            </w:r>
          </w:p>
        </w:tc>
      </w:tr>
    </w:tbl>
    <w:p>
      <w:pPr>
        <w:spacing w:after="120"/>
      </w:pPr>
    </w:p>
    <w:p>
      <w:pPr>
        <w:pStyle w:val="Heading1"/>
        <w:spacing w:after="200" w:before="360"/>
      </w:pPr>
      <w:r>
        <w:rPr>
          <w:rFonts w:ascii="Arial" w:cs="Arial" w:eastAsia="Arial" w:hAnsi="Arial"/>
          <w:b/>
          <w:bCs/>
          <w:color w:val="1A5276"/>
          <w:sz w:val="36"/>
          <w:szCs w:val="36"/>
        </w:rPr>
        <w:t xml:space="preserve">14. Conclusion</w:t>
      </w:r>
    </w:p>
    <w:p>
      <w:pPr>
        <w:spacing w:after="160" w:line="276"/>
      </w:pPr>
      <w:r>
        <w:rPr>
          <w:rFonts w:ascii="Arial" w:cs="Arial" w:eastAsia="Arial" w:hAnsi="Arial"/>
          <w:color w:val="2C3E50"/>
          <w:sz w:val="22"/>
          <w:szCs w:val="22"/>
        </w:rPr>
        <w:t xml:space="preserve">The revised four-layer architecture (Molecule → Animal Cohort → Patient Cohort → Trial) resolves the fundamental dependency: you cannot design an animal study without first knowing what molecule you are testing. Layer 1 provides the compound profile; Layer 2 consumes it to produce a complete pre-clinical simulation and regulatory package; Layers 3–4 receive the preclinical intelligence to design and execute clinical trials.</w:t>
      </w:r>
    </w:p>
    <w:p>
      <w:pPr>
        <w:spacing w:after="160" w:line="276"/>
      </w:pPr>
      <w:r>
        <w:rPr>
          <w:rFonts w:ascii="Arial" w:cs="Arial" w:eastAsia="Arial" w:hAnsi="Arial"/>
          <w:color w:val="2C3E50"/>
          <w:sz w:val="22"/>
          <w:szCs w:val="22"/>
        </w:rPr>
        <w:t xml:space="preserve">The key architectural decisions in v3.0 — 1-based layer numbering for UI clarity, tiered strain depth (7 validated parameter sets for MVP), full regulatory document generation (not just checklists), and cached ToxCast data integration — optimize the module for rapid development, scientific rigor, and practical regulatory utility.</w:t>
      </w:r>
    </w:p>
    <w:p>
      <w:pPr>
        <w:spacing w:after="160" w:line="276"/>
      </w:pPr>
      <w:r>
        <w:rPr>
          <w:rFonts w:ascii="Arial" w:cs="Arial" w:eastAsia="Arial" w:hAnsi="Arial"/>
          <w:color w:val="2C3E50"/>
          <w:sz w:val="22"/>
          <w:szCs w:val="22"/>
        </w:rPr>
        <w:t xml:space="preserve">With a browser-side MVP covering 70% of the spec’s scientific value and a phased roadmap to full backend capabilities, Hakase AI is positioned to become the essential pre-clinical intelligence platform for small biotechs navigating the NAM-first regulatory future.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DC3C7"/>
        <w:sz w:val="18"/>
        <w:szCs w:val="18"/>
      </w:rPr>
      <w:t xml:space="preserve">Page </w:t>
    </w:r>
    <w:r>
      <w:rPr>
        <w:rFonts w:ascii="Arial" w:cs="Arial" w:eastAsia="Arial" w:hAnsi="Arial"/>
        <w:color w:val="BDC3C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pPr>
    <w:r>
      <w:rPr>
        <w:rFonts w:ascii="Arial" w:cs="Arial" w:eastAsia="Arial" w:hAnsi="Arial"/>
        <w:i/>
        <w:iCs/>
        <w:color w:val="1A5276"/>
        <w:sz w:val="18"/>
        <w:szCs w:val="18"/>
      </w:rPr>
      <w:t xml:space="preserve">Hakase AI — Animal Testing Simulation Module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8"/>
    <w:lvlOverride w:ilvl="0">
      <w:startOverride w:val="1"/>
    </w:lvlOverride>
  </w:num>
  <w:num w:numId="6">
    <w:abstractNumId w:val="10"/>
    <w:lvlOverride w:ilvl="0">
      <w:startOverride w:val="1"/>
    </w:lvlOverride>
  </w:num>
  <w:num w:numId="7">
    <w:abstractNumId w:val="3"/>
    <w:lvlOverride w:ilvl="0">
      <w:startOverride w:val="1"/>
    </w:lvlOverride>
  </w:num>
  <w:num w:numId="8">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1A5276"/>
      <w:sz w:val="30"/>
      <w:szCs w:val="30"/>
    </w:rPr>
  </w:style>
  <w:style w:type="paragraph" w:styleId="Heading3">
    <w:name w:val="Heading 3"/>
    <w:basedOn w:val="Normal"/>
    <w:next w:val="Normal"/>
    <w:qFormat/>
    <w:pPr>
      <w:spacing w:after="160" w:before="200"/>
      <w:outlineLvl w:val="2"/>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2026-03-19T05:13:59.019Z</dcterms:created>
  <dcterms:modified xsi:type="dcterms:W3CDTF">2026-03-19T05:13:59.020Z</dcterms:modified>
</cp:coreProperties>
</file>

<file path=docProps/custom.xml><?xml version="1.0" encoding="utf-8"?>
<Properties xmlns="http://schemas.openxmlformats.org/officeDocument/2006/custom-properties" xmlns:vt="http://schemas.openxmlformats.org/officeDocument/2006/docPropsVTypes"/>
</file>