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6"/>
          <w:szCs w:val="56"/>
        </w:rPr>
        <w:t xml:space="preserve">Clinical Trial Data:</w:t>
      </w:r>
    </w:p>
    <w:p>
      <w:pPr>
        <w:spacing w:after="400"/>
        <w:jc w:val="center"/>
      </w:pPr>
      <w:r>
        <w:rPr>
          <w:b/>
          <w:bCs/>
          <w:color w:val="1F3864"/>
          <w:sz w:val="56"/>
          <w:szCs w:val="56"/>
        </w:rPr>
        <w:t xml:space="preserve">Databases &amp; AI Models Reference</w:t>
      </w:r>
    </w:p>
    <w:p>
      <w:pPr>
        <w:spacing w:after="1200"/>
        <w:jc w:val="center"/>
      </w:pPr>
      <w:r>
        <w:rPr>
          <w:color w:val="404040"/>
          <w:sz w:val="36"/>
          <w:szCs w:val="36"/>
        </w:rPr>
        <w:t xml:space="preserve">for Hakase Clinical (Phase 1–4)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AKTHealth · HakaseAI</w:t>
      </w:r>
    </w:p>
    <w:p>
      <w:pPr>
        <w:spacing w:after="100"/>
        <w:jc w:val="center"/>
      </w:pPr>
      <w:r>
        <w:rPr>
          <w:i/>
          <w:iCs/>
          <w:color w:val="606060"/>
          <w:sz w:val="22"/>
          <w:szCs w:val="22"/>
        </w:rPr>
        <w:t xml:space="preserve">Companion to BioDigital Twin L4 → Clinical Phase Module Architecture</w:t>
      </w:r>
    </w:p>
    <w:p>
      <w:pPr>
        <w:spacing w:after="100"/>
        <w:jc w:val="center"/>
      </w:pPr>
      <w:r>
        <w:rPr>
          <w:color w:val="606060"/>
          <w:sz w:val="22"/>
          <w:szCs w:val="22"/>
        </w:rPr>
        <w:t xml:space="preserve">Version 1.0 — May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00"/>
      </w:pPr>
      <w:r>
        <w:t xml:space="preserve">This document is a working reference for the data and model layer of Hakase Clinical — the module that consumes the typed PreClinicalPackage handed off from BioDigital Twin Layer 4 (Animal Cohort) and runs Phase 1–4 trial planning. It catalogues the databases that supply the inputs each phase needs, and the AI/ML models that automate or accelerate the work each phase produces.</w:t>
      </w:r>
    </w:p>
    <w:p>
      <w:pPr>
        <w:spacing w:after="100"/>
      </w:pPr>
      <w:r>
        <w:t xml:space="preserve">The document is organized into three usable parts. Part B covers databases, grouped by data type and tagged with access tier (free/credentialed/commercial). Part C covers AI models, grouped by clinical task. Part D maps each Phase 1–4 sub-stage to the specific databases and models it depends on. Parts E–G cover integration into the existing Phase Planner architecture, governance, and a recommended starter stack for an MVP build.</w:t>
      </w:r>
    </w:p>
    <w:p>
      <w:pPr>
        <w:spacing w:after="100"/>
      </w:pPr>
      <w:r>
        <w:t xml:space="preserve">Scope notes: small-molecule programs are the primary use-case (consistent with the L1–L4 MVP). Biologics-specific data layers are flagged where they diverge meaningfully. Pediatric, vaccine, gene therapy, and combination-product data sources are noted but not exhaustively catalogued — those warrant dedicated annexes once the small-molecule pipeline is stable.</w:t>
      </w:r>
    </w:p>
    <w:p>
      <w:pPr>
        <w:spacing w:after="100"/>
      </w:pPr>
      <w:r>
        <w:rPr>
          <w:i/>
          <w:iCs/>
        </w:rPr>
        <w:t xml:space="preserve">Every entry is current as of May 2026. Pricing tiers for commercial sources are directional; final negotiation is procurement-led.</w:t>
      </w:r>
    </w:p>
    <w:p>
      <w:pPr>
        <w:pStyle w:val="Heading1"/>
      </w:pPr>
      <w:r>
        <w:t xml:space="preserve">2. How this fits Hakase Clinical</w:t>
      </w:r>
    </w:p>
    <w:p>
      <w:pPr>
        <w:spacing w:after="100"/>
      </w:pPr>
      <w:r>
        <w:t xml:space="preserve">Hakase Clinical receives a typed PreClinicalPackage from BioDigital Twin Layer 4 — the only API surface between Pre-Clinical and Clinical (architecture doc §8). The package carries: NOAEL, MTD, FIH dose, HED-BSA + HED-PBPK, animal PK trace, projected human PK, ICH-tagged toxicity flags, the seven-item regulatory checklist, formulation/BCS analysis, species justification, and full provenance.</w:t>
      </w:r>
    </w:p>
    <w:p>
      <w:pPr>
        <w:spacing w:after="100"/>
      </w:pPr>
      <w:r>
        <w:t xml:space="preserve">Each phase module — Phase1Planner, Phase2Planner, Phase3Planner, Phase4Planner — mirrors the L1–L4 layer pattern: cascade gate, override-with-justification, ProvenanceFooter. Each planner ingests the upstream package plus phase-appropriate external data, runs sub-stage simulators or reasoning agents, and emits a typed handoff to the next phase.</w:t>
      </w:r>
    </w:p>
    <w:p>
      <w:pPr>
        <w:spacing w:after="100"/>
      </w:pPr>
      <w:r>
        <w:t xml:space="preserve">The databases and models in this document are the external dependencies of those planners. They split cleanly by phase but several (FAERS, ClinicalTrials.gov, OpenFDA, foundation LLMs) are cross-cutting and live in a shared service layer.</w:t>
      </w:r>
    </w:p>
    <w:p>
      <w:r>
        <w:br w:type="page"/>
      </w:r>
    </w:p>
    <w:p>
      <w:pPr>
        <w:pStyle w:val="Heading1"/>
      </w:pPr>
      <w:r>
        <w:t xml:space="preserve">3. Databases</w:t>
      </w:r>
    </w:p>
    <w:p>
      <w:pPr>
        <w:spacing w:after="100"/>
      </w:pPr>
      <w:r>
        <w:t xml:space="preserve">Eleven categories. Each entry follows the same format used in the Care-Module Healthcare Databases artifact (description → access → registration → API/dumps → cost → restrictions → Hakase fit → notes).</w:t>
      </w:r>
    </w:p>
    <w:p>
      <w:pPr>
        <w:pStyle w:val="Heading2"/>
      </w:pPr>
      <w:r>
        <w:t xml:space="preserve">3.1 Trial Registries</w:t>
      </w:r>
    </w:p>
    <w:p>
      <w:pPr>
        <w:pStyle w:val="Heading4"/>
      </w:pPr>
      <w:r>
        <w:t xml:space="preserve">ClinicalTrials.gov (NLM/NIH)</w:t>
      </w:r>
    </w:p>
    <w:p>
      <w:pPr>
        <w:spacing w:after="100"/>
      </w:pPr>
      <w:r>
        <w:rPr>
          <w:i/>
          <w:iCs/>
        </w:rPr>
        <w:t xml:space="preserve">The world's largest trial registry. Mandatory primary source for Phase 1–4 feasibility, competitor intelligence, and protocol benchmarking.</w:t>
      </w:r>
    </w:p>
    <w:p>
      <w:pPr>
        <w:spacing w:after="100"/>
      </w:pPr>
      <w:r>
        <w:t xml:space="preserve">Over 480,000 registered studies across 220+ countries. Each record carries protocol synopsis, eligibility criteria, primary/secondary endpoints, sponsor, sites, status, results (where reported), and adverse-event tables. The companion AACT (Aggregate Analysis of ClinicalTrials.gov) database, maintained by Duke CTTI, is a fully relational PostgreSQL dump refreshed daily.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https://clinicaltrials.gov  |  AACT: https://aact.ctti-clinicaltrials.org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Public, no registration. AACT requires free account for direct DB access.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Modernized REST API v2 (released 2024) at https://clinicaltrials.gov/api/v2. JSON/CSV/XML. Rate-limited to 50 req/sec. AACT also offers nightly Postgres snapshot (~6GB) and Snowflake share.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FDA Amendments Act (FDAAA 801) requires posting; results may lag the actual study by 12 months. Drop-out and protocol deviation data sparse.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Phase1Planner, Phase2Planner, Phase3Planner: feasibility, competitor mapping, eligibility-criteria template generation, site selection priors. Phase4Planner: post-marketing trial registration tracking.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API v1 sunset June 2024 — v2 is the only supported endpoint. New 'Studies with Results' filter added Q1 2026.</w:t>
      </w:r>
    </w:p>
    <w:p>
      <w:pPr>
        <w:pStyle w:val="Heading4"/>
      </w:pPr>
      <w:r>
        <w:t xml:space="preserve">EU Clinical Trials Information System (CTIS)</w:t>
      </w:r>
    </w:p>
    <w:p>
      <w:pPr>
        <w:spacing w:after="100"/>
      </w:pPr>
      <w:r>
        <w:rPr>
          <w:i/>
          <w:iCs/>
        </w:rPr>
        <w:t xml:space="preserve">EMA's successor to EudraCT. Mandatory single-portal submission for EU trials since Jan 2023; legacy EudraCT trials still queryable.</w:t>
      </w:r>
    </w:p>
    <w:p>
      <w:pPr>
        <w:spacing w:after="100"/>
      </w:pPr>
      <w:r>
        <w:t xml:space="preserve">All Phase I–IV interventional trials in the EU/EEA, with sponsor, protocol, IMPD summary, country participation, and (since Aug 2024) full results posting. Public-facing layer is the EU Clinical Trials Register search interface.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Public portal: https://euclinicaltrials.eu  |  EudraCT legacy: https://www.clinicaltrialsregister.eu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 read access; sponsors/CTAs need EMA Account Management.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Bulk download of full register via 'Open Data' service (XML/JSON). No granular REST API equivalent to ClinicalTrials.gov yet — EMA roadmap targets Q4 2026.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Some commercial-confidence redactions on protocols. Retrospective EudraCT records not always backfilled into CTIS.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Phase1Planner / Phase2Planner: EU site feasibility, parallel-track design with US trials, paediatric investigation plan (PIP) tracking.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Transition period for legacy EudraCT trials ended Jan 30, 2025 — all active EU trials must now be in CTIS.</w:t>
      </w:r>
    </w:p>
    <w:p>
      <w:pPr>
        <w:pStyle w:val="Heading4"/>
      </w:pPr>
      <w:r>
        <w:t xml:space="preserve">WHO International Clinical Trials Registry Platform (ICTRP)</w:t>
      </w:r>
    </w:p>
    <w:p>
      <w:pPr>
        <w:spacing w:after="100"/>
      </w:pPr>
      <w:r>
        <w:rPr>
          <w:i/>
          <w:iCs/>
        </w:rPr>
        <w:t xml:space="preserve">Meta-registry that federates ~20 primary registries worldwide. The single best one-stop search for global trial activity.</w:t>
      </w:r>
    </w:p>
    <w:p>
      <w:pPr>
        <w:spacing w:after="100"/>
      </w:pPr>
      <w:r>
        <w:t xml:space="preserve">Aggregates ClinicalTrials.gov, EU CTIS, ISRCTN, ChiCTR, JapicCTI, jRCT, CTRI, ANZCTR, DRKS, Cuban PRSCS, Iranian IRCT, Lebanese LBCTR, REPEC (Peru), Pan-African PACTR, Korean CRiS, Sri Lanka, Thai. Standardized dataset (WHO TRDS).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https://trialsearch.who.int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Weekly XML/CSV bulk export ('ICTRP Search Portal Export'). No live REST API.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Lag of 1–4 weeks vs. primary registries; deduplication imperfect (same trial often appears in 2–3 registers).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Cross-registry global feasibility and competitor view. Phase3Planner uses ICTRP for site-region planning beyond US/EU.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WHO 2025 roadmap commits to JSON-LD output and OpenTrials-compatible IDs.</w:t>
      </w:r>
    </w:p>
    <w:p>
      <w:pPr>
        <w:pStyle w:val="Heading4"/>
      </w:pPr>
      <w:r>
        <w:t xml:space="preserve">Other national registries (ISRCTN, ChiCTR, jRCT, CTRI, ANZCTR, DRKS, CRiS, IRCT)</w:t>
      </w:r>
    </w:p>
    <w:p>
      <w:pPr>
        <w:spacing w:after="100"/>
      </w:pPr>
      <w:r>
        <w:rPr>
          <w:i/>
          <w:iCs/>
        </w:rPr>
        <w:t xml:space="preserve">Country-specific registers. Used directly when ICTRP coverage lags or local-language metadata is needed.</w:t>
      </w:r>
    </w:p>
    <w:p>
      <w:pPr>
        <w:spacing w:after="100"/>
      </w:pPr>
      <w:r>
        <w:t xml:space="preserve">ISRCTN (UK, paid registration but free search), ChiCTR (China), jRCT (Japan unified registry merging UMIN/JapicCTI), CTRI (India), ANZCTR (Australia/NZ), DRKS (Germany), CRiS (Korea), IRCT (Iran).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Each has its own portal; ICTRP federates most.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 for search. ISRCTN charges ~£300 to register a trial (not to read).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Limited. ChiCTR offers CSV export; jRCT has a JSON API (introduced 2023); CTRI offers downloadable Excel by year.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 to read.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Data quality varies. ChiCTR notably has incomplete results posting.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Phase3Planner regional feasibility — China, Japan, India, AUS/NZ are common Phase 3 expansion territories.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FDA increasingly accepts foreign Phase 1 PK studies; AKTHealth should track local-registry feasibility early.</w:t>
      </w:r>
    </w:p>
    <w:p>
      <w:pPr>
        <w:pStyle w:val="Heading2"/>
      </w:pPr>
      <w:r>
        <w:t xml:space="preserve">3.2 Adverse Event / Safety Databases</w:t>
      </w:r>
    </w:p>
    <w:p>
      <w:pPr>
        <w:pStyle w:val="Heading4"/>
      </w:pPr>
      <w:r>
        <w:t xml:space="preserve">FDA FAERS (FDA Adverse Event Reporting System)</w:t>
      </w:r>
    </w:p>
    <w:p>
      <w:pPr>
        <w:spacing w:after="100"/>
      </w:pPr>
      <w:r>
        <w:rPr>
          <w:i/>
          <w:iCs/>
        </w:rPr>
        <w:t xml:space="preserve">U.S. spontaneous reporting database for drugs and therapeutic biologics. The default safety-signal source for any U.S.-marketed program.</w:t>
      </w:r>
    </w:p>
    <w:p>
      <w:pPr>
        <w:spacing w:after="100"/>
      </w:pPr>
      <w:r>
        <w:t xml:space="preserve">~25M case reports from 1969–present; ~2M new reports/year. Each case carries patient demographics, suspect/concomitant drugs, indications, reactions (MedDRA-coded), outcomes, reporter type. Quarterly ASCII files plus a public dashboard.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https://fis.fda.gov/extensions/FPD-QDE-FAERS  |  Bulk: https://fis.fda.gov/extensions/FPD-QDE-FAERS/FPD-QDE-FAERS.html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OpenFDA REST API at https://api.fda.gov/drug/event.json (rate-limited 240/min, 120K/day; key bumps to 240K/day). Quarterly bulk ZIPs (XML and ASCII).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Spontaneous reports — cannot compute incidence rates without denominator. Disproportionality (PRR/ROR) is the standard analysis. MedDRA license needed for full term-set use (free for non-commercial; commercial license ~€6,500/yr).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Cross-cutting. Phase1Planner: AE prior for similar-class drugs. Phase2/3: comparator-arm AE expectations. Phase4Planner: post-marketing signal detection (primary use).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Q3 2025 release added ICSR-E2B(R3) compatibility for full structured ingestion. FAERS Public Dashboard 2.0 launched April 2026.</w:t>
      </w:r>
    </w:p>
    <w:p>
      <w:pPr>
        <w:pStyle w:val="Heading4"/>
      </w:pPr>
      <w:r>
        <w:t xml:space="preserve">EudraVigilance (EMA)</w:t>
      </w:r>
    </w:p>
    <w:p>
      <w:pPr>
        <w:spacing w:after="100"/>
      </w:pPr>
      <w:r>
        <w:rPr>
          <w:i/>
          <w:iCs/>
        </w:rPr>
        <w:t xml:space="preserve">EU equivalent of FAERS. Restricted public dashboard plus structured access for MAHs.</w:t>
      </w:r>
    </w:p>
    <w:p>
      <w:pPr>
        <w:spacing w:after="100"/>
      </w:pPr>
      <w:r>
        <w:t xml:space="preserve">All ICSRs from EU/EEA marketing authorization holders, plus relevant non-EU. ~17M cases. Structured per ICH E2B(R3).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https://www.adrreports.eu (public layer)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Stakeholder access requires EudraVigilance registration; MAHs get full Level 3 access. Researchers can apply for academic Level 2.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No public REST API. EudraVigilance Data Analysis System (EVDAS) for stakeholders. EMA confirmed 2024 plans for a public open-data layer; not live as of May 2026.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 at the levels granted; substantial application/compliance overhead.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Patient privacy redactions. EU member state restrictions apply.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Phase4Planner: EU pharmacovigilance. Phase2/3 comparator AE benchmarking when EU labels are the most informative.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Watch for EMA Open Data EudraVigilance scheduled 2026–2027.</w:t>
      </w:r>
    </w:p>
    <w:p>
      <w:pPr>
        <w:pStyle w:val="Heading4"/>
      </w:pPr>
      <w:r>
        <w:t xml:space="preserve">WHO VigiBase (UMC)</w:t>
      </w:r>
    </w:p>
    <w:p>
      <w:pPr>
        <w:spacing w:after="100"/>
      </w:pPr>
      <w:r>
        <w:rPr>
          <w:i/>
          <w:iCs/>
        </w:rPr>
        <w:t xml:space="preserve">Global ICSR database, ~35M+ reports from 150+ member countries. The largest pharmacovigilance dataset in the world.</w:t>
      </w:r>
    </w:p>
    <w:p>
      <w:pPr>
        <w:spacing w:after="100"/>
      </w:pPr>
      <w:r>
        <w:t xml:space="preserve">Maintained by Uppsala Monitoring Centre on behalf of WHO. Includes BCPNN (Bayesian Confidence Propagation Neural Network) flag for disproportionality.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https://www.who-umc.org/vigibase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VigiAccess (https://vigiaccess.org) is free public read; full VigiBase access via VigiLyze portal requires UMC subscription.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VigiLyze API for subscribers; bulk extracts negotiated.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Public VigiAccess free; VigiLyze commercial licence (varies by org type, low-tens-of-thousands/yr).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Country reporting variability is severe. Cannot compute incidence; reports duplicated across FAERS/EudraVigilance/VigiBase.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Phase4Planner: global signal detection beyond US/EU. Phase2/3: rare-AE prior when FAERS coverage is thin.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BCPNN signal propagation is well-studied; should be one of two PV-signal algorithms in Phase4Planner alongside MGPS.</w:t>
      </w:r>
    </w:p>
    <w:p>
      <w:pPr>
        <w:pStyle w:val="Heading4"/>
      </w:pPr>
      <w:r>
        <w:t xml:space="preserve">FDA MAUDE (Manufacturer &amp; User Facility Device Experience)</w:t>
      </w:r>
    </w:p>
    <w:p>
      <w:pPr>
        <w:spacing w:after="100"/>
      </w:pPr>
      <w:r>
        <w:rPr>
          <w:i/>
          <w:iCs/>
        </w:rPr>
        <w:t xml:space="preserve">Adverse event reports for medical devices. Critical only if AKTHealth's pipeline includes device-drug combinations.</w:t>
      </w:r>
    </w:p>
    <w:p>
      <w:pPr>
        <w:spacing w:after="100"/>
      </w:pPr>
      <w:r>
        <w:t xml:space="preserve">Mandatory MDRs from manufacturers + voluntary from users. Searchable from 1991.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https://www.accessdata.fda.gov/scripts/cdrh/cfdocs/cfMAUDE/search.cfm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OpenFDA at https://api.fda.gov/device/event.json. Quarterly ZIPs.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Same spontaneous-reporting limits as FAERS.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Only relevant if pipeline includes drug-device combination products (autoinjectors, inhalers, transdermal systems).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Add to scope when L1–L4 starts modelling inhaled or injectable formulations.</w:t>
      </w:r>
    </w:p>
    <w:p>
      <w:pPr>
        <w:pStyle w:val="Heading4"/>
      </w:pPr>
      <w:r>
        <w:t xml:space="preserve">VAERS (Vaccine Adverse Event Reporting System)</w:t>
      </w:r>
    </w:p>
    <w:p>
      <w:pPr>
        <w:spacing w:after="100"/>
      </w:pPr>
      <w:r>
        <w:rPr>
          <w:i/>
          <w:iCs/>
        </w:rPr>
        <w:t xml:space="preserve">U.S. vaccine-specific spontaneous reporting; co-managed by CDC + FDA.</w:t>
      </w:r>
    </w:p>
    <w:p>
      <w:pPr>
        <w:spacing w:after="100"/>
      </w:pPr>
      <w:r>
        <w:t xml:space="preserve">~2M reports cumulatively. Critical only for vaccine programs.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https://vaers.hhs.gov  |  Data: https://vaers.hhs.gov/data.html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CDC WONDER VAERS access; CSV bulk by year.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Spontaneous; high noise.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Out of scope for small-molecule MVP; relevant if biologics/vaccines added.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—</w:t>
      </w:r>
    </w:p>
    <w:p>
      <w:pPr>
        <w:pStyle w:val="Heading4"/>
      </w:pPr>
      <w:r>
        <w:t xml:space="preserve">PMDA JADER (Japan)</w:t>
      </w:r>
    </w:p>
    <w:p>
      <w:pPr>
        <w:spacing w:after="100"/>
      </w:pPr>
      <w:r>
        <w:rPr>
          <w:i/>
          <w:iCs/>
        </w:rPr>
        <w:t xml:space="preserve">Japan's spontaneous AE database. Required for any Japanese program.</w:t>
      </w:r>
    </w:p>
    <w:p>
      <w:pPr>
        <w:spacing w:after="100"/>
      </w:pPr>
      <w:r>
        <w:t xml:space="preserve">Quarterly CSV/SDV export from PMDA covering all adverse drug reactions reported to MHLW since 2004.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https://www.pmda.go.jp/safety/info-services/drugs/adr-info/suspected-adr/0005.html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 download.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No REST API; quarterly bulk only.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Japanese-only field labels in some files; MedDRA-J coding.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Phase3/4 Japan expansion.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PMDA AI Strategy 2025–2030 includes plans for JADER REST endpoints.</w:t>
      </w:r>
    </w:p>
    <w:p>
      <w:pPr>
        <w:pStyle w:val="Heading2"/>
      </w:pPr>
      <w:r>
        <w:t xml:space="preserve">3.3 PK / PD Databases</w:t>
      </w:r>
    </w:p>
    <w:p>
      <w:pPr>
        <w:pStyle w:val="Heading4"/>
      </w:pPr>
      <w:r>
        <w:t xml:space="preserve">FDA Drug Label PK section (DailyMed)</w:t>
      </w:r>
    </w:p>
    <w:p>
      <w:pPr>
        <w:spacing w:after="100"/>
      </w:pPr>
      <w:r>
        <w:rPr>
          <w:i/>
          <w:iCs/>
        </w:rPr>
        <w:t xml:space="preserve">The structured PK section of every FDA-approved label — a free, large, label-grade human PK corpus.</w:t>
      </w:r>
    </w:p>
    <w:p>
      <w:pPr>
        <w:spacing w:after="100"/>
      </w:pPr>
      <w:r>
        <w:t xml:space="preserve">Includes Cmax, AUC, Tmax, t½, Vd, CL, F, protein binding, route of metabolism, food effect, DDI, special-population PK summaries. SPL XML format.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https://dailymed.nlm.nih.gov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DailyMed REST + SPL XML bulk. OpenFDA Drug Label endpoint at https://api.fda.gov/drug/label.json mirrors structured fields.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Label PK is summary, not raw subject-level. Older labels less structured.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Phase1Planner: prior for human PK projection (validating L4 humanPkProjection against precedent class). Phase2: dose-response priors.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OpenFDA label endpoint is the simplest programmatic anchor for class-comparison PK.</w:t>
      </w:r>
    </w:p>
    <w:p>
      <w:pPr>
        <w:pStyle w:val="Heading4"/>
      </w:pPr>
      <w:r>
        <w:t xml:space="preserve">PK-DB (open Pharmacokinetics Database, U. Tübingen)</w:t>
      </w:r>
    </w:p>
    <w:p>
      <w:pPr>
        <w:spacing w:after="100"/>
      </w:pPr>
      <w:r>
        <w:rPr>
          <w:i/>
          <w:iCs/>
        </w:rPr>
        <w:t xml:space="preserve">The largest curated open PK dataset of published clinical PK studies.</w:t>
      </w:r>
    </w:p>
    <w:p>
      <w:pPr>
        <w:spacing w:after="100"/>
      </w:pPr>
      <w:r>
        <w:t xml:space="preserve">~700+ clinical PK studies, with subject-level data where possible: study design, dose, time-concentration profiles, demographics, genotype, clearance routes. Open formats (HDF5, CSV, JSON).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https://pk-db.com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 API + Python client (pkdb-client). Bulk downloads per study.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Coverage skewed toward extensively studied molecules (caffeine, midazolam, paracetamol, statins).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Phase1Planner: training corpus for popPK / DeepCompartment models; Bayesian prior for FIH PK.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v0.9 release (2025) adds metabolite-level data.</w:t>
      </w:r>
    </w:p>
    <w:p>
      <w:pPr>
        <w:pStyle w:val="Heading4"/>
      </w:pPr>
      <w:r>
        <w:t xml:space="preserve">DDIPS / DrugBank PK</w:t>
      </w:r>
    </w:p>
    <w:p>
      <w:pPr>
        <w:spacing w:after="100"/>
      </w:pPr>
      <w:r>
        <w:rPr>
          <w:i/>
          <w:iCs/>
        </w:rPr>
        <w:t xml:space="preserve">DrugBank's pharmacokinetic and DDI submodule.</w:t>
      </w:r>
    </w:p>
    <w:p>
      <w:pPr>
        <w:spacing w:after="100"/>
      </w:pPr>
      <w:r>
        <w:t xml:space="preserve">Curated PK parameters, route of metabolism, transporter substrate/inhibitor flags, ~25K DDIs with severity and mechanism.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https://go.drugbank.com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Required for academic; commercial license required for product use.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Clinical API (commercial). Academic XML dump.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Academic free with NDA; commercial license starts ~$15–60K/yr depending on scope.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Commercial redistribution prohibited under academic licence.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Phase1Planner DDI module. Phase2: comparator class metabolism.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v5.2.0 (Q4 2025) added 1,200+ updated DDI entries.</w:t>
      </w:r>
    </w:p>
    <w:p>
      <w:pPr>
        <w:pStyle w:val="Heading4"/>
      </w:pPr>
      <w:r>
        <w:t xml:space="preserve">Open Systems Pharmacology (OSP) Suite — PK-Sim/MoBi</w:t>
      </w:r>
    </w:p>
    <w:p>
      <w:pPr>
        <w:spacing w:after="100"/>
      </w:pPr>
      <w:r>
        <w:rPr>
          <w:i/>
          <w:iCs/>
        </w:rPr>
        <w:t xml:space="preserve">The leading open-source PBPK platform. Bayer-derived, BSD-licensed.</w:t>
      </w:r>
    </w:p>
    <w:p>
      <w:pPr>
        <w:spacing w:after="100"/>
      </w:pPr>
      <w:r>
        <w:t xml:space="preserve">Whole-body PBPK with prebuilt human/animal physiology, IVIVE, special populations. Companion model libraries (PK-Sim built-in compounds, OSP repository on GitHub).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https://www.open-systems-pharmacology.org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 download.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R/Matlab/Python toolboxes (ospsuite-R, ospsuite-py).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 (BSD).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Validation tier varies vs. commercial Simcyp/GastroPlus.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Phase1Planner DDI / special-pop modeling without paying Certara prices. Strong recommended default for the MVP.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v11 (Q1 2026) added native machine-learning hybrid solver.</w:t>
      </w:r>
    </w:p>
    <w:p>
      <w:pPr>
        <w:pStyle w:val="Heading2"/>
      </w:pPr>
      <w:r>
        <w:t xml:space="preserve">3.4 Patient-Level / Real-World Data</w:t>
      </w:r>
    </w:p>
    <w:p>
      <w:pPr>
        <w:pStyle w:val="Heading4"/>
      </w:pPr>
      <w:r>
        <w:t xml:space="preserve">All of Us Research Program</w:t>
      </w:r>
    </w:p>
    <w:p>
      <w:pPr>
        <w:spacing w:after="100"/>
      </w:pPr>
      <w:r>
        <w:rPr>
          <w:i/>
          <w:iCs/>
        </w:rPr>
        <w:t xml:space="preserve">NIH precision-medicine cohort — 1M+ diverse U.S. participants with EHR + genomics + surveys + wearables.</w:t>
      </w:r>
    </w:p>
    <w:p>
      <w:pPr>
        <w:spacing w:after="100"/>
      </w:pPr>
      <w:r>
        <w:t xml:space="preserve">Tiered access: Public (aggregate browser), Registered (EHR + surveys + physical measurements), Controlled (genomics + sensitive). Analysis only inside the Researcher Workbench (no local download).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https://www.researchallofus.org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Institutional affiliation + ethics training + DUA.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No public API; analysis in Workbench (Jupyter R/Python kernels). Public Data Browser.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Free; cloud compute charged.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U.S.-based researchers strongly preferred. No local export.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Phase2/3: real-world prevalence, comorbidity priors, biomarker-stratified eligibility design.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Already covered in the Care-Module artifact — reuse access.</w:t>
      </w:r>
    </w:p>
    <w:p>
      <w:pPr>
        <w:pStyle w:val="Heading4"/>
      </w:pPr>
      <w:r>
        <w:t xml:space="preserve">UK Biobank</w:t>
      </w:r>
    </w:p>
    <w:p>
      <w:pPr>
        <w:spacing w:after="100"/>
      </w:pPr>
      <w:r>
        <w:rPr>
          <w:i/>
          <w:iCs/>
        </w:rPr>
        <w:t xml:space="preserve">500K UK adults with deep multimodal phenotyping (genomics, imaging, biochemistry, EHR linkage).</w:t>
      </w:r>
    </w:p>
    <w:p>
      <w:pPr>
        <w:spacing w:after="100"/>
      </w:pPr>
      <w:r>
        <w:t xml:space="preserve">WGS on full cohort, imaging on 100K+, primary-care linkage, hospital episode statistics, cancer + death registry linkage.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https://www.ukbiobank.ac.uk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Application + access fee + scientific review.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Data delivered as bulk files via UKB Research Analysis Platform (RAP, on DNAnexus).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Application fee £5K–70K depending on data scope and commercial use.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PI based at approved institution; no third-party share.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Phase2/3: outcome priors, biomarker validation, target validation.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Pharma-tier 'UK Biobank Pharma Proteomics Project' (UKB-PPP) has Olink data on ~50K subjects.</w:t>
      </w:r>
    </w:p>
    <w:p>
      <w:pPr>
        <w:pStyle w:val="Heading4"/>
      </w:pPr>
      <w:r>
        <w:t xml:space="preserve">FinnGen</w:t>
      </w:r>
    </w:p>
    <w:p>
      <w:pPr>
        <w:spacing w:after="100"/>
      </w:pPr>
      <w:r>
        <w:rPr>
          <w:i/>
          <w:iCs/>
        </w:rPr>
        <w:t xml:space="preserve">Finnish nationwide genome + EHR cohort — ~500K participants linked to nationwide health registries.</w:t>
      </w:r>
    </w:p>
    <w:p>
      <w:pPr>
        <w:spacing w:after="100"/>
      </w:pPr>
      <w:r>
        <w:t xml:space="preserve">GWAS portal for 3000+ disease endpoints; ideal for target validation and Mendelian-randomization causal analysis.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https://www.finngen.fi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 summary stats; subject-level via Finnish Biobank application.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Open GWAS browser (PheWeb).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Summary free; subject-level Finnish-jurisdiction process.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Finnish data-protection rules.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Target validation (pre-Phase 2) and rare-variant safety priors.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Release 12 (Q4 2025) added 580K participants.</w:t>
      </w:r>
    </w:p>
    <w:p>
      <w:pPr>
        <w:pStyle w:val="Heading4"/>
      </w:pPr>
      <w:r>
        <w:t xml:space="preserve">MIMIC-IV / MIMIC-CXR / eICU-CRD (PhysioNet)</w:t>
      </w:r>
    </w:p>
    <w:p>
      <w:pPr>
        <w:spacing w:after="100"/>
      </w:pPr>
      <w:r>
        <w:rPr>
          <w:i/>
          <w:iCs/>
        </w:rPr>
        <w:t xml:space="preserve">ICU and ED EHR datasets, ~65K ICU + 200K ED stays. Already inventoried in Care-Module artifact.</w:t>
      </w:r>
    </w:p>
    <w:p>
      <w:pPr>
        <w:spacing w:after="100"/>
      </w:pPr>
      <w:r>
        <w:t xml:space="preserve">De-identified subject-level data: vitals, labs, meds, procedures, notes (MIMIC-IV-Note), imaging (MIMIC-CXR).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https://physionet.org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PhysioNet credentialing + CITI training + DUA.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No live API; CSV/Parquet bulk; BigQuery shared dataset for MIMIC-IV.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U.S. DOJ DSP country restrictions (effective 2025).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Phase1Planner: ICU-population PK priors for severe-disease programs. Phase2: critical-care endpoint distributions.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MIMIC-IV v3.1 (Oct 2024) is current; v4.0 expected late 2026.</w:t>
      </w:r>
    </w:p>
    <w:p>
      <w:pPr>
        <w:pStyle w:val="Heading4"/>
      </w:pPr>
      <w:r>
        <w:t xml:space="preserve">Sentinel System (FDA)</w:t>
      </w:r>
    </w:p>
    <w:p>
      <w:pPr>
        <w:spacing w:after="100"/>
      </w:pPr>
      <w:r>
        <w:rPr>
          <w:i/>
          <w:iCs/>
        </w:rPr>
        <w:t xml:space="preserve">FDA's distributed RWD network for active surveillance, ~100M+ U.S. lives via insurance + EHR partners.</w:t>
      </w:r>
    </w:p>
    <w:p>
      <w:pPr>
        <w:spacing w:after="100"/>
      </w:pPr>
      <w:r>
        <w:t xml:space="preserve">Common Data Model + queryable network. FDA queries returned as aggregate stats.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https://www.sentinelinitiative.org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Restricted to FDA + Sentinel collaborating institutions.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Internal SCDM queries; not third-party accessible.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FDA-funded.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Not directly available to AKTHealth; FDA can query on sponsor's behalf via PMR/PMC discussions.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Phase4Planner: design assumption (FDA may run Sentinel queries as a PMR alternative to a sponsor study).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Sentinel ARIA expanded for biologics in 2024.</w:t>
      </w:r>
    </w:p>
    <w:p>
      <w:pPr>
        <w:pStyle w:val="Heading4"/>
      </w:pPr>
      <w:r>
        <w:t xml:space="preserve">OMOP / OHDSI Federated Network</w:t>
      </w:r>
    </w:p>
    <w:p>
      <w:pPr>
        <w:spacing w:after="100"/>
      </w:pPr>
      <w:r>
        <w:rPr>
          <w:i/>
          <w:iCs/>
        </w:rPr>
        <w:t xml:space="preserve">Open Common Data Model + research network; ~800M+ lives across 200+ databases worldwide.</w:t>
      </w:r>
    </w:p>
    <w:p>
      <w:pPr>
        <w:spacing w:after="100"/>
      </w:pPr>
      <w:r>
        <w:t xml:space="preserve">OMOP CDM standardizes structure; OHDSI tools (ATLAS, HADES, PLP, PatientLevelPrediction) run federated analyses without moving subject data.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https://www.ohdsi.org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Open community membership; partnered databases each have own DUA.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OHDSI APIs (ATLAS, ARES); R/Python packages.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Open-source; partner-database access varies.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Each partner DB enforces its own restrictions.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cohort feasibility, comparator selection, real-world endpoint priors. Phase4: signal detection at network scale.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OMOP CDM v6 + Themis conventions are current standards (2025).</w:t>
      </w:r>
    </w:p>
    <w:p>
      <w:pPr>
        <w:pStyle w:val="Heading4"/>
      </w:pPr>
      <w:r>
        <w:t xml:space="preserve">HCUP (Healthcare Cost and Utilization Project)</w:t>
      </w:r>
    </w:p>
    <w:p>
      <w:pPr>
        <w:spacing w:after="100"/>
      </w:pPr>
      <w:r>
        <w:rPr>
          <w:i/>
          <w:iCs/>
        </w:rPr>
        <w:t xml:space="preserve">AHRQ's nationwide hospital-stay dataset — NIS, NEDS, NRD, KID, NASS.</w:t>
      </w:r>
    </w:p>
    <w:p>
      <w:pPr>
        <w:spacing w:after="100"/>
      </w:pPr>
      <w:r>
        <w:t xml:space="preserve">Cataloged in Care-Module artifact. Best U.S. inpatient denominator data.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https://hcup-us.ahrq.gov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DUA + brief training; purchase via Central Distributor.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No live API; flat files.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$200–$3,500/dataset (academic discounts).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HIPAA-compliant.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Phase3 site-burden modeling, Phase4 hospitalization-rate priors.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2023 State Databases released Jan 22, 2025.</w:t>
      </w:r>
    </w:p>
    <w:p>
      <w:pPr>
        <w:pStyle w:val="Heading4"/>
      </w:pPr>
      <w:r>
        <w:t xml:space="preserve">NHANES (CDC)</w:t>
      </w:r>
    </w:p>
    <w:p>
      <w:pPr>
        <w:spacing w:after="100"/>
      </w:pPr>
      <w:r>
        <w:rPr>
          <w:i/>
          <w:iCs/>
        </w:rPr>
        <w:t xml:space="preserve">U.S. cross-sectional health and nutrition survey, ~5,000 subjects/year with full biochemistry + physiology.</w:t>
      </w:r>
    </w:p>
    <w:p>
      <w:pPr>
        <w:spacing w:after="100"/>
      </w:pPr>
      <w:r>
        <w:t xml:space="preserve">Single best public source for U.S. baseline lab-value distributions, a critical input for Phase 1 healthy-volunteer screening cut-offs.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https://www.cdc.gov/nchs/nhanes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CSV/SAS bulk by year.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Cross-sectional; not longitudinal.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Phase1Planner: healthy-volunteer eligibility envelope (lab cut-offs, BMI distribution).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Combined cycles released every 2 years; 2023–2024 cycle posted Mar 2026.</w:t>
      </w:r>
    </w:p>
    <w:p>
      <w:pPr>
        <w:pStyle w:val="Heading4"/>
      </w:pPr>
      <w:r>
        <w:t xml:space="preserve">ADNI / PPMI / GAAIN (disease-specific cohorts)</w:t>
      </w:r>
    </w:p>
    <w:p>
      <w:pPr>
        <w:spacing w:after="100"/>
      </w:pPr>
      <w:r>
        <w:rPr>
          <w:i/>
          <w:iCs/>
        </w:rPr>
        <w:t xml:space="preserve">Alzheimer's (ADNI), Parkinson's (PPMI), and the meta-network GAAIN.</w:t>
      </w:r>
    </w:p>
    <w:p>
      <w:pPr>
        <w:spacing w:after="100"/>
      </w:pPr>
      <w:r>
        <w:t xml:space="preserve">Imaging + biomarker + cognitive longitudinal data. ADNI: 2,000+ subjects across ADNI-1/2/3/4. PPMI: ~600 PD + 200 controls.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https://adni.loni.usc.edu  |  https://www.ppmi-info.org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Application + DUA; academic-friendly.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LONI Image Data Archive (IDA) API.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 for approved researchers.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Disease-specific; not generalizable.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Only if pipeline targets neurology indications (likely outside small-molecule TA-agnostic MVP).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ADNI4 (2023–2028) added blood-based biomarkers and digital cognitive assessments.</w:t>
      </w:r>
    </w:p>
    <w:p>
      <w:pPr>
        <w:pStyle w:val="Heading2"/>
      </w:pPr>
      <w:r>
        <w:t xml:space="preserve">3.5 Drug / Compound Databases</w:t>
      </w:r>
    </w:p>
    <w:p>
      <w:pPr>
        <w:pStyle w:val="Heading4"/>
      </w:pPr>
      <w:r>
        <w:t xml:space="preserve">DrugBank</w:t>
      </w:r>
    </w:p>
    <w:p>
      <w:pPr>
        <w:spacing w:after="100"/>
      </w:pPr>
      <w:r>
        <w:rPr>
          <w:i/>
          <w:iCs/>
        </w:rPr>
        <w:t xml:space="preserve">Most comprehensive curated drug knowledge base — chemistry, pharmacology, targets, interactions, labels.</w:t>
      </w:r>
    </w:p>
    <w:p>
      <w:pPr>
        <w:spacing w:after="100"/>
      </w:pPr>
      <w:r>
        <w:t xml:space="preserve">~14K drugs (4K+ FDA-approved, 6K+ experimental, plus nutraceuticals/illicits). Each entry: SMILES, InChI, mechanism, pharmacodynamics, PK, interactions, references.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https://go.drugbank.com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Academic with NDA; commercial paid.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Clinical API for commercial.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Academic free; commercial $15–60K/yr.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Commercial redistribution prohibited.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Cross-cutting: Phase1Planner DDI, Phase2 mechanism mapping, Phase4 label refs.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v5.2 (Q4 2025) added 1,200 DDI updates.</w:t>
      </w:r>
    </w:p>
    <w:p>
      <w:pPr>
        <w:pStyle w:val="Heading4"/>
      </w:pPr>
      <w:r>
        <w:t xml:space="preserve">ChEMBL (EMBL-EBI)</w:t>
      </w:r>
    </w:p>
    <w:p>
      <w:pPr>
        <w:spacing w:after="100"/>
      </w:pPr>
      <w:r>
        <w:rPr>
          <w:i/>
          <w:iCs/>
        </w:rPr>
        <w:t xml:space="preserve">Manually curated bioactivity database — the gold-standard public source for IC50/Ki/EC50 against named targets.</w:t>
      </w:r>
    </w:p>
    <w:p>
      <w:pPr>
        <w:spacing w:after="100"/>
      </w:pPr>
      <w:r>
        <w:t xml:space="preserve">~2.4M compounds, ~20M activity records, 15K+ targets. Used in nearly every academic ADMET/QSAR paper.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https://www.ebi.ac.uk/chembl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 API + Python client (chembl-webresource-client). Full DB downloads (Postgres/SQLite/Oracle).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Free, CC-BY-SA 3.0.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Share-alike licence on derivative datasets.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Cross-cutting. Already a known dependency of L1 (binding IC50). Phase2/3: comparator activity benchmarking.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ChEMBL 35 (Q4 2024) is current; ChEMBL 36 expected mid-2026.</w:t>
      </w:r>
    </w:p>
    <w:p>
      <w:pPr>
        <w:pStyle w:val="Heading4"/>
      </w:pPr>
      <w:r>
        <w:t xml:space="preserve">PubChem (NCBI)</w:t>
      </w:r>
    </w:p>
    <w:p>
      <w:pPr>
        <w:spacing w:after="100"/>
      </w:pPr>
      <w:r>
        <w:rPr>
          <w:i/>
          <w:iCs/>
        </w:rPr>
        <w:t xml:space="preserve">Largest open chemical structure database — ~115M compounds, ~290M substances, ~1.4M bioassays.</w:t>
      </w:r>
    </w:p>
    <w:p>
      <w:pPr>
        <w:spacing w:after="100"/>
      </w:pPr>
      <w:r>
        <w:t xml:space="preserve">Aggregates from ~900 data sources. Patent, vendor, BioAssay, target linkages.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https://pubchem.ncbi.nlm.nih.gov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PUG REST + PUG-View. Bulk FTP.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Data-source licences propagate; check per-source.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Phase1Planner cheminformatics depth; Phase4 compound landscape.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PubChem AI Lite Bench (2025) provides standardized eval data for chem-LLMs.</w:t>
      </w:r>
    </w:p>
    <w:p>
      <w:pPr>
        <w:pStyle w:val="Heading4"/>
      </w:pPr>
      <w:r>
        <w:t xml:space="preserve">BindingDB</w:t>
      </w:r>
    </w:p>
    <w:p>
      <w:pPr>
        <w:spacing w:after="100"/>
      </w:pPr>
      <w:r>
        <w:rPr>
          <w:i/>
          <w:iCs/>
        </w:rPr>
        <w:t xml:space="preserve">Curated protein-ligand binding affinities, complementary to ChEMBL.</w:t>
      </w:r>
    </w:p>
    <w:p>
      <w:pPr>
        <w:spacing w:after="100"/>
      </w:pPr>
      <w:r>
        <w:t xml:space="preserve">~2.7M binding entries on 9K+ targets, with focus on patent literature and grey-literature extraction.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https://www.bindingdb.org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Web service + bulk SDF/TSV.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Phase1Planner target-engagement priors and L1 binding training data.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Patent binding extraction expanded 2025.</w:t>
      </w:r>
    </w:p>
    <w:p>
      <w:pPr>
        <w:pStyle w:val="Heading4"/>
      </w:pPr>
      <w:r>
        <w:t xml:space="preserve">DrugCentral</w:t>
      </w:r>
    </w:p>
    <w:p>
      <w:pPr>
        <w:spacing w:after="100"/>
      </w:pPr>
      <w:r>
        <w:rPr>
          <w:i/>
          <w:iCs/>
        </w:rPr>
        <w:t xml:space="preserve">Approved-drug focused; tighter curation than DrugBank for indications/MoA.</w:t>
      </w:r>
    </w:p>
    <w:p>
      <w:pPr>
        <w:spacing w:after="100"/>
      </w:pPr>
      <w:r>
        <w:t xml:space="preserve">~5K approved drugs (FDA + EMA + PMDA + others) with structured indications, mechanism, pharmacology.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https://drugcentral.org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 + Postgres dump.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Phase4Planner label landscape; Phase2 indication selection.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v5 (Q3 2025) added orphan-drug + accelerated-approval flags.</w:t>
      </w:r>
    </w:p>
    <w:p>
      <w:pPr>
        <w:pStyle w:val="Heading4"/>
      </w:pPr>
      <w:r>
        <w:t xml:space="preserve">Open Targets Platform</w:t>
      </w:r>
    </w:p>
    <w:p>
      <w:pPr>
        <w:spacing w:after="100"/>
      </w:pPr>
      <w:r>
        <w:rPr>
          <w:i/>
          <w:iCs/>
        </w:rPr>
        <w:t xml:space="preserve">Target-disease evidence integrator — EMBL-EBI + GSK + Sanofi + Bristol Myers Squibb + Pfizer.</w:t>
      </w:r>
    </w:p>
    <w:p>
      <w:pPr>
        <w:spacing w:after="100"/>
      </w:pPr>
      <w:r>
        <w:t xml:space="preserve">Integrates GWAS, somatic mutations, expression, animal models, drug data, literature into a target-disease score.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https://platform.opentargets.org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GraphQL API + Parquet bulk on Google Cloud.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Apache 2.0.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Phase2Planner indication selection; biomarker strategy; precedent-target benchmarking.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v25.04 (Apr 2026) integrates ChEMBL 35 + UK Biobank Pharma Proteomics.</w:t>
      </w:r>
    </w:p>
    <w:p>
      <w:pPr>
        <w:pStyle w:val="Heading2"/>
      </w:pPr>
      <w:r>
        <w:t xml:space="preserve">3.6 Biomarker / -omics Databases</w:t>
      </w:r>
    </w:p>
    <w:p>
      <w:pPr>
        <w:pStyle w:val="Heading4"/>
      </w:pPr>
      <w:r>
        <w:t xml:space="preserve">TCGA + GDC (NCI Genomic Data Commons)</w:t>
      </w:r>
    </w:p>
    <w:p>
      <w:pPr>
        <w:spacing w:after="100"/>
      </w:pPr>
      <w:r>
        <w:rPr>
          <w:i/>
          <w:iCs/>
        </w:rPr>
        <w:t xml:space="preserve">Cancer genomics — ~33 tumour types, 11K+ cases. The original cancer-genomic-atlas resource.</w:t>
      </w:r>
    </w:p>
    <w:p>
      <w:pPr>
        <w:spacing w:after="100"/>
      </w:pPr>
      <w:r>
        <w:t xml:space="preserve">WGS, WXS, RNA-seq, methylation, clinical follow-up. Subset is open; protected access via dbGaP for full BAM/somatic.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https://portal.gdc.cancer.gov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 for open tier; dbGaP for protected.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GDC REST + GraphQL.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dbGaP DUA + IRB.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Oncology-program biomarker strategy (Phase 2+).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GDC v4 supports CRAM + harmonized to GRCh38p.13.</w:t>
      </w:r>
    </w:p>
    <w:p>
      <w:pPr>
        <w:pStyle w:val="Heading4"/>
      </w:pPr>
      <w:r>
        <w:t xml:space="preserve">GTEx</w:t>
      </w:r>
    </w:p>
    <w:p>
      <w:pPr>
        <w:spacing w:after="100"/>
      </w:pPr>
      <w:r>
        <w:rPr>
          <w:i/>
          <w:iCs/>
        </w:rPr>
        <w:t xml:space="preserve">Tissue expression + eQTL atlas — 54 tissues, 1000+ donors. Reference for normal expression profiles.</w:t>
      </w:r>
    </w:p>
    <w:p>
      <w:pPr>
        <w:spacing w:after="100"/>
      </w:pPr>
      <w:r>
        <w:t xml:space="preserve">Bulk + single-nucleus RNA-seq, eQTLs, sQTLs.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https://gtexportal.org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Open summary; dbGaP for individual.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 + downloads.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Tissue-selectivity validation (with L3 ex-vivo); off-target tissue priors.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GTEx v10 (Q1 2026) added paediatric tissues.</w:t>
      </w:r>
    </w:p>
    <w:p>
      <w:pPr>
        <w:pStyle w:val="Heading4"/>
      </w:pPr>
      <w:r>
        <w:t xml:space="preserve">ClinVar + gnomAD</w:t>
      </w:r>
    </w:p>
    <w:p>
      <w:pPr>
        <w:spacing w:after="100"/>
      </w:pPr>
      <w:r>
        <w:rPr>
          <w:i/>
          <w:iCs/>
        </w:rPr>
        <w:t xml:space="preserve">Clinical variant-pathogenicity (ClinVar) and allele-frequency (gnomAD) standards.</w:t>
      </w:r>
    </w:p>
    <w:p>
      <w:pPr>
        <w:spacing w:after="100"/>
      </w:pPr>
      <w:r>
        <w:t xml:space="preserve">ClinVar: 2.5M+ submissions on variant clinical significance. gnomAD v4 (2024): ~807K exomes + 76K genomes.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https://www.ncbi.nlm.nih.gov/clinvar  |  https://gnomad.broadinstitute.org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ClinVar via Entrez E-utilities; gnomAD via GraphQL.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Pharmacogenomic eligibility design; rare-variant safety priors.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gnomAD v4.1 (2025) added structural variants.</w:t>
      </w:r>
    </w:p>
    <w:p>
      <w:pPr>
        <w:pStyle w:val="Heading4"/>
      </w:pPr>
      <w:r>
        <w:t xml:space="preserve">CCLE / DepMap (Broad Institute)</w:t>
      </w:r>
    </w:p>
    <w:p>
      <w:pPr>
        <w:spacing w:after="100"/>
      </w:pPr>
      <w:r>
        <w:rPr>
          <w:i/>
          <w:iCs/>
        </w:rPr>
        <w:t xml:space="preserve">Cancer cell-line genomics + dependency screens (CRISPR + RNAi).</w:t>
      </w:r>
    </w:p>
    <w:p>
      <w:pPr>
        <w:spacing w:after="100"/>
      </w:pPr>
      <w:r>
        <w:t xml:space="preserve">1,800+ cell lines profiled across genomics, proteomics, and &gt;19K gene knockouts.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https://depmap.org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 + bulk.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CC-BY-4.0.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Pre-Phase 2 target validation; only relevant for oncology programs.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Public 24Q4 release added immune-context dependencies.</w:t>
      </w:r>
    </w:p>
    <w:p>
      <w:pPr>
        <w:pStyle w:val="Heading2"/>
      </w:pPr>
      <w:r>
        <w:t xml:space="preserve">3.7 Regulatory &amp; Label Databases</w:t>
      </w:r>
    </w:p>
    <w:p>
      <w:pPr>
        <w:pStyle w:val="Heading4"/>
      </w:pPr>
      <w:r>
        <w:t xml:space="preserve">OpenFDA</w:t>
      </w:r>
    </w:p>
    <w:p>
      <w:pPr>
        <w:spacing w:after="100"/>
      </w:pPr>
      <w:r>
        <w:rPr>
          <w:i/>
          <w:iCs/>
        </w:rPr>
        <w:t xml:space="preserve">FDA's open-data REST API — drug labels, FAERS, recalls, NDC, device events.</w:t>
      </w:r>
    </w:p>
    <w:p>
      <w:pPr>
        <w:spacing w:after="100"/>
      </w:pPr>
      <w:r>
        <w:t xml:space="preserve">Endpoints for drug.label, drug.event, drug.enforcement, device.event, food.event, animalandveterinary.event.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https://open.fda.gov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Public; free API key for higher rate limits.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https://api.fda.gov/&lt;endpoint&gt;.json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Rate limits 240 req/min unkeyed, 120K/day keyed.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Cross-cutting. Default backbone for FDA label and FAERS access.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OpenFDA Drug Substance Master File index added Q1 2026.</w:t>
      </w:r>
    </w:p>
    <w:p>
      <w:pPr>
        <w:pStyle w:val="Heading4"/>
      </w:pPr>
      <w:r>
        <w:t xml:space="preserve">EMA EPAR Database</w:t>
      </w:r>
    </w:p>
    <w:p>
      <w:pPr>
        <w:spacing w:after="100"/>
      </w:pPr>
      <w:r>
        <w:rPr>
          <w:i/>
          <w:iCs/>
        </w:rPr>
        <w:t xml:space="preserve">European Public Assessment Reports for centrally authorised products.</w:t>
      </w:r>
    </w:p>
    <w:p>
      <w:pPr>
        <w:spacing w:after="100"/>
      </w:pPr>
      <w:r>
        <w:t xml:space="preserve">Includes scientific discussion, prescribing info, post-authorisation measures.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https://www.ema.europa.eu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Limited; mostly PDF + HTML scraping.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PDF-heavy.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Phase3/4: EU label benchmark.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EMA Open Data initiative ongoing; partial JSON exports.</w:t>
      </w:r>
    </w:p>
    <w:p>
      <w:pPr>
        <w:pStyle w:val="Heading4"/>
      </w:pPr>
      <w:r>
        <w:t xml:space="preserve">ICH Guidelines + FDA Guidance Documents</w:t>
      </w:r>
    </w:p>
    <w:p>
      <w:pPr>
        <w:spacing w:after="100"/>
      </w:pPr>
      <w:r>
        <w:rPr>
          <w:i/>
          <w:iCs/>
        </w:rPr>
        <w:t xml:space="preserve">All ICH (E1–E20, S1–S12, M1–M14, Q1–Q14) and FDA Guidance.</w:t>
      </w:r>
    </w:p>
    <w:p>
      <w:pPr>
        <w:spacing w:after="100"/>
      </w:pPr>
      <w:r>
        <w:t xml:space="preserve">The de jure regulatory ground truth.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https://www.ich.org  |  https://www.fda.gov/regulatory-information/search-fda-guidance-documents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PDF download; FDA Guidance HTML index searchable.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Cross-cutting — every Planner needs ICH/FDA refs in its checklists.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ICH E14 Q&amp;A R3 (2022) re: C-QTc remains current. ICH M11 (Clinical Electronic Structured Harmonised Protocol) finalisation 2024.</w:t>
      </w:r>
    </w:p>
    <w:p>
      <w:pPr>
        <w:pStyle w:val="Heading4"/>
      </w:pPr>
      <w:r>
        <w:t xml:space="preserve">PMDA / Health Canada / TGA / NMPA repositories</w:t>
      </w:r>
    </w:p>
    <w:p>
      <w:pPr>
        <w:spacing w:after="100"/>
      </w:pPr>
      <w:r>
        <w:rPr>
          <w:i/>
          <w:iCs/>
        </w:rPr>
        <w:t xml:space="preserve">Per-region regulatory repositories.</w:t>
      </w:r>
    </w:p>
    <w:p>
      <w:pPr>
        <w:spacing w:after="100"/>
      </w:pPr>
      <w:r>
        <w:t xml:space="preserve">PMDA review reports (Japan), Health Canada DPD (Canada), TGA ARTG (Australia), NMPA drug review (China).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Each agency portal.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 for read.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Limited; HTML/PDF mostly.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Local-language metadata.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Phase3 region expansion.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PMDA review reports increasingly machine-translated since 2024.</w:t>
      </w:r>
    </w:p>
    <w:p>
      <w:pPr>
        <w:pStyle w:val="Heading2"/>
      </w:pPr>
      <w:r>
        <w:t xml:space="preserve">3.8 Literature</w:t>
      </w:r>
    </w:p>
    <w:p>
      <w:pPr>
        <w:pStyle w:val="Heading4"/>
      </w:pPr>
      <w:r>
        <w:t xml:space="preserve">PubMed / PubMed Central / Europe PMC</w:t>
      </w:r>
    </w:p>
    <w:p>
      <w:pPr>
        <w:spacing w:after="100"/>
      </w:pPr>
      <w:r>
        <w:rPr>
          <w:i/>
          <w:iCs/>
        </w:rPr>
        <w:t xml:space="preserve">The default biomedical literature corpus — ~37M abstracts (PubMed), ~9M open full-text articles (PMC + EuropePMC).</w:t>
      </w:r>
    </w:p>
    <w:p>
      <w:pPr>
        <w:spacing w:after="100"/>
      </w:pPr>
      <w:r>
        <w:t xml:space="preserve">MeSH-indexed; full E-utilities (Entrez) API.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https://pubmed.ncbi.nlm.nih.gov  |  https://europepmc.org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E-utilities (NCBI) and EuropePMC REST.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Full-text only for OA subset.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Cross-cutting evidence retrieval; underpins Phase2 IB drafting and Phase4 PV literature reviews.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PMC OA bulk (CC-BY) downloadable as XML; ~5.5M articles.</w:t>
      </w:r>
    </w:p>
    <w:p>
      <w:pPr>
        <w:pStyle w:val="Heading4"/>
      </w:pPr>
      <w:r>
        <w:t xml:space="preserve">Semantic Scholar</w:t>
      </w:r>
    </w:p>
    <w:p>
      <w:pPr>
        <w:spacing w:after="100"/>
      </w:pPr>
      <w:r>
        <w:rPr>
          <w:i/>
          <w:iCs/>
        </w:rPr>
        <w:t xml:space="preserve">AI-augmented literature graph; rich citation context, embeddings.</w:t>
      </w:r>
    </w:p>
    <w:p>
      <w:pPr>
        <w:spacing w:after="100"/>
      </w:pPr>
      <w:r>
        <w:t xml:space="preserve">~220M papers, with SPECTER embeddings, S2ORC full-text, citation intent.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https://www.semanticscholar.org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Free API key.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Semantic Scholar API; rate-limited.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Some rate-limit caveats commercial.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Embedding-based retrieval and citation traversal in evidence-synthesis agents.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S2ORC v3 (2025) covers 220M papers; Specter-2 embeddings released 2024.</w:t>
      </w:r>
    </w:p>
    <w:p>
      <w:pPr>
        <w:pStyle w:val="Heading4"/>
      </w:pPr>
      <w:r>
        <w:t xml:space="preserve">medRxiv / bioRxiv (Cold Spring Harbor)</w:t>
      </w:r>
    </w:p>
    <w:p>
      <w:pPr>
        <w:spacing w:after="100"/>
      </w:pPr>
      <w:r>
        <w:rPr>
          <w:i/>
          <w:iCs/>
        </w:rPr>
        <w:t xml:space="preserve">Pre-print servers for clinical and biological research.</w:t>
      </w:r>
    </w:p>
    <w:p>
      <w:pPr>
        <w:spacing w:after="100"/>
      </w:pPr>
      <w:r>
        <w:t xml:space="preserve">Fast-moving; many Phase 1/2 results show up here months before peer review.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https://www.medrxiv.org  |  https://www.biorxiv.org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 API + S3 bulk dump.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Pre-peer-review (caution on data quality).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competitive intelligence on emerging programs.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Crossref-indexed since 2020.</w:t>
      </w:r>
    </w:p>
    <w:p>
      <w:pPr>
        <w:pStyle w:val="Heading2"/>
      </w:pPr>
      <w:r>
        <w:t xml:space="preserve">3.9 Commercial Trial Intelligence</w:t>
      </w:r>
    </w:p>
    <w:p>
      <w:pPr>
        <w:pStyle w:val="Heading4"/>
      </w:pPr>
      <w:r>
        <w:t xml:space="preserve">Citeline (Norstella) — Trialtrove + Pharmaprojects + Sitetrove</w:t>
      </w:r>
    </w:p>
    <w:p>
      <w:pPr>
        <w:spacing w:after="100"/>
      </w:pPr>
      <w:r>
        <w:rPr>
          <w:i/>
          <w:iCs/>
        </w:rPr>
        <w:t xml:space="preserve">The market-leader for pipeline and trial intelligence. Default for competitive landscaping at most pharma/biotechs.</w:t>
      </w:r>
    </w:p>
    <w:p>
      <w:pPr>
        <w:spacing w:after="100"/>
      </w:pPr>
      <w:r>
        <w:t xml:space="preserve">~325K trials curated (vs. ~480K registry-raw — normalized + enriched). Pharmaprojects covers 100K+ drug programs across stages. Sitetrove maps investigator sites + KOLs.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https://www.citeline.com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 subscription only.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 API + flat-file feeds + Snowflake share.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Substantial — typically $150K–$750K/yr depending on modules and seats.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Per-seat licensing; redistribution prohibited.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Phase2/3Planner competitor intel; Phase3Planner site selection (Sitetrove).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Citeline acquired by Norstella 2023; Trialtrove Connect API revamped 2025.</w:t>
      </w:r>
    </w:p>
    <w:p>
      <w:pPr>
        <w:pStyle w:val="Heading4"/>
      </w:pPr>
      <w:r>
        <w:t xml:space="preserve">Clarivate Cortellis (Drug Discovery Intelligence + Clinical Trials Intelligence + Regulatory Intelligence)</w:t>
      </w:r>
    </w:p>
    <w:p>
      <w:pPr>
        <w:spacing w:after="100"/>
      </w:pPr>
      <w:r>
        <w:rPr>
          <w:i/>
          <w:iCs/>
        </w:rPr>
        <w:t xml:space="preserve">Citeline's main competitor; broader scope including patent + regulatory streams.</w:t>
      </w:r>
    </w:p>
    <w:p>
      <w:pPr>
        <w:spacing w:after="100"/>
      </w:pPr>
      <w:r>
        <w:t xml:space="preserve">Covers drug discovery (target/MoA), pipeline, trials, deals, patents, regulatory submissions.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https://clarivate.com/cortellis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 API + Snowflake share + bulk feeds.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Six- to seven-figure annual depending on modules.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Per-seat.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competitive + regulatory intel; Phase4 IP landscape.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Cortellis Generative AI assistant launched 2024 (Clarivate-hosted LLM).</w:t>
      </w:r>
    </w:p>
    <w:p>
      <w:pPr>
        <w:pStyle w:val="Heading4"/>
      </w:pPr>
      <w:r>
        <w:t xml:space="preserve">GlobalData Pharma Intelligence</w:t>
      </w:r>
    </w:p>
    <w:p>
      <w:pPr>
        <w:spacing w:after="100"/>
      </w:pPr>
      <w:r>
        <w:rPr>
          <w:i/>
          <w:iCs/>
        </w:rPr>
        <w:t xml:space="preserve">Mid-tier pharma intelligence platform; competitive pricing vs. Citeline/Cortellis.</w:t>
      </w:r>
    </w:p>
    <w:p>
      <w:pPr>
        <w:spacing w:after="100"/>
      </w:pPr>
      <w:r>
        <w:t xml:space="preserve">Pipeline, trials, deals, KOLs, market sizing.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https://www.globaldata.com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 + flat files.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Mid five- to low six-figures/yr.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Per-seat.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Same as Citeline/Cortellis at lower price point; depth varies by therapeutic area.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Strong in CV, oncology, infectious disease.</w:t>
      </w:r>
    </w:p>
    <w:p>
      <w:pPr>
        <w:pStyle w:val="Heading4"/>
      </w:pPr>
      <w:r>
        <w:t xml:space="preserve">Evaluate (Norstella) — EvaluatePharma + EvaluateClinical Trials</w:t>
      </w:r>
    </w:p>
    <w:p>
      <w:pPr>
        <w:spacing w:after="100"/>
      </w:pPr>
      <w:r>
        <w:rPr>
          <w:i/>
          <w:iCs/>
        </w:rPr>
        <w:t xml:space="preserve">Forecast-heavy intelligence — strong on consensus revenue forecasts and probability-of-success benchmarks.</w:t>
      </w:r>
    </w:p>
    <w:p>
      <w:pPr>
        <w:spacing w:after="100"/>
      </w:pPr>
      <w:r>
        <w:t xml:space="preserve">Per-asset revenue forecasts to 2030+, deal data, M&amp;A.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https://www.evaluate.com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Excel/CSV + REST.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Mid six-figures/yr typical.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Commercial team; Phase2/3 go/no-go BD analysis.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Acquired by Norstella 2023; co-deployment with Citeline encouraged.</w:t>
      </w:r>
    </w:p>
    <w:p>
      <w:pPr>
        <w:pStyle w:val="Heading4"/>
      </w:pPr>
      <w:r>
        <w:t xml:space="preserve">BioMedTracker (Informa) / BioCentury</w:t>
      </w:r>
    </w:p>
    <w:p>
      <w:pPr>
        <w:spacing w:after="100"/>
      </w:pPr>
      <w:r>
        <w:rPr>
          <w:i/>
          <w:iCs/>
        </w:rPr>
        <w:t xml:space="preserve">Catalyst-driven intelligence — PDUFA dates, AdComm dates, key data readouts, success-rate models.</w:t>
      </w:r>
    </w:p>
    <w:p>
      <w:pPr>
        <w:spacing w:after="100"/>
      </w:pPr>
      <w:r>
        <w:t xml:space="preserve">Used heavily by buy-side investors; useful for Phase 3 timeline planning.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https://www.biomedtracker.com  |  https://www.biocentury.com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Limited; report-driven.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Subscription.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Phase3/4 catalyst calendar planning.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BMT phase-success base rates updated quarterly; 2025 small-molecule overall success P1→Approval ~6.7%.</w:t>
      </w:r>
    </w:p>
    <w:p>
      <w:pPr>
        <w:pStyle w:val="Heading4"/>
      </w:pPr>
      <w:r>
        <w:t xml:space="preserve">AdisInsight (Springer Nature)</w:t>
      </w:r>
    </w:p>
    <w:p>
      <w:pPr>
        <w:spacing w:after="100"/>
      </w:pPr>
      <w:r>
        <w:rPr>
          <w:i/>
          <w:iCs/>
        </w:rPr>
        <w:t xml:space="preserve">Curated drug-pipeline DB with strong asset-history detail.</w:t>
      </w:r>
    </w:p>
    <w:p>
      <w:pPr>
        <w:spacing w:after="100"/>
      </w:pPr>
      <w:r>
        <w:t xml:space="preserve">Detailed asset histories, well-suited for due-diligence.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https://adisinsight.springer.com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Limited.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Subscription, lower than Citeline/Cortellis.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due diligence on comparators.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—</w:t>
      </w:r>
    </w:p>
    <w:p>
      <w:pPr>
        <w:pStyle w:val="Heading4"/>
      </w:pPr>
      <w:r>
        <w:t xml:space="preserve">IQVIA Pipeline Link / Pharma Deals</w:t>
      </w:r>
    </w:p>
    <w:p>
      <w:pPr>
        <w:spacing w:after="100"/>
      </w:pPr>
      <w:r>
        <w:rPr>
          <w:i/>
          <w:iCs/>
        </w:rPr>
        <w:t xml:space="preserve">IQVIA's pipeline + deals subset; often bundled with other IQVIA RWD.</w:t>
      </w:r>
    </w:p>
    <w:p>
      <w:pPr>
        <w:spacing w:after="100"/>
      </w:pPr>
      <w:r>
        <w:t xml:space="preserve">—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https://www.iqvia.com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IQVIA Connected Intelligence platform.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Bundled with IQVIA contracts.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Cross-cutting if IQVIA is the chosen RWD vendor.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—</w:t>
      </w:r>
    </w:p>
    <w:p>
      <w:pPr>
        <w:pStyle w:val="Heading2"/>
      </w:pPr>
      <w:r>
        <w:t xml:space="preserve">3.10 Commercial Real-World Data Platforms</w:t>
      </w:r>
    </w:p>
    <w:p>
      <w:pPr>
        <w:pStyle w:val="Heading4"/>
      </w:pPr>
      <w:r>
        <w:t xml:space="preserve">Komodo Health — Healthcare Map</w:t>
      </w:r>
    </w:p>
    <w:p>
      <w:pPr>
        <w:spacing w:after="100"/>
      </w:pPr>
      <w:r>
        <w:rPr>
          <w:i/>
          <w:iCs/>
        </w:rPr>
        <w:t xml:space="preserve">Closed-claims + EHR + lab + SDoH for ~330M U.S. patients.</w:t>
      </w:r>
    </w:p>
    <w:p>
      <w:pPr>
        <w:spacing w:after="100"/>
      </w:pPr>
      <w:r>
        <w:t xml:space="preserve">Strong patient-journey graph; integrates with Aetion for causal analytics.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https://www.komodohealth.com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Sentinel API + Snowflake.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$$$$ (low seven figures typical for pharma access).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HIPAA-compliant de-id; per-use restrictions.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Phase3 site selection + feasibility; Phase4 RWE.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—</w:t>
      </w:r>
    </w:p>
    <w:p>
      <w:pPr>
        <w:pStyle w:val="Heading4"/>
      </w:pPr>
      <w:r>
        <w:t xml:space="preserve">Truveta</w:t>
      </w:r>
    </w:p>
    <w:p>
      <w:pPr>
        <w:spacing w:after="100"/>
      </w:pPr>
      <w:r>
        <w:rPr>
          <w:i/>
          <w:iCs/>
        </w:rPr>
        <w:t xml:space="preserve">Provider-driven longitudinal EHR; 30+ U.S. health systems contribute.</w:t>
      </w:r>
    </w:p>
    <w:p>
      <w:pPr>
        <w:spacing w:after="100"/>
      </w:pPr>
      <w:r>
        <w:t xml:space="preserve">Deep clinical depth (notes, imaging metadata, genomics where contributed).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https://www.truveta.com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Truveta Studio (cloud-only analysis, no export).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$$$$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No subject-level export.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cohort feasibility, Phase4 RWE.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Truveta Genome (2024) adds genomic sub-cohort.</w:t>
      </w:r>
    </w:p>
    <w:p>
      <w:pPr>
        <w:pStyle w:val="Heading4"/>
      </w:pPr>
      <w:r>
        <w:t xml:space="preserve">TriNetX</w:t>
      </w:r>
    </w:p>
    <w:p>
      <w:pPr>
        <w:spacing w:after="100"/>
      </w:pPr>
      <w:r>
        <w:rPr>
          <w:i/>
          <w:iCs/>
        </w:rPr>
        <w:t xml:space="preserve">Federated EHR network across academic medical centres + life-science partners; ~250M patients globally.</w:t>
      </w:r>
    </w:p>
    <w:p>
      <w:pPr>
        <w:spacing w:after="100"/>
      </w:pPr>
      <w:r>
        <w:t xml:space="preserve">Live-Federated cohort browser; comparative effectiveness ready.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https://trinetx.com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Federated query interface; data stays at source.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$$$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Federated — no centralized export.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feasibility; Phase4 RWE.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Live data refresh; strong for rare-disease cohorting.</w:t>
      </w:r>
    </w:p>
    <w:p>
      <w:pPr>
        <w:pStyle w:val="Heading4"/>
      </w:pPr>
      <w:r>
        <w:t xml:space="preserve">Flatiron Health (Roche)</w:t>
      </w:r>
    </w:p>
    <w:p>
      <w:pPr>
        <w:spacing w:after="100"/>
      </w:pPr>
      <w:r>
        <w:rPr>
          <w:i/>
          <w:iCs/>
        </w:rPr>
        <w:t xml:space="preserve">Oncology-focused EHR + outcomes; gold standard for U.S. oncology RWE.</w:t>
      </w:r>
    </w:p>
    <w:p>
      <w:pPr>
        <w:spacing w:after="100"/>
      </w:pPr>
      <w:r>
        <w:t xml:space="preserve">Curated abstracted endpoints (ORR, PFS, OS) on ~3M cancer patients.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https://flatiron.com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Flatiron Clinico-Genomic Database (FH-CGDB) via partnerships.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$$$$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Oncology only.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Oncology Phase2/3 synthetic control arms (FDA-accepted in some indications).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Roche-owned since 2018; multi-modal expansion 2025.</w:t>
      </w:r>
    </w:p>
    <w:p>
      <w:pPr>
        <w:pStyle w:val="Heading4"/>
      </w:pPr>
      <w:r>
        <w:t xml:space="preserve">Tempus</w:t>
      </w:r>
    </w:p>
    <w:p>
      <w:pPr>
        <w:spacing w:after="100"/>
      </w:pPr>
      <w:r>
        <w:rPr>
          <w:i/>
          <w:iCs/>
        </w:rPr>
        <w:t xml:space="preserve">Multimodal clinical + genomic + imaging; oncology-led, expanding to neuro and CV.</w:t>
      </w:r>
    </w:p>
    <w:p>
      <w:pPr>
        <w:spacing w:after="100"/>
      </w:pPr>
      <w:r>
        <w:t xml:space="preserve">Real-world cohort linked to NGS panel.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https://www.tempus.com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TIME platform.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$$$$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Oncology biomarker discovery + Phase2 enrichment.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Tempus AI Lens (2024) adds generative analytics.</w:t>
      </w:r>
    </w:p>
    <w:p>
      <w:pPr>
        <w:pStyle w:val="Heading4"/>
      </w:pPr>
      <w:r>
        <w:t xml:space="preserve">Datavant</w:t>
      </w:r>
    </w:p>
    <w:p>
      <w:pPr>
        <w:spacing w:after="100"/>
      </w:pPr>
      <w:r>
        <w:rPr>
          <w:i/>
          <w:iCs/>
        </w:rPr>
        <w:t xml:space="preserve">Tokenization + record linkage; the de-facto standard for joining datasets without sharing PHI.</w:t>
      </w:r>
    </w:p>
    <w:p>
      <w:pPr>
        <w:spacing w:after="100"/>
      </w:pPr>
      <w:r>
        <w:t xml:space="preserve">Datavant Switchboard links 70+ partner datasets.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https://www.datavant.com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Tokenization SDK.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$$$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Tokenization only — partners hold the data.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Phase4 RWE study design when joining EHR + claims + registries.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Merged with Ciox 2021; expanded into health-system data 2024.</w:t>
      </w:r>
    </w:p>
    <w:p>
      <w:pPr>
        <w:pStyle w:val="Heading4"/>
      </w:pPr>
      <w:r>
        <w:t xml:space="preserve">IQVIA RWD Suite (Pharmetrics, Ambulatory EMR, OneKey)</w:t>
      </w:r>
    </w:p>
    <w:p>
      <w:pPr>
        <w:spacing w:after="100"/>
      </w:pPr>
      <w:r>
        <w:rPr>
          <w:i/>
          <w:iCs/>
        </w:rPr>
        <w:t xml:space="preserve">Largest pharma RWD vendor; broadest U.S. + ex-U.S. footprint.</w:t>
      </w:r>
    </w:p>
    <w:p>
      <w:pPr>
        <w:spacing w:after="100"/>
      </w:pPr>
      <w:r>
        <w:t xml:space="preserve">Claims (Pharmetrics, ~225M U.S. patients), EMR (Ambulatory), HCP database (OneKey).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https://www.iqvia.com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IQVIA Connected Intelligence + Snowflake share.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$$$$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Cross-cutting if IQVIA is the RWD partner.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—</w:t>
      </w:r>
    </w:p>
    <w:p>
      <w:pPr>
        <w:pStyle w:val="Heading4"/>
      </w:pPr>
      <w:r>
        <w:t xml:space="preserve">Optum (UnitedHealth) Clinformatics + Optum EHR</w:t>
      </w:r>
    </w:p>
    <w:p>
      <w:pPr>
        <w:spacing w:after="100"/>
      </w:pPr>
      <w:r>
        <w:rPr>
          <w:i/>
          <w:iCs/>
        </w:rPr>
        <w:t xml:space="preserve">Major U.S. claims (~80M lives) + EHR (~100M).</w:t>
      </w:r>
    </w:p>
    <w:p>
      <w:pPr>
        <w:spacing w:after="100"/>
      </w:pPr>
      <w:r>
        <w:t xml:space="preserve">Standard de-identified claims with Z code SDoH; Optum EHR has notes.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https://www.optum.com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Snowflake share + flat files.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$$$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Phase3/4.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—</w:t>
      </w:r>
    </w:p>
    <w:p>
      <w:pPr>
        <w:pStyle w:val="Heading4"/>
      </w:pPr>
      <w:r>
        <w:t xml:space="preserve">CPRD (UK Clinical Practice Research Datalink)</w:t>
      </w:r>
    </w:p>
    <w:p>
      <w:pPr>
        <w:spacing w:after="100"/>
      </w:pPr>
      <w:r>
        <w:rPr>
          <w:i/>
          <w:iCs/>
        </w:rPr>
        <w:t xml:space="preserve">UK NHS primary-care + linked HES data; ~25% of UK GP coverage.</w:t>
      </w:r>
    </w:p>
    <w:p>
      <w:pPr>
        <w:spacing w:after="100"/>
      </w:pPr>
      <w:r>
        <w:t xml:space="preserve">Operated by MHRA. Aurum + GOLD subsets.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https://www.cprd.com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Application + ISAC review.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Bulk extracts.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Project fees, mid five-figures typical.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UK primary-care licence.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Phase3/4 EU.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Linked HES-APC + ONS mortality + cancer registry.</w:t>
      </w:r>
    </w:p>
    <w:p>
      <w:pPr>
        <w:pStyle w:val="Heading2"/>
      </w:pPr>
      <w:r>
        <w:t xml:space="preserve">3.11 Commercial Trial-Operations Platforms</w:t>
      </w:r>
    </w:p>
    <w:p>
      <w:pPr>
        <w:pStyle w:val="Heading4"/>
      </w:pPr>
      <w:r>
        <w:t xml:space="preserve">Medidata Rave EDC + Acorn AI + Patient Cloud (Dassault Systèmes)</w:t>
      </w:r>
    </w:p>
    <w:p>
      <w:pPr>
        <w:spacing w:after="100"/>
      </w:pPr>
      <w:r>
        <w:rPr>
          <w:i/>
          <w:iCs/>
        </w:rPr>
        <w:t xml:space="preserve">Market-leading EDC + integrated trial-ops + AI overlay.</w:t>
      </w:r>
    </w:p>
    <w:p>
      <w:pPr>
        <w:spacing w:after="100"/>
      </w:pPr>
      <w:r>
        <w:t xml:space="preserve">Rave EDC (data capture), RTSM, Coder (medical coding), Patient Cloud (eCOA/ePRO), Acorn AI (synthetic controls + predictive analytics + sensor analytics).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https://www.medidata.com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Rave Web Services + EDC integration framework.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Per-trial pricing.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Phase1–4 trial execution backbone.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Dassault rebrand 'Medidata' kept; Acorn AI synthetic controls FDA-accepted in selected oncology trials.</w:t>
      </w:r>
    </w:p>
    <w:p>
      <w:pPr>
        <w:pStyle w:val="Heading4"/>
      </w:pPr>
      <w:r>
        <w:t xml:space="preserve">Veeva Vault Clinical Suite</w:t>
      </w:r>
    </w:p>
    <w:p>
      <w:pPr>
        <w:spacing w:after="100"/>
      </w:pPr>
      <w:r>
        <w:rPr>
          <w:i/>
          <w:iCs/>
        </w:rPr>
        <w:t xml:space="preserve">Cloud-native EDC + CDMS + eTMF + Site Connect + CTMS, fast-growing alternative to Medidata.</w:t>
      </w:r>
    </w:p>
    <w:p>
      <w:pPr>
        <w:spacing w:after="100"/>
      </w:pPr>
      <w:r>
        <w:t xml:space="preserve">Common Vault data model; tight integration with Veeva CRM (commercial side).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https://www.veeva.com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Vault REST + Vault Direct Data API.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Per-trial / per-site.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Same scope as Medidata; Veeva often preferred where the sponsor's CRM is also Veeva.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Veeva CDB (Clinical Data Bench) launched 2024 — unified data review.</w:t>
      </w:r>
    </w:p>
    <w:p>
      <w:pPr>
        <w:pStyle w:val="Heading4"/>
      </w:pPr>
      <w:r>
        <w:t xml:space="preserve">Oracle Health Sciences Clinical One Platform</w:t>
      </w:r>
    </w:p>
    <w:p>
      <w:pPr>
        <w:spacing w:after="100"/>
      </w:pPr>
      <w:r>
        <w:rPr>
          <w:i/>
          <w:iCs/>
        </w:rPr>
        <w:t xml:space="preserve">Successor to Oracle InForm; full eClinical suite.</w:t>
      </w:r>
    </w:p>
    <w:p>
      <w:pPr>
        <w:spacing w:after="100"/>
      </w:pPr>
      <w:r>
        <w:t xml:space="preserve">EDC, RTSM, Safety, Trial Management.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https://www.oracle.com/industries/health-sciences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Per-trial.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Sponsors with Oracle ERP often default here.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—</w:t>
      </w:r>
    </w:p>
    <w:p>
      <w:pPr>
        <w:pStyle w:val="Heading4"/>
      </w:pPr>
      <w:r>
        <w:t xml:space="preserve">Saama LSAC (Life Science Analytics Cloud)</w:t>
      </w:r>
    </w:p>
    <w:p>
      <w:pPr>
        <w:spacing w:after="100"/>
      </w:pPr>
      <w:r>
        <w:rPr>
          <w:i/>
          <w:iCs/>
        </w:rPr>
        <w:t xml:space="preserve">AI-first clinical analytics layer that overlays EDC sources.</w:t>
      </w:r>
    </w:p>
    <w:p>
      <w:pPr>
        <w:spacing w:after="100"/>
      </w:pPr>
      <w:r>
        <w:t xml:space="preserve">Auto-medical-coding, query generation, anomaly detection across data streams.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https://www.saama.com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 + bespoke integrations.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Per-program.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data review acceleration.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Saama acquired by Carlyle 2022; smart-DM workflows expanded 2025.</w:t>
      </w:r>
    </w:p>
    <w:p>
      <w:pPr>
        <w:pStyle w:val="Heading4"/>
      </w:pPr>
      <w:r>
        <w:t xml:space="preserve">Signant Health (eCOA/ePRO + IRT)</w:t>
      </w:r>
    </w:p>
    <w:p>
      <w:pPr>
        <w:spacing w:after="100"/>
      </w:pPr>
      <w:r>
        <w:rPr>
          <w:i/>
          <w:iCs/>
        </w:rPr>
        <w:t xml:space="preserve">Patient-side data capture vendor.</w:t>
      </w:r>
    </w:p>
    <w:p>
      <w:pPr>
        <w:spacing w:after="100"/>
      </w:pPr>
      <w:r>
        <w:t xml:space="preserve">ePRO, eCOA, eConsent, RTSM.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https://www.signanthealth.com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Standard exports.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Per-trial.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PRO-heavy designs.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—</w:t>
      </w:r>
    </w:p>
    <w:p>
      <w:pPr>
        <w:pStyle w:val="Heading4"/>
      </w:pPr>
      <w:r>
        <w:t xml:space="preserve">Castor EDC + RWE</w:t>
      </w:r>
    </w:p>
    <w:p>
      <w:pPr>
        <w:spacing w:after="100"/>
      </w:pPr>
      <w:r>
        <w:rPr>
          <w:i/>
          <w:iCs/>
        </w:rPr>
        <w:t xml:space="preserve">Mid-market cloud EDC with strong RWE bridge.</w:t>
      </w:r>
    </w:p>
    <w:p>
      <w:pPr>
        <w:spacing w:after="100"/>
      </w:pPr>
      <w:r>
        <w:t xml:space="preserve">Suited to investigator-initiated and academic trials; cheaper per-trial than Medidata/Veeva.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https://www.castoredc.com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 + FHIR import.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Mid-market pricing.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Phase1/2 lean designs; investigator-initiated studies.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FHIR-native ingestion is uncommon and a strong differentiator.</w:t>
      </w:r>
    </w:p>
    <w:p>
      <w:r>
        <w:br w:type="page"/>
      </w:r>
    </w:p>
    <w:p>
      <w:pPr>
        <w:pStyle w:val="Heading1"/>
      </w:pPr>
      <w:r>
        <w:t xml:space="preserve">4. AI / ML Models</w:t>
      </w:r>
    </w:p>
    <w:p>
      <w:pPr>
        <w:spacing w:after="100"/>
      </w:pPr>
      <w:r>
        <w:t xml:space="preserve">Twelve task buckets. Each entry follows a similar shape (summary → architecture → access → cost → limits → Hakase fit → notes). Where models are commercially gated (Simcyp, GastroPlus, NONMEM), open alternatives are flagged.</w:t>
      </w:r>
    </w:p>
    <w:p>
      <w:pPr>
        <w:pStyle w:val="Heading2"/>
      </w:pPr>
      <w:r>
        <w:t xml:space="preserve">4.1 Foundation / Clinical LLMs</w:t>
      </w:r>
    </w:p>
    <w:p>
      <w:pPr>
        <w:pStyle w:val="Heading4"/>
      </w:pPr>
      <w:r>
        <w:t xml:space="preserve">Med-PaLM 2 / MedLM / Med-Gemini (Google)</w:t>
      </w:r>
    </w:p>
    <w:p>
      <w:pPr>
        <w:spacing w:after="100"/>
      </w:pPr>
      <w:r>
        <w:rPr>
          <w:i/>
          <w:iCs/>
        </w:rPr>
        <w:t xml:space="preserve">Google's medical foundation model series; Med-Gemini (multimodal, 2024) is the current frontier.</w:t>
      </w:r>
    </w:p>
    <w:p>
      <w:pPr>
        <w:spacing w:after="100"/>
      </w:pPr>
      <w:r>
        <w:t xml:space="preserve">Med-PaLM 2: PaLM 2 fine-tuned on medical Q&amp;A; ~85% MedQA. Med-Gemini: multimodal (text + image + radiology + genomics + waveform). MedLM is the productized API.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https://cloud.google.com/vertex-ai (MedLM-Medium / MedLM-Large)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Google Cloud account; Med-Gemini still gated.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Vertex AI REST + SDK; HIPAA BAA available.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Per-token Vertex pricing; HIPAA BAA tier.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Closed-weight; no on-prem.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 Planner LLM backbone candidate; especially for protocol drafting + regulatory drafting.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Med-Gemini 1.5 (2024) showed competitive performance vs GPT-4 on med benchmarks; 2025 evaluations now include MedLM-Multimodal-XL.</w:t>
      </w:r>
    </w:p>
    <w:p>
      <w:pPr>
        <w:pStyle w:val="Heading4"/>
      </w:pPr>
      <w:r>
        <w:t xml:space="preserve">BioGPT / BioGPT-Large (Microsoft Research)</w:t>
      </w:r>
    </w:p>
    <w:p>
      <w:pPr>
        <w:spacing w:after="100"/>
      </w:pPr>
      <w:r>
        <w:rPr>
          <w:i/>
          <w:iCs/>
        </w:rPr>
        <w:t xml:space="preserve">GPT-2-style biomedical generative model trained on PubMed.</w:t>
      </w:r>
    </w:p>
    <w:p>
      <w:pPr>
        <w:spacing w:after="100"/>
      </w:pPr>
      <w:r>
        <w:t xml:space="preserve">347M / 1.5B parameter variants. Strong on biomedical text generation and named-entity recognition.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https://huggingface.co/microsoft/biogpt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HuggingFace 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Self-host via Transformers.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Self-host compute only.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MIT licence; older architecture.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Phase1–4: light-weight biomedical NER + summarization, especially when no PHI is in scope.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Largely surpassed by Meditron and BioMedLM but remains a permissive-licence baseline.</w:t>
      </w:r>
    </w:p>
    <w:p>
      <w:pPr>
        <w:pStyle w:val="Heading4"/>
      </w:pPr>
      <w:r>
        <w:t xml:space="preserve">Meditron-7B / Meditron-70B (EPFL + Meta)</w:t>
      </w:r>
    </w:p>
    <w:p>
      <w:pPr>
        <w:spacing w:after="100"/>
      </w:pPr>
      <w:r>
        <w:rPr>
          <w:i/>
          <w:iCs/>
        </w:rPr>
        <w:t xml:space="preserve">Llama-2-based open medical LLM; the strongest open-weight medical model at release.</w:t>
      </w:r>
    </w:p>
    <w:p>
      <w:pPr>
        <w:spacing w:after="100"/>
      </w:pPr>
      <w:r>
        <w:t xml:space="preserve">70B variant trained on PMC + clinical guidelines + MedQA; competitive with GPT-3.5 on medical reasoning.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https://huggingface.co/epfl-llm/meditron-70b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HuggingFace; Llama-2 licence acceptance.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Self-host; vLLM-friendly.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Self-host (70B = ~140GB FP16, fits on 2×H100).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Llama-2 licence (commercial OK below 700M MAU).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On-prem PHI-touching reasoning agent for Phase1–4 planners.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Meditron-3 (Llama-3 base) released 2024; community has 8B, 70B, and 405B variants.</w:t>
      </w:r>
    </w:p>
    <w:p>
      <w:pPr>
        <w:pStyle w:val="Heading4"/>
      </w:pPr>
      <w:r>
        <w:t xml:space="preserve">GatorTron / GatorTronGPT (UF Health + NVIDIA)</w:t>
      </w:r>
    </w:p>
    <w:p>
      <w:pPr>
        <w:spacing w:after="100"/>
      </w:pPr>
      <w:r>
        <w:rPr>
          <w:i/>
          <w:iCs/>
        </w:rPr>
        <w:t xml:space="preserve">Clinical-text foundation model trained on 90B+ words of de-identified UF Health EHR notes — closer to real clinical-note distribution than PubMed-trained models.</w:t>
      </w:r>
    </w:p>
    <w:p>
      <w:pPr>
        <w:spacing w:after="100"/>
      </w:pPr>
      <w:r>
        <w:t xml:space="preserve">8.9B parameter encoder; GatorTronGPT (2023) is the decoder variant.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https://huggingface.co/UFNLP/gatortron-base / gatortron-medium / gatortron-large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HuggingFace.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Apache 2.0 (research use); broad clinical use OK.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Clinical NER from real-world notes (Phase4 RWE pipelines).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GatorTron-Large (8.9B) is the largest open clinical-note-trained model.</w:t>
      </w:r>
    </w:p>
    <w:p>
      <w:pPr>
        <w:pStyle w:val="Heading4"/>
      </w:pPr>
      <w:r>
        <w:t xml:space="preserve">BioMedLM / Stanford MedAlpaca / PMC-LLaMA / Asclepius</w:t>
      </w:r>
    </w:p>
    <w:p>
      <w:pPr>
        <w:spacing w:after="100"/>
      </w:pPr>
      <w:r>
        <w:rPr>
          <w:i/>
          <w:iCs/>
        </w:rPr>
        <w:t xml:space="preserve">Open biomedical LLMs in the 2.7B–13B range.</w:t>
      </w:r>
    </w:p>
    <w:p>
      <w:pPr>
        <w:spacing w:after="100"/>
      </w:pPr>
      <w:r>
        <w:t xml:space="preserve">BioMedLM (Stanford CRFM, 2.7B), PMC-LLaMA (LLaMA + PMC fine-tune), MedAlpaca, Asclepius (synthetic clinical notes).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HuggingFace.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Mostly research/non-commercial; check per-model.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Lighter-weight on-prem inference.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Useful as ablation baselines; not first-line production picks.</w:t>
      </w:r>
    </w:p>
    <w:p>
      <w:pPr>
        <w:pStyle w:val="Heading4"/>
      </w:pPr>
      <w:r>
        <w:t xml:space="preserve">Claude (Anthropic) / GPT-4o / GPT-4.1 / o-series</w:t>
      </w:r>
    </w:p>
    <w:p>
      <w:pPr>
        <w:spacing w:after="100"/>
      </w:pPr>
      <w:r>
        <w:rPr>
          <w:i/>
          <w:iCs/>
        </w:rPr>
        <w:t xml:space="preserve">General-purpose frontier LLMs with strong medical reasoning when prompted/retrieved correctly.</w:t>
      </w:r>
    </w:p>
    <w:p>
      <w:pPr>
        <w:spacing w:after="100"/>
      </w:pPr>
      <w:r>
        <w:t xml:space="preserve">Closed-weight; HIPAA BAA available for both Anthropic and OpenAI Enterprise; SOC 2 compliant.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https://www.anthropic.com  |  https://openai.com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API key + BAA for PHI.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 + streaming.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Per-token; Claude Opus / GPT-4o pricing comparable.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No model weights.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Phase1–4 reasoning + protocol drafting + checklist evaluation. Default for the Hakase agent layer (HAIOps).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Verify HIPAA BAA + zero-retention before passing PHI; otherwise route through on-prem Meditron-70B.</w:t>
      </w:r>
    </w:p>
    <w:p>
      <w:pPr>
        <w:pStyle w:val="Heading2"/>
      </w:pPr>
      <w:r>
        <w:t xml:space="preserve">4.2 PK / PD Modeling</w:t>
      </w:r>
    </w:p>
    <w:p>
      <w:pPr>
        <w:pStyle w:val="Heading4"/>
      </w:pPr>
      <w:r>
        <w:t xml:space="preserve">Simcyp Simulator (Certara)</w:t>
      </w:r>
    </w:p>
    <w:p>
      <w:pPr>
        <w:spacing w:after="100"/>
      </w:pPr>
      <w:r>
        <w:rPr>
          <w:i/>
          <w:iCs/>
        </w:rPr>
        <w:t xml:space="preserve">The market-leading PBPK platform. The default for FDA-grade DDI and special-population PK simulation.</w:t>
      </w:r>
    </w:p>
    <w:p>
      <w:pPr>
        <w:spacing w:after="100"/>
      </w:pPr>
      <w:r>
        <w:t xml:space="preserve">Whole-body PBPK with population variability sampler; pre-built virtual populations (paediatric, pregnant, hepatic-impaired, renal-impaired, ethnic).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https://www.certara.com/software/simcyp-pbpk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Simcyp R Package + Cloud API.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Six-figure/yr typical.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Per-seat.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Phase1Planner DDI Module + Special-Pop module; Phase2 paediatric extrapolation.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Simcyp v23 (Q2 2025) added neonatal model + LLM-assisted parameter inference (beta).</w:t>
      </w:r>
    </w:p>
    <w:p>
      <w:pPr>
        <w:pStyle w:val="Heading4"/>
      </w:pPr>
      <w:r>
        <w:t xml:space="preserve">GastroPlus (Simulations Plus)</w:t>
      </w:r>
    </w:p>
    <w:p>
      <w:pPr>
        <w:spacing w:after="100"/>
      </w:pPr>
      <w:r>
        <w:rPr>
          <w:i/>
          <w:iCs/>
        </w:rPr>
        <w:t xml:space="preserve">Simcyp's main PBPK competitor; especially strong on oral absorption and BCS-based formulation modelling.</w:t>
      </w:r>
    </w:p>
    <w:p>
      <w:pPr>
        <w:spacing w:after="100"/>
      </w:pPr>
      <w:r>
        <w:t xml:space="preserve">ACAT (Advanced Compartmental Absorption + Transit) model; PBPKPlus, OptDose, DDIPlus modules.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https://www.simulations-plus.com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GastroPlus API + ADMET Predictor integration.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Six-figure/yr typical.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Per-seat.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 food-effect + formulation simulations — strong tie-in with L4 formulationResult.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v9.9 (Q1 2026) added biologics PBPK module.</w:t>
      </w:r>
    </w:p>
    <w:p>
      <w:pPr>
        <w:pStyle w:val="Heading4"/>
      </w:pPr>
      <w:r>
        <w:t xml:space="preserve">PK-Sim / MoBi (Open Systems Pharmacology, BSD)</w:t>
      </w:r>
    </w:p>
    <w:p>
      <w:pPr>
        <w:spacing w:after="100"/>
      </w:pPr>
      <w:r>
        <w:rPr>
          <w:i/>
          <w:iCs/>
        </w:rPr>
        <w:t xml:space="preserve">Free open-source PBPK suite; Bayer-derived. Strong open alternative to Simcyp/GastroPlus.</w:t>
      </w:r>
    </w:p>
    <w:p>
      <w:pPr>
        <w:spacing w:after="100"/>
      </w:pPr>
      <w:r>
        <w:t xml:space="preserve">PK-Sim (whole-body PBPK), MoBi (custom model builder), R/MATLAB toolboxes (ospsuite-R).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https://www.open-systems-pharmacology.org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ospsuite-R, ospsuite-py.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BSD.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MVP-tier PBPK without paid licences.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v11 (2026) adds ML-hybrid solver. Recommended default for the Hakase MVP.</w:t>
      </w:r>
    </w:p>
    <w:p>
      <w:pPr>
        <w:pStyle w:val="Heading4"/>
      </w:pPr>
      <w:r>
        <w:t xml:space="preserve">NONMEM + Monolix (popPK gold standard)</w:t>
      </w:r>
    </w:p>
    <w:p>
      <w:pPr>
        <w:spacing w:after="100"/>
      </w:pPr>
      <w:r>
        <w:rPr>
          <w:i/>
          <w:iCs/>
        </w:rPr>
        <w:t xml:space="preserve">The two reference population-PK estimators.</w:t>
      </w:r>
    </w:p>
    <w:p>
      <w:pPr>
        <w:spacing w:after="100"/>
      </w:pPr>
      <w:r>
        <w:t xml:space="preserve">NONMEM (ICON, FOCE/SAEM); Monolix (Lixoft/SimulationsPlus, SAEM).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https://www.iconplc.com  |  https://www.lixoft.com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Programmatic via R (PsN, mlxR), Pumas.jl.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Per-seat / per-program.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 SAD/MAD popPK exploration; the regulator-default once data is in hand.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FDA still expects NONMEM-style submissions for popPK. PsN tooling is widely used.</w:t>
      </w:r>
    </w:p>
    <w:p>
      <w:pPr>
        <w:pStyle w:val="Heading4"/>
      </w:pPr>
      <w:r>
        <w:t xml:space="preserve">Pumas (Julia, Pumas-AI)</w:t>
      </w:r>
    </w:p>
    <w:p>
      <w:pPr>
        <w:spacing w:after="100"/>
      </w:pPr>
      <w:r>
        <w:rPr>
          <w:i/>
          <w:iCs/>
        </w:rPr>
        <w:t xml:space="preserve">Modern popPK + PBPK + ML hybrid platform in Julia.</w:t>
      </w:r>
    </w:p>
    <w:p>
      <w:pPr>
        <w:spacing w:after="100"/>
      </w:pPr>
      <w:r>
        <w:t xml:space="preserve">Bayesian + frequentist popPK; trial simulation; integrated DeepNLME (deep neural mixed-effects).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https://pumas.ai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 / academic free tier.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Julia.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Per-seat.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Phase1–2 simulation + DeepNLME-style hybrid models.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Pumas-AI 4.0 (2025) integrated popPK→RWE bridges.</w:t>
      </w:r>
    </w:p>
    <w:p>
      <w:pPr>
        <w:pStyle w:val="Heading4"/>
      </w:pPr>
      <w:r>
        <w:t xml:space="preserve">DeepCompartment / DeepNLME / popPKNN (deep-learning popPK)</w:t>
      </w:r>
    </w:p>
    <w:p>
      <w:pPr>
        <w:spacing w:after="100"/>
      </w:pPr>
      <w:r>
        <w:rPr>
          <w:i/>
          <w:iCs/>
        </w:rPr>
        <w:t xml:space="preserve">Neural-network analogues of popPK. Useful for sparse-data extrapolation and non-linear PK.</w:t>
      </w:r>
    </w:p>
    <w:p>
      <w:pPr>
        <w:spacing w:after="100"/>
      </w:pPr>
      <w:r>
        <w:t xml:space="preserve">PyTorch / Pumas / TensorFlow implementations. Mostly research-stage.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GitHub (per-paper).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Not regulator-default.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 R&amp;D experimentation; pair with NONMEM for submission.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DeepCompartment papers (2023–2025) show competitive RMSE on PK-DB benchmarks.</w:t>
      </w:r>
    </w:p>
    <w:p>
      <w:pPr>
        <w:pStyle w:val="Heading4"/>
      </w:pPr>
      <w:r>
        <w:t xml:space="preserve">mrgsolve (open R)</w:t>
      </w:r>
    </w:p>
    <w:p>
      <w:pPr>
        <w:spacing w:after="100"/>
      </w:pPr>
      <w:r>
        <w:rPr>
          <w:i/>
          <w:iCs/>
        </w:rPr>
        <w:t xml:space="preserve">Open ODE-based PK simulation in R.</w:t>
      </w:r>
    </w:p>
    <w:p>
      <w:pPr>
        <w:spacing w:after="100"/>
      </w:pPr>
      <w:r>
        <w:t xml:space="preserve">Used widely for clinical trial simulation pre-NONMEM.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https://github.com/metrumresearchgroup/mrgsolve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 package.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GPL-2.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 exploratory simulation in the Phase1Planner; cheap, fast, and battle-tested.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Maintained by Metrum Research Group.</w:t>
      </w:r>
    </w:p>
    <w:p>
      <w:pPr>
        <w:pStyle w:val="Heading2"/>
      </w:pPr>
      <w:r>
        <w:t xml:space="preserve">4.3 DDI Prediction</w:t>
      </w:r>
    </w:p>
    <w:p>
      <w:pPr>
        <w:pStyle w:val="Heading4"/>
      </w:pPr>
      <w:r>
        <w:t xml:space="preserve">DeepDDI / DeepDDI2 (KAIST)</w:t>
      </w:r>
    </w:p>
    <w:p>
      <w:pPr>
        <w:spacing w:after="100"/>
      </w:pPr>
      <w:r>
        <w:rPr>
          <w:i/>
          <w:iCs/>
        </w:rPr>
        <w:t xml:space="preserve">GNN-based DDI predictor that outputs interaction class + mechanism.</w:t>
      </w:r>
    </w:p>
    <w:p>
      <w:pPr>
        <w:spacing w:after="100"/>
      </w:pPr>
      <w:r>
        <w:t xml:space="preserve">Trained on DrugBank DDIs; ~92 interaction types.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https://github.com/kaistsystemsbiology/deepddi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PyTorch.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Apache 2.0.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Phase1Planner DDI Module screening pre-clinical-DDI plan.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DeepDDI2 (2023) added RDKit-based feature update.</w:t>
      </w:r>
    </w:p>
    <w:p>
      <w:pPr>
        <w:pStyle w:val="Heading4"/>
      </w:pPr>
      <w:r>
        <w:t xml:space="preserve">DDInter (Chinese Academy of Sciences)</w:t>
      </w:r>
    </w:p>
    <w:p>
      <w:pPr>
        <w:spacing w:after="100"/>
      </w:pPr>
      <w:r>
        <w:rPr>
          <w:i/>
          <w:iCs/>
        </w:rPr>
        <w:t xml:space="preserve">Curated DDI database + ML predictors.</w:t>
      </w:r>
    </w:p>
    <w:p>
      <w:pPr>
        <w:spacing w:after="100"/>
      </w:pPr>
      <w:r>
        <w:t xml:space="preserve">200K+ DDI relationships with severity + management notes.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http://ddinter.scbdd.com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Phase1Planner DDI Module reference DB.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v2 (2025) integrates LLM-based mechanistic explanation.</w:t>
      </w:r>
    </w:p>
    <w:p>
      <w:pPr>
        <w:pStyle w:val="Heading4"/>
      </w:pPr>
      <w:r>
        <w:t xml:space="preserve">MUFFIN / DECAGON (graph-based multi-relational DDI)</w:t>
      </w:r>
    </w:p>
    <w:p>
      <w:pPr>
        <w:spacing w:after="100"/>
      </w:pPr>
      <w:r>
        <w:rPr>
          <w:i/>
          <w:iCs/>
        </w:rPr>
        <w:t xml:space="preserve">Graph-neural-network DDI predictors leveraging heterogeneous KGs.</w:t>
      </w:r>
    </w:p>
    <w:p>
      <w:pPr>
        <w:spacing w:after="100"/>
      </w:pPr>
      <w:r>
        <w:t xml:space="preserve">Stanford DECAGON pioneered the multi-relational GNN; MUFFIN added text-modality.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GitHub (per paper).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PyTorch + DGL.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MIT/Apache.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Research-tier; combine with curated databases for production.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—</w:t>
      </w:r>
    </w:p>
    <w:p>
      <w:pPr>
        <w:pStyle w:val="Heading4"/>
      </w:pPr>
      <w:r>
        <w:t xml:space="preserve">Simcyp / GastroPlus DDI modules (commercial PBPK)</w:t>
      </w:r>
    </w:p>
    <w:p>
      <w:pPr>
        <w:spacing w:after="100"/>
      </w:pPr>
      <w:r>
        <w:rPr>
          <w:i/>
          <w:iCs/>
        </w:rPr>
        <w:t xml:space="preserve">FDA-default mechanistic DDI prediction layer.</w:t>
      </w:r>
    </w:p>
    <w:p>
      <w:pPr>
        <w:spacing w:after="100"/>
      </w:pPr>
      <w:r>
        <w:t xml:space="preserve">PBPK simulation of victim/perpetrator scenarios.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Vendor-licensed.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Vendor API.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Bundled with PBPK platform.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Per-seat.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 DDI plan + waiver justifications.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FDA increasingly accepts PBPK-DDI in lieu of clinical DDI; Simcyp DDI module is the most cited.</w:t>
      </w:r>
    </w:p>
    <w:p>
      <w:pPr>
        <w:pStyle w:val="Heading2"/>
      </w:pPr>
      <w:r>
        <w:t xml:space="preserve">4.4 Adverse Event / Safety Prediction</w:t>
      </w:r>
    </w:p>
    <w:p>
      <w:pPr>
        <w:pStyle w:val="Heading4"/>
      </w:pPr>
      <w:r>
        <w:t xml:space="preserve">AwareDX (Columbia)</w:t>
      </w:r>
    </w:p>
    <w:p>
      <w:pPr>
        <w:spacing w:after="100"/>
      </w:pPr>
      <w:r>
        <w:rPr>
          <w:i/>
          <w:iCs/>
        </w:rPr>
        <w:t xml:space="preserve">Bias-corrected disproportionality from FAERS.</w:t>
      </w:r>
    </w:p>
    <w:p>
      <w:pPr>
        <w:spacing w:after="100"/>
      </w:pPr>
      <w:r>
        <w:t xml:space="preserve">Adjusts for sex- and age-confounding in FAERS reporting; produces calibrated AE risk estimates.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https://github.com/tatonetti-lab/AwareDX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Python + 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Academic.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Phase4Planner signal detection; Phase2 comparator AE benchmarks.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Tatonetti Lab maintained.</w:t>
      </w:r>
    </w:p>
    <w:p>
      <w:pPr>
        <w:pStyle w:val="Heading4"/>
      </w:pPr>
      <w:r>
        <w:t xml:space="preserve">OFFSIDES / TWOSIDES (Stanford)</w:t>
      </w:r>
    </w:p>
    <w:p>
      <w:pPr>
        <w:spacing w:after="100"/>
      </w:pPr>
      <w:r>
        <w:rPr>
          <w:i/>
          <w:iCs/>
        </w:rPr>
        <w:t xml:space="preserve">Off-label and two-drug interaction effect-size databases derived from FAERS.</w:t>
      </w:r>
    </w:p>
    <w:p>
      <w:pPr>
        <w:spacing w:after="100"/>
      </w:pPr>
      <w:r>
        <w:t xml:space="preserve">OFFSIDES: ~440K drug-side-effect; TWOSIDES: ~870K drug-pair effects.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https://nsides.io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Bulk + REST.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AE prior in Phase 1 IB drafting; DDI safety priors.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Originally Tatonetti Lab; refreshed quarterly.</w:t>
      </w:r>
    </w:p>
    <w:p>
      <w:pPr>
        <w:pStyle w:val="Heading4"/>
      </w:pPr>
      <w:r>
        <w:t xml:space="preserve">DeepFAERS / SafetyNet / pvLENS (deep models on FAERS)</w:t>
      </w:r>
    </w:p>
    <w:p>
      <w:pPr>
        <w:spacing w:after="100"/>
      </w:pPr>
      <w:r>
        <w:rPr>
          <w:i/>
          <w:iCs/>
        </w:rPr>
        <w:t xml:space="preserve">Deep-learning models trained on FAERS for AE prediction or signal calibration.</w:t>
      </w:r>
    </w:p>
    <w:p>
      <w:pPr>
        <w:spacing w:after="100"/>
      </w:pPr>
      <w:r>
        <w:t xml:space="preserve">Mostly research; SafetyNet (2023) used transformer over MedDRA term graph.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GitHub per paper.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Phase4 signal-detection R&amp;D.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Pair with classical PRR/MGPS for production.</w:t>
      </w:r>
    </w:p>
    <w:p>
      <w:pPr>
        <w:pStyle w:val="Heading4"/>
      </w:pPr>
      <w:r>
        <w:t xml:space="preserve">MetaADEDB / ADReCS (curated AE knowledge)</w:t>
      </w:r>
    </w:p>
    <w:p>
      <w:pPr>
        <w:spacing w:after="100"/>
      </w:pPr>
      <w:r>
        <w:rPr>
          <w:i/>
          <w:iCs/>
        </w:rPr>
        <w:t xml:space="preserve">Open AE knowledgebases.</w:t>
      </w:r>
    </w:p>
    <w:p>
      <w:pPr>
        <w:spacing w:after="100"/>
      </w:pPr>
      <w:r>
        <w:t xml:space="preserve">MetaADEDB integrates 13 AE sources; ADReCS standardizes AE term hierarchy.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MetaADEDB and ADReCS portals.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Academic.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 IB AE-section drafting.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—</w:t>
      </w:r>
    </w:p>
    <w:p>
      <w:pPr>
        <w:pStyle w:val="Heading2"/>
      </w:pPr>
      <w:r>
        <w:t xml:space="preserve">4.5 Patient Recruitment &amp; Feasibility</w:t>
      </w:r>
    </w:p>
    <w:p>
      <w:pPr>
        <w:pStyle w:val="Heading4"/>
      </w:pPr>
      <w:r>
        <w:t xml:space="preserve">TrialGPT (NIH NLM)</w:t>
      </w:r>
    </w:p>
    <w:p>
      <w:pPr>
        <w:spacing w:after="100"/>
      </w:pPr>
      <w:r>
        <w:rPr>
          <w:i/>
          <w:iCs/>
        </w:rPr>
        <w:t xml:space="preserve">Open NIH-published LLM agent that matches patients to ClinicalTrials.gov trials.</w:t>
      </w:r>
    </w:p>
    <w:p>
      <w:pPr>
        <w:spacing w:after="100"/>
      </w:pPr>
      <w:r>
        <w:t xml:space="preserve">Three-stage retrieval-and-explanation pipeline; outperforms zero-shot GPT-4 on TREC-CT match benchmarks.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https://github.com/ncbi/TrialGPT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Python; uses GPT-4 or open LLM as backbone.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Self-host + LLM-token cost.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Apache 2.0.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site-feasibility + patient-pre-screening.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JAMA 2024 paper validated on real-world patients.</w:t>
      </w:r>
    </w:p>
    <w:p>
      <w:pPr>
        <w:pStyle w:val="Heading4"/>
      </w:pPr>
      <w:r>
        <w:t xml:space="preserve">Criteria2Query (Columbia)</w:t>
      </w:r>
    </w:p>
    <w:p>
      <w:pPr>
        <w:spacing w:after="100"/>
      </w:pPr>
      <w:r>
        <w:rPr>
          <w:i/>
          <w:iCs/>
        </w:rPr>
        <w:t xml:space="preserve">Rule-based + LLM tool that converts free-text eligibility into structured OMOP queries.</w:t>
      </w:r>
    </w:p>
    <w:p>
      <w:pPr>
        <w:spacing w:after="100"/>
      </w:pPr>
      <w:r>
        <w:t xml:space="preserve">Ingests eligibility criteria text; outputs OMOP CDM-compatible cohort definitions.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https://github.com/WengLab-InformaticsResearch/Criteria2Query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Python + REST.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Apache.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feasibility + Phase4 RWE eligibility design.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Pairs naturally with TriNetX / OHDSI.</w:t>
      </w:r>
    </w:p>
    <w:p>
      <w:pPr>
        <w:pStyle w:val="Heading4"/>
      </w:pPr>
      <w:r>
        <w:t xml:space="preserve">Mendel.ai / Deep 6 AI / Antidote / Trials.ai</w:t>
      </w:r>
    </w:p>
    <w:p>
      <w:pPr>
        <w:spacing w:after="100"/>
      </w:pPr>
      <w:r>
        <w:rPr>
          <w:i/>
          <w:iCs/>
        </w:rPr>
        <w:t xml:space="preserve">Commercial NLP-driven trial-matching platforms used by sites and sponsors.</w:t>
      </w:r>
    </w:p>
    <w:p>
      <w:pPr>
        <w:spacing w:after="100"/>
      </w:pPr>
      <w:r>
        <w:t xml:space="preserve">Each layers proprietary NLP on top of partner EHRs.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Vendor portals.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Per-trial / per-site.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site-side recruitment.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Deep 6 acquired by Tempus (2024).</w:t>
      </w:r>
    </w:p>
    <w:p>
      <w:pPr>
        <w:pStyle w:val="Heading4"/>
      </w:pPr>
      <w:r>
        <w:t xml:space="preserve">IQVIA Recruitment Optimizer / Saama Smart Recruitment</w:t>
      </w:r>
    </w:p>
    <w:p>
      <w:pPr>
        <w:spacing w:after="100"/>
      </w:pPr>
      <w:r>
        <w:rPr>
          <w:i/>
          <w:iCs/>
        </w:rPr>
        <w:t xml:space="preserve">Sponsor-side feasibility + recruitment-prediction platforms.</w:t>
      </w:r>
    </w:p>
    <w:p>
      <w:pPr>
        <w:spacing w:after="100"/>
      </w:pPr>
      <w:r>
        <w:t xml:space="preserve">Use ML on historical site-performance to forecast enrolment.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Bundled.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Phase3 site selection.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—</w:t>
      </w:r>
    </w:p>
    <w:p>
      <w:pPr>
        <w:pStyle w:val="Heading2"/>
      </w:pPr>
      <w:r>
        <w:t xml:space="preserve">4.6 Synthetic Control Arms &amp; Endpoint Prediction</w:t>
      </w:r>
    </w:p>
    <w:p>
      <w:pPr>
        <w:pStyle w:val="Heading4"/>
      </w:pPr>
      <w:r>
        <w:t xml:space="preserve">Unlearn.AI (PROCOVA + Digital Twins)</w:t>
      </w:r>
    </w:p>
    <w:p>
      <w:pPr>
        <w:spacing w:after="100"/>
      </w:pPr>
      <w:r>
        <w:rPr>
          <w:i/>
          <w:iCs/>
        </w:rPr>
        <w:t xml:space="preserve">FDA-qualified for some indications. Generates patient-level digital twins as prognostic covariates.</w:t>
      </w:r>
    </w:p>
    <w:p>
      <w:pPr>
        <w:spacing w:after="100"/>
      </w:pPr>
      <w:r>
        <w:t xml:space="preserve">Twin model trained on disease-specific RWD; reduces required Phase 2/3 sample size by ~25–35%.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https://www.unlearn.ai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 partnership.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TWIN-RCT integration with Medidata Rave + Veeva.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Per-trial.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Indication-by-indication FDA qualification.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sample-size reduction; Phase3 partial synthetic controls.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FDA Letter of Support for Alzheimer's (2023) and ALS (2024); EMA Qualification Opinion 2023.</w:t>
      </w:r>
    </w:p>
    <w:p>
      <w:pPr>
        <w:pStyle w:val="Heading4"/>
      </w:pPr>
      <w:r>
        <w:t xml:space="preserve">Medidata SCA (Acorn AI)</w:t>
      </w:r>
    </w:p>
    <w:p>
      <w:pPr>
        <w:spacing w:after="100"/>
      </w:pPr>
      <w:r>
        <w:rPr>
          <w:i/>
          <w:iCs/>
        </w:rPr>
        <w:t xml:space="preserve">Synthetic control arm built from Medidata's historical clinical-trial repository.</w:t>
      </w:r>
    </w:p>
    <w:p>
      <w:pPr>
        <w:spacing w:after="100"/>
      </w:pPr>
      <w:r>
        <w:t xml:space="preserve">Operates entirely on prior trial data — advantage: regulator-familiar; disadvantage: limited to indications with prior Medidata trials.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Medidata portal.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Bundled with Rave.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Per-trial.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 PoC; sometimes Phase3 control augmentation.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FDA accepted in selected oncology Phase 3 (e.g., R/R cancers).</w:t>
      </w:r>
    </w:p>
    <w:p>
      <w:pPr>
        <w:pStyle w:val="Heading4"/>
      </w:pPr>
      <w:r>
        <w:t xml:space="preserve">Flatiron + Aetion synthetic controls (oncology)</w:t>
      </w:r>
    </w:p>
    <w:p>
      <w:pPr>
        <w:spacing w:after="100"/>
      </w:pPr>
      <w:r>
        <w:rPr>
          <w:i/>
          <w:iCs/>
        </w:rPr>
        <w:t xml:space="preserve">Real-world-data synthetic controls for oncology Phase 2/3.</w:t>
      </w:r>
    </w:p>
    <w:p>
      <w:pPr>
        <w:spacing w:after="100"/>
      </w:pPr>
      <w:r>
        <w:t xml:space="preserve">Flatiron RWD as control arm; Aetion analytics to demonstrate balance.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Per-trial.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Oncology only.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oncology enrichment.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FDA Project Pragmatica encourages this design.</w:t>
      </w:r>
    </w:p>
    <w:p>
      <w:pPr>
        <w:pStyle w:val="Heading2"/>
      </w:pPr>
      <w:r>
        <w:t xml:space="preserve">4.7 Dropout / Retention Prediction</w:t>
      </w:r>
    </w:p>
    <w:p>
      <w:pPr>
        <w:pStyle w:val="Heading4"/>
      </w:pPr>
      <w:r>
        <w:t xml:space="preserve">Custom XGBoost / LSTM / Transformer dropout models</w:t>
      </w:r>
    </w:p>
    <w:p>
      <w:pPr>
        <w:spacing w:after="100"/>
      </w:pPr>
      <w:r>
        <w:rPr>
          <w:i/>
          <w:iCs/>
        </w:rPr>
        <w:t xml:space="preserve">No off-the-shelf gold standard yet. Most sponsors build custom models on prior trial-conduct data.</w:t>
      </w:r>
    </w:p>
    <w:p>
      <w:pPr>
        <w:spacing w:after="100"/>
      </w:pPr>
      <w:r>
        <w:t xml:space="preserve">Features: site quality, patient burden, visit complexity, geography, historical retention.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Build internal.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Internal.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Internal R&amp;D.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 site allocation + protocol simplification.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Recommended internal Hakase deliverable; trains on Medidata + Veeva eTMF + sponsor history.</w:t>
      </w:r>
    </w:p>
    <w:p>
      <w:pPr>
        <w:pStyle w:val="Heading4"/>
      </w:pPr>
      <w:r>
        <w:t xml:space="preserve">Saama / Medidata predictive site monitoring</w:t>
      </w:r>
    </w:p>
    <w:p>
      <w:pPr>
        <w:spacing w:after="100"/>
      </w:pPr>
      <w:r>
        <w:rPr>
          <w:i/>
          <w:iCs/>
        </w:rPr>
        <w:t xml:space="preserve">Vendor risk-based monitoring + dropout prediction modules.</w:t>
      </w:r>
    </w:p>
    <w:p>
      <w:pPr>
        <w:spacing w:after="100"/>
      </w:pPr>
      <w:r>
        <w:t xml:space="preserve">Anomaly detection on site behaviour patterns.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Bundled.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Bundled.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Phase3 RBM.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ICH E6(R3) (2023) explicitly endorses risk-based monitoring + AI tools.</w:t>
      </w:r>
    </w:p>
    <w:p>
      <w:pPr>
        <w:pStyle w:val="Heading2"/>
      </w:pPr>
      <w:r>
        <w:t xml:space="preserve">4.8 Protocol Authoring &amp; Optimization</w:t>
      </w:r>
    </w:p>
    <w:p>
      <w:pPr>
        <w:pStyle w:val="Heading4"/>
      </w:pPr>
      <w:r>
        <w:t xml:space="preserve">Faro Health (now part of Datavant)</w:t>
      </w:r>
    </w:p>
    <w:p>
      <w:pPr>
        <w:spacing w:after="100"/>
      </w:pPr>
      <w:r>
        <w:rPr>
          <w:i/>
          <w:iCs/>
        </w:rPr>
        <w:t xml:space="preserve">Structured protocol authoring with operational-feasibility scoring.</w:t>
      </w:r>
    </w:p>
    <w:p>
      <w:pPr>
        <w:spacing w:after="100"/>
      </w:pPr>
      <w:r>
        <w:t xml:space="preserve">Captures protocol as structured data; flags procedure burden, schedule complexity.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Per-program.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Phase1–3 protocol authoring.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Datavant acquired Faro 2024.</w:t>
      </w:r>
    </w:p>
    <w:p>
      <w:pPr>
        <w:pStyle w:val="Heading4"/>
      </w:pPr>
      <w:r>
        <w:t xml:space="preserve">Triomics</w:t>
      </w:r>
    </w:p>
    <w:p>
      <w:pPr>
        <w:spacing w:after="100"/>
      </w:pPr>
      <w:r>
        <w:rPr>
          <w:i/>
          <w:iCs/>
        </w:rPr>
        <w:t xml:space="preserve">Oncology-focused AI clinical-research platform with protocol extraction + matching.</w:t>
      </w:r>
    </w:p>
    <w:p>
      <w:pPr>
        <w:spacing w:after="100"/>
      </w:pPr>
      <w:r>
        <w:t xml:space="preserve">LLM agents extract eligibility + assessments from PDF protocols.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Per-program.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Oncology Phase1–3.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Tempus invested 2024.</w:t>
      </w:r>
    </w:p>
    <w:p>
      <w:pPr>
        <w:pStyle w:val="Heading4"/>
      </w:pPr>
      <w:r>
        <w:t xml:space="preserve">Custom Claude / GPT-4 protocol agents</w:t>
      </w:r>
    </w:p>
    <w:p>
      <w:pPr>
        <w:spacing w:after="100"/>
      </w:pPr>
      <w:r>
        <w:rPr>
          <w:i/>
          <w:iCs/>
        </w:rPr>
        <w:t xml:space="preserve">Frontier-LLM agents for first-pass synopsis, full-protocol drafting, and ICH-checklist QA.</w:t>
      </w:r>
    </w:p>
    <w:p>
      <w:pPr>
        <w:spacing w:after="100"/>
      </w:pPr>
      <w:r>
        <w:t xml:space="preserve">Pair retrieval (PubMed/CT.gov/Cortellis) + structured-output prompting + ICH checklist verifier.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Anthropic / OpenAI API.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BAA.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Per-token.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Verify zero-retention + BAA.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Phase1–4 Planner backbones.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Recommended primary agent layer for the Hakase MVP.</w:t>
      </w:r>
    </w:p>
    <w:p>
      <w:pPr>
        <w:pStyle w:val="Heading4"/>
      </w:pPr>
      <w:r>
        <w:t xml:space="preserve">ICH M11 structured protocol</w:t>
      </w:r>
    </w:p>
    <w:p>
      <w:pPr>
        <w:spacing w:after="100"/>
      </w:pPr>
      <w:r>
        <w:rPr>
          <w:i/>
          <w:iCs/>
        </w:rPr>
        <w:t xml:space="preserve">Not a model — the protocol *standard* the LLMs should target.</w:t>
      </w:r>
    </w:p>
    <w:p>
      <w:pPr>
        <w:spacing w:after="100"/>
      </w:pPr>
      <w:r>
        <w:t xml:space="preserve">ICH M11 Common Protocol Template is the upcoming structured-protocol exchange standard.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https://www.ich.org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 standard.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Output schema for all Phase Planner protocol generators.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Step 4 sign-off May 2024; FDA/EMA pilot acceptance 2025.</w:t>
      </w:r>
    </w:p>
    <w:p>
      <w:pPr>
        <w:pStyle w:val="Heading2"/>
      </w:pPr>
      <w:r>
        <w:t xml:space="preserve">4.9 Imaging Biomarkers</w:t>
      </w:r>
    </w:p>
    <w:p>
      <w:pPr>
        <w:pStyle w:val="Heading4"/>
      </w:pPr>
      <w:r>
        <w:t xml:space="preserve">PathAI / Paige (digital pathology)</w:t>
      </w:r>
    </w:p>
    <w:p>
      <w:pPr>
        <w:spacing w:after="100"/>
      </w:pPr>
      <w:r>
        <w:rPr>
          <w:i/>
          <w:iCs/>
        </w:rPr>
        <w:t xml:space="preserve">FDA-cleared deep-learning pathology platforms for tumour quantification + biomarker scoring.</w:t>
      </w:r>
    </w:p>
    <w:p>
      <w:pPr>
        <w:spacing w:after="100"/>
      </w:pPr>
      <w:r>
        <w:t xml:space="preserve">PathAI: oncology-trial pathology partner; Paige.AI: prostate-cancer + breast-cancer FDA-cleared.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Per-program.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Oncology Phase2/3 imaging endpoints.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Paige Prostate AI v1.5 cleared 2023.</w:t>
      </w:r>
    </w:p>
    <w:p>
      <w:pPr>
        <w:pStyle w:val="Heading4"/>
      </w:pPr>
      <w:r>
        <w:t xml:space="preserve">Aidoc / HeartFlow / Cleerly (radiology + cardiology)</w:t>
      </w:r>
    </w:p>
    <w:p>
      <w:pPr>
        <w:spacing w:after="100"/>
      </w:pPr>
      <w:r>
        <w:rPr>
          <w:i/>
          <w:iCs/>
        </w:rPr>
        <w:t xml:space="preserve">FDA-cleared radiology AI suites — stroke triage, LVO, PE, plaque quantification.</w:t>
      </w:r>
    </w:p>
    <w:p>
      <w:pPr>
        <w:spacing w:after="100"/>
      </w:pPr>
      <w:r>
        <w:t xml:space="preserve">Cleerly: AI-derived plaque metrics from coronary CT — increasingly used as a CV trial endpoint.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Per-trial.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CV Phase 2/3 imaging endpoints.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Cleerly received expanded FDA clearance 2024.</w:t>
      </w:r>
    </w:p>
    <w:p>
      <w:pPr>
        <w:pStyle w:val="Heading4"/>
      </w:pPr>
      <w:r>
        <w:t xml:space="preserve">MedSAM / Med-Gemini-Multimodal / RadFM</w:t>
      </w:r>
    </w:p>
    <w:p>
      <w:pPr>
        <w:spacing w:after="100"/>
      </w:pPr>
      <w:r>
        <w:rPr>
          <w:i/>
          <w:iCs/>
        </w:rPr>
        <w:t xml:space="preserve">Open-weight foundation models for medical imaging segmentation + reporting.</w:t>
      </w:r>
    </w:p>
    <w:p>
      <w:pPr>
        <w:spacing w:after="100"/>
      </w:pPr>
      <w:r>
        <w:t xml:space="preserve">MedSAM: segmentation; RadFM: radiology multimodal LLM; Med-Gemini-Multimodal: closed.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GitHub / HuggingFace.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Per-licence.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R&amp;D imaging-endpoint pipelines.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Verify clinical validation before regulatory use.</w:t>
      </w:r>
    </w:p>
    <w:p>
      <w:pPr>
        <w:pStyle w:val="Heading2"/>
      </w:pPr>
      <w:r>
        <w:t xml:space="preserve">4.10 Genomics / Target Validation</w:t>
      </w:r>
    </w:p>
    <w:p>
      <w:pPr>
        <w:pStyle w:val="Heading4"/>
      </w:pPr>
      <w:r>
        <w:t xml:space="preserve">AlphaFold 2 / 3 / OpenFold (DeepMind + Meta + community)</w:t>
      </w:r>
    </w:p>
    <w:p>
      <w:pPr>
        <w:spacing w:after="100"/>
      </w:pPr>
      <w:r>
        <w:rPr>
          <w:i/>
          <w:iCs/>
        </w:rPr>
        <w:t xml:space="preserve">Protein-structure prediction. AlphaFold 3 (2024) extends to ligands + nucleic acids.</w:t>
      </w:r>
    </w:p>
    <w:p>
      <w:pPr>
        <w:spacing w:after="100"/>
      </w:pPr>
      <w:r>
        <w:t xml:space="preserve">AlphaFold DB has 200M+ predicted structures; AlphaFold Server for AF3-style queries.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https://alphafold.ebi.ac.uk  |  https://alphafoldserver.com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 for DB; AF3 server has commercial tier.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Bulk download; AF3 server REST.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 for non-commercial; Isomorphic Labs commercial AF3.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AF3 has commercial licence.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Pre-Phase 2 target structure; not a Phase1+ runtime dependency.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Pairs with NVIDIA BioNeMo for GPU-accelerated runs.</w:t>
      </w:r>
    </w:p>
    <w:p>
      <w:pPr>
        <w:pStyle w:val="Heading4"/>
      </w:pPr>
      <w:r>
        <w:t xml:space="preserve">ESM-2 / ESM-3 (Meta / EvolutionaryScale)</w:t>
      </w:r>
    </w:p>
    <w:p>
      <w:pPr>
        <w:spacing w:after="100"/>
      </w:pPr>
      <w:r>
        <w:rPr>
          <w:i/>
          <w:iCs/>
        </w:rPr>
        <w:t xml:space="preserve">Protein language models for sequence representation + design.</w:t>
      </w:r>
    </w:p>
    <w:p>
      <w:pPr>
        <w:spacing w:after="100"/>
      </w:pPr>
      <w:r>
        <w:t xml:space="preserve">ESM-2 weights 8M–15B; ESM-3 (2024) is multi-track (sequence/structure/function).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https://github.com/facebookresearch/esm  |  https://huggingface.co/EvolutionaryScale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 for ESM-2; ESM-3 has commercial tier.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PyTorch / HuggingFace.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Per-licence.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Pre-Phase 2 target embedding; biologics design (out of small-molecule MVP scope).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EvolutionaryScale spun out of Meta in 2024.</w:t>
      </w:r>
    </w:p>
    <w:p>
      <w:pPr>
        <w:pStyle w:val="Heading4"/>
      </w:pPr>
      <w:r>
        <w:t xml:space="preserve">Geneformer / scGPT / UCE (single-cell foundation models)</w:t>
      </w:r>
    </w:p>
    <w:p>
      <w:pPr>
        <w:spacing w:after="100"/>
      </w:pPr>
      <w:r>
        <w:rPr>
          <w:i/>
          <w:iCs/>
        </w:rPr>
        <w:t xml:space="preserve">Transformer foundation models for single-cell transcriptomics.</w:t>
      </w:r>
    </w:p>
    <w:p>
      <w:pPr>
        <w:spacing w:after="100"/>
      </w:pPr>
      <w:r>
        <w:t xml:space="preserve">Geneformer (Broad), scGPT (Toronto), Universal Cell Embeddings (Tabula Sapiens).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HuggingFace / GitHub.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Self-host.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Per-licence.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Target validation pre-Phase 2; biomarker discovery.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Geneformer v2 (2024) added in-silico perturbation.</w:t>
      </w:r>
    </w:p>
    <w:p>
      <w:pPr>
        <w:pStyle w:val="Heading4"/>
      </w:pPr>
      <w:r>
        <w:t xml:space="preserve">NVIDIA BioNeMo</w:t>
      </w:r>
    </w:p>
    <w:p>
      <w:pPr>
        <w:spacing w:after="100"/>
      </w:pPr>
      <w:r>
        <w:rPr>
          <w:i/>
          <w:iCs/>
        </w:rPr>
        <w:t xml:space="preserve">GPU-accelerated bio foundation-model platform; hosts AlphaFold, ESM, MolMIM, OpenFold.</w:t>
      </w:r>
    </w:p>
    <w:p>
      <w:pPr>
        <w:spacing w:after="100"/>
      </w:pPr>
      <w:r>
        <w:t xml:space="preserve">DGX Cloud + NIM microservices for bio inference.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https://www.nvidia.com/en-us/clara/bionemo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NVIDIA AI Enterprise / 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NIM REST.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Per-GPU-hour.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Pre-clinical bio modelling; light Phase 1 use.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BioNeMo 2.0 (2024) added Evo + RFdiffusion.</w:t>
      </w:r>
    </w:p>
    <w:p>
      <w:pPr>
        <w:pStyle w:val="Heading4"/>
      </w:pPr>
      <w:r>
        <w:t xml:space="preserve">Open Targets ML pipelines</w:t>
      </w:r>
    </w:p>
    <w:p>
      <w:pPr>
        <w:spacing w:after="100"/>
      </w:pPr>
      <w:r>
        <w:rPr>
          <w:i/>
          <w:iCs/>
        </w:rPr>
        <w:t xml:space="preserve">Target-disease evidence integrator with ML-derived scores (already covered in Databases section).</w:t>
      </w:r>
    </w:p>
    <w:p>
      <w:pPr>
        <w:spacing w:after="100"/>
      </w:pPr>
      <w:r>
        <w:t xml:space="preserve">Genetic, somatic, expression, animal, drug, literature integration.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https://platform.opentargets.org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GraphQL.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 indication selection.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Target prioritisation API mature; ML score versioned with each release.</w:t>
      </w:r>
    </w:p>
    <w:p>
      <w:pPr>
        <w:pStyle w:val="Heading2"/>
      </w:pPr>
      <w:r>
        <w:t xml:space="preserve">4.11 EHR / Clinical NLP</w:t>
      </w:r>
    </w:p>
    <w:p>
      <w:pPr>
        <w:pStyle w:val="Heading4"/>
      </w:pPr>
      <w:r>
        <w:t xml:space="preserve">cTAKES (Mayo + Apache)</w:t>
      </w:r>
    </w:p>
    <w:p>
      <w:pPr>
        <w:spacing w:after="100"/>
      </w:pPr>
      <w:r>
        <w:rPr>
          <w:i/>
          <w:iCs/>
        </w:rPr>
        <w:t xml:space="preserve">Apache-licensed clinical NLP pipeline; UMLS entity recognition.</w:t>
      </w:r>
    </w:p>
    <w:p>
      <w:pPr>
        <w:spacing w:after="100"/>
      </w:pPr>
      <w:r>
        <w:t xml:space="preserve">Java; long-time gold standard for de-identified EHR extraction.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https://ctakes.apache.org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Java SDK.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Apache 2.0.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Phase4 RWE pipelines.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Maintenance-mode; better-performing transformer models exist but cTAKES remains regulator-friendly.</w:t>
      </w:r>
    </w:p>
    <w:p>
      <w:pPr>
        <w:pStyle w:val="Heading4"/>
      </w:pPr>
      <w:r>
        <w:t xml:space="preserve">MedSpaCy / Stanza-Bio / Clinical-NER</w:t>
      </w:r>
    </w:p>
    <w:p>
      <w:pPr>
        <w:spacing w:after="100"/>
      </w:pPr>
      <w:r>
        <w:rPr>
          <w:i/>
          <w:iCs/>
        </w:rPr>
        <w:t xml:space="preserve">Modern Python clinical-NLP pipelines.</w:t>
      </w:r>
    </w:p>
    <w:p>
      <w:pPr>
        <w:spacing w:after="100"/>
      </w:pPr>
      <w:r>
        <w:t xml:space="preserve">MedSpaCy: spaCy-native; Stanza-Bio: Stanford; both OSS.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GitHub / PyPI.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Python.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Per-licence.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Phase2/3/4 NLP pipelines.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MedSpaCy 1.0 (2024).</w:t>
      </w:r>
    </w:p>
    <w:p>
      <w:pPr>
        <w:pStyle w:val="Heading4"/>
      </w:pPr>
      <w:r>
        <w:t xml:space="preserve">Amazon Comprehend Medical / Google Healthcare NL / Microsoft Text Analytics for Health</w:t>
      </w:r>
    </w:p>
    <w:p>
      <w:pPr>
        <w:spacing w:after="100"/>
      </w:pPr>
      <w:r>
        <w:rPr>
          <w:i/>
          <w:iCs/>
        </w:rPr>
        <w:t xml:space="preserve">Cloud-hosted clinical-NLP services with HIPAA BAA.</w:t>
      </w:r>
    </w:p>
    <w:p>
      <w:pPr>
        <w:spacing w:after="100"/>
      </w:pPr>
      <w:r>
        <w:t xml:space="preserve">PHI detection + entity extraction at API scale.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Each cloud's portal.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Cloud account + BAA.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 + SDK.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Per-request.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Phase4 RWE preprocessing.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PHI redaction is the most-cited use.</w:t>
      </w:r>
    </w:p>
    <w:p>
      <w:pPr>
        <w:pStyle w:val="Heading4"/>
      </w:pPr>
      <w:r>
        <w:t xml:space="preserve">Linguamatics I2E (IQVIA)</w:t>
      </w:r>
    </w:p>
    <w:p>
      <w:pPr>
        <w:spacing w:after="100"/>
      </w:pPr>
      <w:r>
        <w:rPr>
          <w:i/>
          <w:iCs/>
        </w:rPr>
        <w:t xml:space="preserve">Commercial enterprise NLP.</w:t>
      </w:r>
    </w:p>
    <w:p>
      <w:pPr>
        <w:spacing w:after="100"/>
      </w:pPr>
      <w:r>
        <w:t xml:space="preserve">Used heavily in pharma R&amp;D for literature mining.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Subscription.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Cross-cutting evidence synthesis.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IQVIA-owned since 2019.</w:t>
      </w:r>
    </w:p>
    <w:p>
      <w:pPr>
        <w:pStyle w:val="Heading2"/>
      </w:pPr>
      <w:r>
        <w:t xml:space="preserve">4.12 Pharmacovigilance Signal Detection</w:t>
      </w:r>
    </w:p>
    <w:p>
      <w:pPr>
        <w:pStyle w:val="Heading4"/>
      </w:pPr>
      <w:r>
        <w:t xml:space="preserve">Empirica Signal (Oracle Health Sciences)</w:t>
      </w:r>
    </w:p>
    <w:p>
      <w:pPr>
        <w:spacing w:after="100"/>
      </w:pPr>
      <w:r>
        <w:rPr>
          <w:i/>
          <w:iCs/>
        </w:rPr>
        <w:t xml:space="preserve">MGPS-based signal-detection on FAERS/EudraVigilance/VigiBase. Industry workhorse.</w:t>
      </w:r>
    </w:p>
    <w:p>
      <w:pPr>
        <w:spacing w:after="100"/>
      </w:pPr>
      <w:r>
        <w:t xml:space="preserve">Multi-item Gamma Poisson Shrinker; Bayesian disproportionality.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Subscription.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Phase4 PV.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Often paired with Aris Global LifeSphere or Veeva Vault Safety.</w:t>
      </w:r>
    </w:p>
    <w:p>
      <w:pPr>
        <w:pStyle w:val="Heading4"/>
      </w:pPr>
      <w:r>
        <w:t xml:space="preserve">Aris Global LifeSphere Multivigilance</w:t>
      </w:r>
    </w:p>
    <w:p>
      <w:pPr>
        <w:spacing w:after="100"/>
      </w:pPr>
      <w:r>
        <w:rPr>
          <w:i/>
          <w:iCs/>
        </w:rPr>
        <w:t xml:space="preserve">Cloud-native PV case-management + signal detection.</w:t>
      </w:r>
    </w:p>
    <w:p>
      <w:pPr>
        <w:spacing w:after="100"/>
      </w:pPr>
      <w:r>
        <w:t xml:space="preserve">End-to-end ICSR processing + signal management.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Vendor.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Commercial.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Subscription.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Phase4 PV.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—</w:t>
      </w:r>
    </w:p>
    <w:p>
      <w:pPr>
        <w:pStyle w:val="Heading4"/>
      </w:pPr>
      <w:r>
        <w:t xml:space="preserve">BCPNN (Uppsala) / openEBGM (open R)</w:t>
      </w:r>
    </w:p>
    <w:p>
      <w:pPr>
        <w:spacing w:after="100"/>
      </w:pPr>
      <w:r>
        <w:rPr>
          <w:i/>
          <w:iCs/>
        </w:rPr>
        <w:t xml:space="preserve">Open Bayesian disproportionality methods.</w:t>
      </w:r>
    </w:p>
    <w:p>
      <w:pPr>
        <w:spacing w:after="100"/>
      </w:pPr>
      <w:r>
        <w:t xml:space="preserve">BCPNN: original VigiBase signal algorithm; openEBGM: R port of MGPS.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https://cran.r-project.org/web/packages/openEBGM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Public.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Free.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—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MVP-tier PV detection without Empirica licence.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Recommended for the Hakase MVP Phase4Planner.</w:t>
      </w:r>
    </w:p>
    <w:p>
      <w:pPr>
        <w:pStyle w:val="Heading4"/>
      </w:pPr>
      <w:r>
        <w:t xml:space="preserve">Clinical-AE LLM agents (custom)</w:t>
      </w:r>
    </w:p>
    <w:p>
      <w:pPr>
        <w:spacing w:after="100"/>
      </w:pPr>
      <w:r>
        <w:rPr>
          <w:i/>
          <w:iCs/>
        </w:rPr>
        <w:t xml:space="preserve">Frontier-LLM extraction of AE narratives from social-media + literature + EHR.</w:t>
      </w:r>
    </w:p>
    <w:p>
      <w:pPr>
        <w:spacing w:after="100"/>
      </w:pPr>
      <w:r>
        <w:t xml:space="preserve">Useful for early signal narratives; not a regulator-default.</w:t>
      </w:r>
    </w:p>
    <w:p>
      <w:pPr>
        <w:spacing w:after="40"/>
      </w:pPr>
      <w:r>
        <w:rPr>
          <w:b/>
          <w:bCs/>
        </w:rPr>
        <w:t xml:space="preserve">Access: </w:t>
      </w:r>
      <w:r>
        <w:t xml:space="preserve">Anthropic / OpenAI API.</w:t>
      </w:r>
    </w:p>
    <w:p>
      <w:pPr>
        <w:spacing w:after="40"/>
      </w:pPr>
      <w:r>
        <w:rPr>
          <w:b/>
          <w:bCs/>
        </w:rPr>
        <w:t xml:space="preserve">Registration: </w:t>
      </w:r>
      <w:r>
        <w:t xml:space="preserve">BAA.</w:t>
      </w:r>
    </w:p>
    <w:p>
      <w:pPr>
        <w:spacing w:after="40"/>
      </w:pPr>
      <w:r>
        <w:rPr>
          <w:b/>
          <w:bCs/>
        </w:rPr>
        <w:t xml:space="preserve">API / Dumps: </w:t>
      </w:r>
      <w:r>
        <w:t xml:space="preserve">REST.</w:t>
      </w:r>
    </w:p>
    <w:p>
      <w:pPr>
        <w:spacing w:after="40"/>
      </w:pPr>
      <w:r>
        <w:rPr>
          <w:b/>
          <w:bCs/>
        </w:rPr>
        <w:t xml:space="preserve">Cost / Tier: </w:t>
      </w:r>
      <w:r>
        <w:t xml:space="preserve">Per-token.</w:t>
      </w:r>
    </w:p>
    <w:p>
      <w:pPr>
        <w:spacing w:after="40"/>
      </w:pPr>
      <w:r>
        <w:rPr>
          <w:b/>
          <w:bCs/>
        </w:rPr>
        <w:t xml:space="preserve">Restrictions: </w:t>
      </w:r>
      <w:r>
        <w:t xml:space="preserve">Validate carefully.</w:t>
      </w:r>
    </w:p>
    <w:p>
      <w:pPr>
        <w:spacing w:after="40"/>
      </w:pPr>
      <w:r>
        <w:rPr>
          <w:b/>
          <w:bCs/>
        </w:rPr>
        <w:t xml:space="preserve">Hakase Clinical fit: </w:t>
      </w:r>
      <w:r>
        <w:t xml:space="preserve">Phase4 signal narrative; early-warning.</w:t>
      </w:r>
    </w:p>
    <w:p>
      <w:pPr>
        <w:spacing w:after="40"/>
      </w:pPr>
      <w:r>
        <w:rPr>
          <w:b/>
          <w:bCs/>
        </w:rPr>
        <w:t xml:space="preserve">Notes / 2025 updates: </w:t>
      </w:r>
      <w:r>
        <w:t xml:space="preserve">Pair with Empirica/openEBGM — LLM is the narrative layer, classical stats remain the trigger.</w:t>
      </w:r>
    </w:p>
    <w:p>
      <w:r>
        <w:br w:type="page"/>
      </w:r>
    </w:p>
    <w:p>
      <w:pPr>
        <w:pStyle w:val="Heading1"/>
      </w:pPr>
      <w:r>
        <w:t xml:space="preserve">5. Per-Phase Mapping</w:t>
      </w:r>
    </w:p>
    <w:p>
      <w:pPr>
        <w:spacing w:after="100"/>
      </w:pPr>
      <w:r>
        <w:t xml:space="preserve">Each phase below has two tables: Sub-stage → Databases, and Sub-stage → AI Models. Mappings show only the most-direct dependencies; cross-cutting sources (PubMed, ClinicalTrials.gov, FAERS, foundation LLMs) apply everywhere and are listed once.</w:t>
      </w:r>
    </w:p>
    <w:p>
      <w:pPr>
        <w:pStyle w:val="Heading2"/>
      </w:pPr>
      <w:r>
        <w:t xml:space="preserve">5.1 Phase 1 — First-in-Human</w:t>
      </w:r>
    </w:p>
    <w:p>
      <w:pPr>
        <w:spacing w:after="100"/>
      </w:pPr>
      <w:r>
        <w:t xml:space="preserve">Phase 1 is the most package-driven phase. Most inputs come from the L4 PreClinicalPackage; external data is needed mainly for class-comparison priors and DDI/special-population modelling.</w:t>
      </w:r>
    </w:p>
    <w:p>
      <w:pPr>
        <w:pStyle w:val="Heading3"/>
      </w:pPr>
      <w:r>
        <w:t xml:space="preserve">5.1.a Sub-stage →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Sub-stage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Direct DB inputs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SAD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 package; OpenFDA Drug Label; PK-DB; ChEMBL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 PK priors; FIH dose validation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MAD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 28d/90d tox; OpenFDA Drug Label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Repeat-dose ceiling; accumulation priors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 effect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 formulationResult; DailyMed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BCS-class trigger; precedent food-effect data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DDI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DrugBank; ChEMBL; DDInter; OpenFDA Drug Label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CYP/transporter probe selection; PBPK setup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TQT / C-QTc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OpenFDA Drug Label; FAERS (QT signals)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hERG triggers; comparator QT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Special pop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OpenFDA Drug Label; CPRD; UK Biobank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Renal/hepatic prevalence; pharmacogenomic priors</w:t>
            </w:r>
          </w:p>
        </w:tc>
      </w:tr>
    </w:tbl>
    <w:p>
      <w:pPr>
        <w:pStyle w:val="Heading3"/>
      </w:pPr>
      <w:r>
        <w:t xml:space="preserve">5.1.b Sub-stage → AI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Sub-stage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SAD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PK-Sim/MoBi (PBPK); mrgsolve; Pumas / NONMEM (popPK)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 PK prediction + cohort simulation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MAD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PK-Sim/MoBi; DeepCompartment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Steady-state + accumulation simulation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Food effect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GastroPlus ACAT or PK-Sim oral module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BCS-aware fed/fasted simulation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DDI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Simcyp / GastroPlus DDI; DeepDDI; PK-Sim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Mechanistic DDI prediction — PBPK first, ML for screening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TQT / C-QTc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C-QTc model fit (Pumas / NONMEM); Aidoc-style ECG triage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QT analysis + supratherapeutic dose targeting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Special pop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Simcyp virtual populations; PK-Sim populations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Hepatic / renal / paediatric extrapolation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Cross-cutting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/ Med-PaLM / Meditron-70B + TrialGPT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 drafting, ICH checklist QA, IB authoring</w:t>
            </w:r>
          </w:p>
        </w:tc>
      </w:tr>
    </w:tbl>
    <w:p>
      <w:pPr>
        <w:pStyle w:val="Heading2"/>
      </w:pPr>
      <w:r>
        <w:t xml:space="preserve">5.2 Phase 2 — Patients, Efficacy Signal</w:t>
      </w:r>
    </w:p>
    <w:p>
      <w:pPr>
        <w:spacing w:after="100"/>
      </w:pPr>
      <w:r>
        <w:t xml:space="preserve">Phase 2 introduces real patients and biomarker strategy. Indication selection and target validation become critical — OpenTargets, FinnGen, UK Biobank, and oncology omics dominate.</w:t>
      </w:r>
    </w:p>
    <w:p>
      <w:pPr>
        <w:pStyle w:val="Heading3"/>
      </w:pPr>
      <w:r>
        <w:t xml:space="preserve">5.2.a Sub-stage →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Sub-stage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Direct DB inputs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Indication selection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OpenTargets; FinnGen; UK Biobank; ICTRP; Citeline/Cortellis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Target-disease evidence; competitive landscape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2a PoC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ClinicalTrials.gov; Citeline; OMOP/OHDSI; TriNetX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Comparator design; cohort feasibility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2b dose-ranging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outputs; PK-DB; ChEMBL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Dose–response priors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Biomarker strategy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TCGA/GDC; UK Biobank; gnomAD; ClinVar; Tempus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Stratification cut-offs; assay precedent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EOP2 package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ICH/FDA Guidance; FDA Adcomms archive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framing</w:t>
            </w:r>
          </w:p>
        </w:tc>
      </w:tr>
    </w:tbl>
    <w:p>
      <w:pPr>
        <w:pStyle w:val="Heading3"/>
      </w:pPr>
      <w:r>
        <w:t xml:space="preserve">5.2.b Sub-stage → AI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Sub-stage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Indication selection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Targets; AlphaFold/ESM (target structure)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prioritization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2a PoC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Unlearn.AI digital twins; Medidata SCA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Sample-size reduction; partial synthetic control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2b dose-ranging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Pumas/NONMEM popPK/PD; mrgsolve; Bayesian dose-finding (BLRM)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Dose–response modelling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Biomarker strategy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Geneformer / scGPT (single-cell); PathAI / Paige (pathology)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Biomarker discovery + scoring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pre-screening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TrialGPT; Mendel/Deep 6/Antidote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Eligibility matching</w:t>
            </w:r>
          </w:p>
        </w:tc>
      </w:tr>
    </w:tbl>
    <w:p>
      <w:pPr>
        <w:pStyle w:val="Heading2"/>
      </w:pPr>
      <w:r>
        <w:t xml:space="preserve">5.3 Phase 3 — Pivotal</w:t>
      </w:r>
    </w:p>
    <w:p>
      <w:pPr>
        <w:spacing w:after="100"/>
      </w:pPr>
      <w:r>
        <w:t xml:space="preserve">Phase 3 leans heavily on operational platforms (EDC, eCOA, RTSM), site-feasibility intel, and statistical / synthetic-control modelling.</w:t>
      </w:r>
    </w:p>
    <w:p>
      <w:pPr>
        <w:pStyle w:val="Heading3"/>
      </w:pPr>
      <w:r>
        <w:t xml:space="preserve">5.3.a Sub-stage →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Sub-stage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Direct DB inputs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 selection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Citeline Sitetrove; ClinicalTrials.gov; ICTRP; Komodo / TriNetX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Investigator + site capacity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Sample-size + SAP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2 outputs; OpenTargets; OMOP/OHDSI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Effect-size priors; adjudication base rates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Pivotal trial conduct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Medidata Rave / Veeva Vault / Oracle Clinical One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Operational backbone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Long-term safety (E1)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FAERS; VigiBase; MAUDE (if device)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 benchmarking + signal monitoring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Region expansion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ICTRP; ChiCTR; CTRI; jRCT; PMDA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Local-registry feasibility</w:t>
            </w:r>
          </w:p>
        </w:tc>
      </w:tr>
    </w:tbl>
    <w:p>
      <w:pPr>
        <w:pStyle w:val="Heading3"/>
      </w:pPr>
      <w:r>
        <w:t xml:space="preserve">5.3.b Sub-stage → AI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Sub-stage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 selection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IQVIA Recruitment Optimizer; Saama Smart Recruitment; custom XGB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Site-performance forecasting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Sample-size + SAP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Unlearn.AI PROCOVA; Medidata SCA; Bayesian adaptive (East/FACTS)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Sample-size reduction; adaptive design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 conduct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Saama LSAC; Medidata Acorn AI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Anomaly detection + RBM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 recruitment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TrialGPT; Mendel/Deep 6/Antidote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Site-side matching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Imaging endpoints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PathAI / Paige / Aidoc / Cleerly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Reader-replacement / augmentation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NLP on notes/PRO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GatorTron; MedSpaCy; Comprehend Medical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 coding, narrative extraction</w:t>
            </w:r>
          </w:p>
        </w:tc>
      </w:tr>
    </w:tbl>
    <w:p>
      <w:pPr>
        <w:pStyle w:val="Heading2"/>
      </w:pPr>
      <w:r>
        <w:t xml:space="preserve">5.4 Phase 4 — Post-Marketing</w:t>
      </w:r>
    </w:p>
    <w:p>
      <w:pPr>
        <w:spacing w:after="100"/>
      </w:pPr>
      <w:r>
        <w:t xml:space="preserve">Phase 4 is RWD- and PV-dominated. Sentinel, Truveta/Komodo/TriNetX/Flatiron, FAERS/EudraVigilance/VigiBase, and OMOP/OHDSI federation are the load-bearing sources.</w:t>
      </w:r>
    </w:p>
    <w:p>
      <w:pPr>
        <w:pStyle w:val="Heading3"/>
      </w:pPr>
      <w:r>
        <w:t xml:space="preserve">5.4.a Sub-stage →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Sub-stage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Direct DB inputs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Used for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PV signal detection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FAERS; EudraVigilance; VigiBase; JADER; VAERS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Signal triggering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RWE comparative effectiveness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Komodo; Truveta; TriNetX; Flatiron; Optum; CPRD; Sentinel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Real-world effectiveness + safety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 expansion / new indications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OpenTargets; OMOP/OHDSI; HCUP; NHANES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Target-disease evidence; epi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PMR / PMC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Sentinel; ClinicalTrials.gov; FDA Guidance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Commitment design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 + lifecycle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Cortellis; Citeline; PubMed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Patent + competitive monitoring</w:t>
            </w:r>
          </w:p>
        </w:tc>
      </w:tr>
    </w:tbl>
    <w:p>
      <w:pPr>
        <w:pStyle w:val="Heading3"/>
      </w:pPr>
      <w:r>
        <w:t xml:space="preserve">5.4.b Sub-stage → AI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Sub-stage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PV signal detection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Empirica Signal (MGPS); openEBGM; BCPNN; AwareDX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Disproportionality + bias correction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RWE comparative effectiveness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OHDSI PatientLevelPrediction (PLP); Aetion; Truveta Studio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Comparative-effectiveness analytics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 narrative + literature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/ GPT-4 + Linguamatics + EuropePMC RAG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Signal narrative + evidence synthesis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Label-expansion design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TrialGPT; Open Targets; PROCOVA twins (where qualified)</w:t>
            </w:r>
          </w:p>
        </w:tc>
        <w:tc>
          <w:tcPr>
            <w:tcW w:type="dxa" w:w="3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Indication / sample-size scoping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Integration into Hakase Clinical</w:t>
      </w:r>
    </w:p>
    <w:p>
      <w:pPr>
        <w:spacing w:after="100"/>
      </w:pPr>
      <w:r>
        <w:t xml:space="preserve">This section maps the data and model layer to the existing Phase Planner architecture (Hakase Clinical mirroring the L1–L4 layer/gate/provenance pattern).</w:t>
      </w:r>
    </w:p>
    <w:p>
      <w:pPr>
        <w:pStyle w:val="Heading2"/>
      </w:pPr>
      <w:r>
        <w:t xml:space="preserve">6.1 PreClinicalPackage extensions</w:t>
      </w:r>
    </w:p>
    <w:p>
      <w:pPr>
        <w:spacing w:after="100"/>
      </w:pPr>
      <w:r>
        <w:t xml:space="preserve">L4 currently emits a sufficient PK + tox payload. Two targeted additions are recommended before Phase1Planner is built: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CYP/transporter sub-payload from L1 — in-vitro CYP3A4/2D6/2C9/1A2/2C19 inhibition IC50/Ki; CYP induction (mRNA fold-change in primary hepatocytes); transporter inhibition (P-gp, BCRP, OATP1B1/3, OCT2/MATE). Required for the DDI module of Phase1Planner.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Renal-vs-hepatic clearance fraction — L4 currently emits total clearance only; the renal-impairment vs hepatic-impairment branching of Phase1Planner Special-Pop module needs the route-fractional CL.</w:t>
      </w:r>
    </w:p>
    <w:p>
      <w:pPr>
        <w:spacing w:after="100"/>
      </w:pPr>
      <w:r>
        <w:t xml:space="preserve">Both are already partially derivable from L1/L2 outputs but should be explicitly typed on the PreClinicalPackage interface.</w:t>
      </w:r>
    </w:p>
    <w:p>
      <w:pPr>
        <w:pStyle w:val="Heading2"/>
      </w:pPr>
      <w:r>
        <w:t xml:space="preserve">6.2 Shared service layer</w:t>
      </w:r>
    </w:p>
    <w:p>
      <w:pPr>
        <w:spacing w:after="100"/>
      </w:pPr>
      <w:r>
        <w:t xml:space="preserve">Several data sources are needed by every Planner. Wrap them once in a shared service rather than duplicating per phase: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OpenFDA gateway — single client for drug.label, drug.event, drug.enforcement, device.event.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CT.gov + AACT gateway — v2 REST + nightly Postgres mirror for historical trial analytics.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Literature retrieval — unified RAG over PubMed + EuropePMC + medRxiv with Specter-2 embeddings.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ICH/FDA Guidance corpus — vector-indexed for checklist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Foundation-LLM router — abstraction over Anthropic Claude / Med-PaLM / on-prem Meditron-70B with PHI-tier routing rules.</w:t>
      </w:r>
    </w:p>
    <w:p>
      <w:pPr>
        <w:pStyle w:val="Heading2"/>
      </w:pPr>
      <w:r>
        <w:t xml:space="preserve">6.3 Per-Planner data dependencies</w:t>
      </w:r>
    </w:p>
    <w:p>
      <w:pPr>
        <w:spacing w:after="100"/>
      </w:pPr>
      <w:r>
        <w:t xml:space="preserve">Each Planner should declare its data dependencies up-front (typed Provenance pulls in L1–L4 already; extend the Provenance type to also capture external-DB pulls):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Planner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 external sources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Phase1Planner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OpenFDA Label; PK-DB; ChEMBL; DrugBank; PK-Sim/MoBi; Simcyp/GastroPlus (optional)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Phase2Planner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OpenTargets; UK Biobank/FinnGen; OMOP/OHDSI; Citeline/Cortellis; Unlearn.AI (optional)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Phase3Planner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Citeline Sitetrove; Komodo/TriNetX; Medidata/Veeva (operational); IQVIA Recruitment Optimizer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Phase4Planner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FAERS; EudraVigilance; VigiBase; Sentinel; Komodo/Truveta/Flatiron; openEBGM/Empirica</w:t>
            </w:r>
          </w:p>
        </w:tc>
      </w:tr>
    </w:tbl>
    <w:p>
      <w:pPr>
        <w:pStyle w:val="Heading2"/>
      </w:pPr>
      <w:r>
        <w:t xml:space="preserve">6.4 Provenance + traceability matrix</w:t>
      </w:r>
    </w:p>
    <w:p>
      <w:pPr>
        <w:spacing w:after="100"/>
      </w:pPr>
      <w:r>
        <w:t xml:space="preserve">Mirror the L4 ProvenanceFooter pattern: every external pull records source name, query, retrieval timestamp, version, and any graceful degradations. The traceability matrix that already runs L1→L2→L3→L4 should extend through Clinical so every Phase 1 dose decision, Phase 2 endpoint choice, etc., traces back through PreClinicalPackage to source SMILES + DB pulls. Regulators (FDA Office of New Drugs increasingly + EMA QbD initiatives) reward this.</w:t>
      </w:r>
    </w:p>
    <w:p>
      <w:r>
        <w:br w:type="page"/>
      </w:r>
    </w:p>
    <w:p>
      <w:pPr>
        <w:pStyle w:val="Heading1"/>
      </w:pPr>
      <w:r>
        <w:t xml:space="preserve">7. Data Governance &amp; Regulatory</w:t>
      </w:r>
    </w:p>
    <w:p>
      <w:pPr>
        <w:spacing w:after="100"/>
      </w:pPr>
      <w:r>
        <w:t xml:space="preserve">A short orientation. Detailed treatment is owned by AKTHealth Privacy/Compliance.</w:t>
      </w:r>
    </w:p>
    <w:p>
      <w:pPr>
        <w:pStyle w:val="Heading2"/>
      </w:pPr>
      <w:r>
        <w:t xml:space="preserve">7.1 Access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Public, no registration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ClinicalTrials.gov, OpenFDA, PubMed, ChEMBL, DrugBank (academic), DailyMed, EU CTIS public layer, gnomAD, ClinVar, Open Targets, ICH/FDA Guidance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Credentialed (training + DUA)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MIMIC-IV, All of Us (Workbench), HCUP, dbGaP-protected GDC, UK Biobank, FinnGen subject-level, JADER (light)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Federated / no export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OMOP/OHDSI partner DBs, TriNetX, Truveta Studio, Sentinel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Commercial subscription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Citeline, Cortellis, Evaluate, Komodo, Flatiron, Tempus, IQVIA, Medidata, Veeva, Simcyp, GastroPlus, Empirica, MedDRA</w:t>
            </w:r>
          </w:p>
        </w:tc>
      </w:tr>
    </w:tbl>
    <w:p>
      <w:pPr>
        <w:pStyle w:val="Heading2"/>
      </w:pPr>
      <w:r>
        <w:t xml:space="preserve">7.2 Privacy / regulatory frameworks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HIPAA (US) — BAA required for PHI processing by any LLM/cloud vendor. Anthropic, AWS, Google Cloud, Microsoft Azure, Comprehend Medical, Google Healthcare NL, MedLM all offer BAA.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GDPR + EHDS (EU) — European Health Data Space regulation enters application 2026–2028; CTIS already enforces. Strict purpose-limitation + cross-border restrictions.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21 CFR Part 11 (US, FDA) — electronic records + signatures for trial systems; Medidata/Veeva/Oracle compliant; in-house systems must validate.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ICH E6(R3) — GCP renewal (2023) explicitly endorses risk-based monitoring + AI tooling provided traceability + human-in-the-loop are preserved.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Country-level health-data restrictions — China NMPA + DSP, Japan APPI, India DPDP Act 2023, Saudi PDPL. Cross-border transfer risk for any LLM that routes globally.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U.S. DOJ Data Security Program (2025) — restricts bulk health data flow to Tier-1 countries. PhysioNet datasets enforce this; relevant to any non-U.S.-citizen analyst working in scope.</w:t>
      </w:r>
    </w:p>
    <w:p>
      <w:pPr>
        <w:pStyle w:val="Heading2"/>
      </w:pPr>
      <w:r>
        <w:t xml:space="preserve">7.3 PHI routing rules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Default: route any subject-level data through on-prem Meditron-70B / GatorTron-Large with PHI-detection guardrails.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BAA-cleared cloud LLMs (Claude / GPT-4 / MedLM) acceptable for PHI when token-level zero-retention is contractually confirmed.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Anthropic / OpenAI APIs (no BAA) — for de-identified summarization and protocol drafting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Federated networks (TriNetX / OHDSI / Truveta Studio) — always preferred over data export when feasible.</w:t>
      </w:r>
    </w:p>
    <w:p>
      <w:r>
        <w:br w:type="page"/>
      </w:r>
    </w:p>
    <w:p>
      <w:pPr>
        <w:pStyle w:val="Heading1"/>
      </w:pPr>
      <w:r>
        <w:t xml:space="preserve">8. Recommended Starter Stack (MVP)</w:t>
      </w:r>
    </w:p>
    <w:p>
      <w:pPr>
        <w:spacing w:after="100"/>
      </w:pPr>
      <w:r>
        <w:t xml:space="preserve">A minimum-viable bundle to bring Phase1Planner online — deliberately biased toward free / open / cloud-flexible sources, with commercial layers added once the architecture is validated.</w:t>
      </w:r>
    </w:p>
    <w:p>
      <w:pPr>
        <w:pStyle w:val="Heading2"/>
      </w:pPr>
      <w:r>
        <w:t xml:space="preserve">8.1 Databases (free/open core)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ClinicalTrials.gov v2 + AACT mirror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OpenFDA (Label + FAERS + Enforcement)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PubMed + EuropePMC + medRxiv (RAG)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PK-DB + ChEMBL + PubChem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DrugBank academic + DailyMed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OpenTargets + gnomAD + ClinVar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ICH + FDA Guidance corpus (vector-indexed)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MIMIC-IV (credentialed) for ICU PK priors</w:t>
      </w:r>
    </w:p>
    <w:p>
      <w:pPr>
        <w:pStyle w:val="Heading2"/>
      </w:pPr>
      <w:r>
        <w:t xml:space="preserve">8.2 Models (free/open core + 1–2 commercial)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PK-Sim/MoBi (PBPK)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mrgsolve + Pumas-AI free academic tier (or NONMEM if budget permits)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DeepDDI + DDInter for ML DDI screening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openEBGM (PV) + AwareDX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MedSpaCy + GatorTron for clinical NLP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Foundation-LLM router: Claude (BAA) primary + on-prem Meditron-70B for PHI-touch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TrialGPT + Criteria2Query (recruitment + feasibility)</w:t>
      </w:r>
    </w:p>
    <w:p>
      <w:pPr>
        <w:pStyle w:val="Heading2"/>
      </w:pPr>
      <w:r>
        <w:t xml:space="preserve">8.3 Commercial layer to add post-MVP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Simcyp or GastroPlus (when the program reaches IND-stage DDI)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Citeline Trialtrove (or Cortellis) once Phase 2/3 competitive intel matters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Medidata Rave + Acorn AI — or Veeva Vault Clinical — by Phase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Unlearn.AI PROCOVA when entering an FDA-qualified indication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commercial RWD partner (Komodo / Truveta / TriNetX / Flatiron — select on 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Empirica Signal once a marketed product is in scope</w:t>
      </w:r>
    </w:p>
    <w:p>
      <w:pPr>
        <w:pStyle w:val="Heading2"/>
      </w:pPr>
      <w:r>
        <w:t xml:space="preserve">8.4 Phase-1-only minimum</w:t>
      </w:r>
    </w:p>
    <w:p>
      <w:pPr>
        <w:spacing w:after="100"/>
      </w:pPr>
      <w:r>
        <w:t xml:space="preserve">If the goal is just to get Phase1Planner producing a defensible SAD/MAD/Food/DDI/TQT/Special-pop plan from the L4 PreClinicalPackage, the minimum viable stack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Data: OpenFDA + ClinicalTrials.gov v2 + PK-DB + ChEMBL + DailyMed + ICH/FDA Guidance corpus.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Models: PK-Sim/MoBi + mrgsolve + DeepDDI + Claude (BAA) + ICH M11 output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buildable in a quarter and unblocks the L4→Clinical handoff demo.</w:t>
      </w:r>
    </w:p>
    <w:p>
      <w:r>
        <w:br w:type="page"/>
      </w:r>
    </w:p>
    <w:p>
      <w:pPr>
        <w:pStyle w:val="Heading1"/>
      </w:pPr>
      <w:r>
        <w:t xml:space="preserve">Appendix A: Quick Reference Index</w:t>
      </w:r>
    </w:p>
    <w:p>
      <w:pPr>
        <w:spacing w:after="100"/>
      </w:pPr>
      <w:r>
        <w:t xml:space="preserve">All entries listed alphabetically with category tag for navigation: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AdisInsight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 intel (commercial)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AlphaFold 2/3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Genomics / target validation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of Us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Patient-level / RWD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Aidoc / HeartFlow / Cleerly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Imaging biomarkers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AwareDX / OFFSIDES / TWOSIDES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 prediction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BCPNN / openEBGM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PV signal detection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BindingDB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 / compound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BioGPT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LLM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BioNeMo (NVIDIA)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Genomics modelling platform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Castor EDC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Trial-ops platform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CCLE / DepMap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Biomarker / -omics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ChEMBL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 / compound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ChiCTR / jRCT / CTRI / ANZCTR / DRKS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 registries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Citeline (Trialtrove + Pharmaprojects)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 intel (commercial)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Clarivate Cortellis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 intel (commercial)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/ GPT-4 / o-series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Frontier LLM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ClinicalTrials.gov / AACT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 registries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ClinVar / gnomAD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Biomarker / -omics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CPRD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RWD (commercial)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Criteria2Query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Recruitment &amp; feasibility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cTAKES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NLP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Datavant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RWD (commercial)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DDInter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DDI prediction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DeepDDI / DECAGON / MUFFIN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DDI prediction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DeepCompartment / DeepNLME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PK/PD modelling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DrugBank / DDIPS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 / compound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DrugCentral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 / compound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Empirica Signal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PV signal detection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ESM-2 / ESM-3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Genomics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 CTIS / EudraCT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 registries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EudraVigilance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 / safety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EvaluatePharma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 intel (commercial)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FAERS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 / safety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Faro Health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 authoring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FDA Drug Label / DailyMed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/ labels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FinnGen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Patient-level / RWD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Flatiron Health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RWD (commercial)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GastroPlus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PK/PD modelling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GatorTron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LLM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Geneformer / scGPT / UCE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Genomics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GlobalData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 intel (commercial)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GTEx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Biomarker / -omics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HCUP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Patient-level / RWD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ICH Guidelines + FDA Guidance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IQVIA RWD / Pipeline / Recruitment Optimizer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RWD + Trial intel + Recruitment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JADER (PMDA)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 / safety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Komodo Health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RWD (commercial)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LifeSphere Multivigilance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PV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Linguamatics I2E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NLP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MAUDE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 / safety (devices)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MedAlpaca / PMC-LLaMA / Asclepius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LLM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MedSAM / RadFM / Med-Gemini-Multimodal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Imaging biomarkers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MedSpaCy / Stanza-Bio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NLP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Medidata Rave + Acorn AI + Patient Cloud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Trial-ops + Synthetic controls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Meditron-7B / 70B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LLM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Mendel.ai / Deep 6 / Antidote / Trials.ai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Recruitment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MIMIC-IV / MIMIC-CXR / eICU-CRD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Patient-level / RWD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mrgsolve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PK/PD modelling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NHANES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Patient-level / RWD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NONMEM / Monolix / Pumas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PK/PD modelling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OMOP / OHDSI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Patient-level / RWD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OpenFDA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/ labels + AE/safety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OpenTargets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 / compound + biomarker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Systems Pharmacology (PK-Sim / MoBi)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PK/PD modelling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Optum (Clinformatics + EHR)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RWD (commercial)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Oracle Clinical One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Trial-ops platform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PathAI / Paige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Imaging biomarkers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PhysioNet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Patient-level / RWD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PK-DB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PK/PD database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PMDA / Health Canada / TGA / NMPA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/ labels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PubChem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 / compound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PubMed / PMC / EuropePMC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Literature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Saama LSAC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Trial-ops + analytics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Semantic Scholar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Literature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Sentinel System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Patient-level / RWD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Signant Health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Trial-ops platform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Simcyp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PK/PD modelling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TCGA / GDC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Biomarker / -omics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Tempus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RWD (commercial)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Triomics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 authoring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TrialGPT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Recruitment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TriNetX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RWD (commercial)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Truveta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RWD (commercial)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UK Biobank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Patient-level / RWD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Unlearn.AI PROCOVA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Synthetic controls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VAERS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 / safety (vaccines)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Veeva Vault Clinical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Trial-ops platform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VigiBase / VigiAccess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AE / safety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WHO ICTRP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Trial registries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B: Document Notes</w:t>
      </w:r>
    </w:p>
    <w:p>
      <w:pPr>
        <w:spacing w:after="100"/>
      </w:pPr>
      <w:r>
        <w:t xml:space="preserve">This document is a working reference, not a procurement list. Cost tiers are directional. All access policies are subject to change — verify each source before relying on it for a specific Phase Planner build.</w:t>
      </w:r>
    </w:p>
    <w:p>
      <w:pPr>
        <w:spacing w:after="100"/>
      </w:pPr>
      <w:r>
        <w:t xml:space="preserve">Companion artefacts: BioDigital Twin L4 Animal Cohort spec; Hakase Clinical Phase Module Architecture; Care Module Healthcare Databases compiled artefact (which this document complements).</w:t>
      </w:r>
    </w:p>
    <w:p>
      <w:pPr>
        <w:spacing w:after="100"/>
      </w:pPr>
      <w:r>
        <w:t xml:space="preserve">Owner: AKTHealth · HakaseAI · May 2026.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· AKTHealth ·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Hakase Clinical · Databases &amp; AI Models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Trial Data: Databases &amp; AI Models Reference</dc:title>
  <dc:creator>AKTHealth HakaseAI</dc:creator>
  <dc:description>Hakase Clinical reference for Phase 1–4 databases and AI models</dc:description>
  <cp:lastModifiedBy>Un-named</cp:lastModifiedBy>
  <cp:revision>1</cp:revision>
  <dcterms:created xsi:type="dcterms:W3CDTF">2026-05-04T11:26:35.676Z</dcterms:created>
  <dcterms:modified xsi:type="dcterms:W3CDTF">2026-05-04T11:26:35.677Z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