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3" w:name="X7584e83742589b219bc3c29d4f902a147e9a460"/>
    <w:p>
      <w:pPr>
        <w:pStyle w:val="1"/>
      </w:pPr>
      <w:r>
        <w:t xml:space="preserve">Layer 1 — In Vitro Digital Twin: Technical Product Specification</w:t>
      </w:r>
    </w:p>
    <w:bookmarkStart w:id="30" w:name="system-architecture-core-design"/>
    <w:p>
      <w:pPr>
        <w:pStyle w:val="2"/>
      </w:pPr>
      <w:r>
        <w:t xml:space="preserve">1. System Architecture &amp; Core Design</w:t>
      </w:r>
    </w:p>
    <w:bookmarkStart w:id="23" w:name="browser-first-execution-model"/>
    <w:p>
      <w:pPr>
        <w:pStyle w:val="3"/>
      </w:pPr>
      <w:r>
        <w:t xml:space="preserve">1.1 Browser-First Execution Model</w:t>
      </w:r>
    </w:p>
    <w:p>
      <w:pPr>
        <w:pStyle w:val="FirstParagraph"/>
      </w:pPr>
      <w:r>
        <w:t xml:space="preserve">The foundational architectural principle of HakaseAI’s Layer 1 In Vitro Digital Twin is its</w:t>
      </w:r>
      <w:r>
        <w:t xml:space="preserve"> </w:t>
      </w:r>
      <w:r>
        <w:rPr>
          <w:b/>
          <w:bCs/>
        </w:rPr>
        <w:t xml:space="preserve">complete browser-based execution environment</w:t>
      </w:r>
      <w:r>
        <w:t xml:space="preserve">, a design choice that fundamentally distinguishes it from conventional server-dependent cheminformatics platforms. This paradigm is enabled through</w:t>
      </w:r>
      <w:r>
        <w:t xml:space="preserve"> </w:t>
      </w:r>
      <w:r>
        <w:rPr>
          <w:b/>
          <w:bCs/>
        </w:rPr>
        <w:t xml:space="preserve">RDKit.js</w:t>
      </w:r>
      <w:r>
        <w:t xml:space="preserve">, a WebAssembly-compiled version of the widely-adopted RDKit cheminformatics toolkit, which delivers near-native computational performance for molecular descriptor calculations, pharmacophore pattern matching, and property predictions entirely within the client’s web browser. The WebAssembly compilation bridges the performance gap between JavaScript interpretation and native C++ execution, achieving descriptor computation throughput exceeding</w:t>
      </w:r>
      <w:r>
        <w:t xml:space="preserve"> </w:t>
      </w:r>
      <w:r>
        <w:rPr>
          <w:b/>
          <w:bCs/>
        </w:rPr>
        <w:t xml:space="preserve">10,000 molecules per second</w:t>
      </w:r>
      <w:r>
        <w:t xml:space="preserve"> </w:t>
      </w:r>
      <w:r>
        <w:t xml:space="preserve">for typical drug-like structures on modern consumer hardware.</w:t>
      </w:r>
    </w:p>
    <w:p>
      <w:pPr>
        <w:pStyle w:val="a0"/>
      </w:pPr>
      <w:r>
        <w:t xml:space="preserve">This browser-first architecture carries profound implications for</w:t>
      </w:r>
      <w:r>
        <w:t xml:space="preserve"> </w:t>
      </w:r>
      <w:r>
        <w:rPr>
          <w:b/>
          <w:bCs/>
        </w:rPr>
        <w:t xml:space="preserve">data sovereignty, operational reliability, and scientific accessibility</w:t>
      </w:r>
      <w:r>
        <w:t xml:space="preserve">. Molecular structures—which often represent proprietary intellectual property worth billions in pharmaceutical research—never leave the user’s device during primary analysis, eliminating network latency, server availability dependencies, and potential data exposure risks inherent in cloud-based processing models. The architecture enables</w:t>
      </w:r>
      <w:r>
        <w:t xml:space="preserve"> </w:t>
      </w:r>
      <w:r>
        <w:rPr>
          <w:b/>
          <w:bCs/>
        </w:rPr>
        <w:t xml:space="preserve">genuinely offline-capable molecular analysis</w:t>
      </w:r>
      <w:r>
        <w:t xml:space="preserve">, functioning in secure facility environments with air-gapped networks, field research settings with intermittent connectivity, or situations of complete network isolation following initial application load.</w:t>
      </w:r>
    </w:p>
    <w:bookmarkStart w:id="20" w:name="Xbcf3ca32a09588f5f8befd2116a8fad5a6e87b0"/>
    <w:p>
      <w:pPr>
        <w:pStyle w:val="4"/>
      </w:pPr>
      <w:r>
        <w:t xml:space="preserve">1.1.1 Client-Side Computation via RDKit.js WebAssembly</w:t>
      </w:r>
    </w:p>
    <w:p>
      <w:pPr>
        <w:pStyle w:val="FirstParagraph"/>
      </w:pPr>
      <w:r>
        <w:t xml:space="preserve">The technical implementation centers on</w:t>
      </w:r>
      <w:r>
        <w:t xml:space="preserve"> </w:t>
      </w:r>
      <w:r>
        <w:rPr>
          <w:b/>
          <w:bCs/>
        </w:rPr>
        <w:t xml:space="preserve">RDKit.js</w:t>
      </w:r>
      <w:r>
        <w:t xml:space="preserve">, which provides JavaScript bindings to core RDKit C++ libraries through Emscripten-generated WebAssembly modules. When a user enters a SMILES string, the system instantiates an RDKit molecule object in browser-based WebAssembly memory and computes</w:t>
      </w:r>
      <w:r>
        <w:t xml:space="preserve"> </w:t>
      </w:r>
      <w:r>
        <w:rPr>
          <w:b/>
          <w:bCs/>
        </w:rPr>
        <w:t xml:space="preserve">40+ molecular descriptors</w:t>
      </w:r>
      <w:r>
        <w:t xml:space="preserve"> </w:t>
      </w:r>
      <w:r>
        <w:t xml:space="preserve">through direct function calls. The descriptor set spans:</w:t>
      </w:r>
    </w:p>
    <w:tbl>
      <w:tblPr>
        <w:tblStyle w:val="Table"/>
        <w:tblW w:type="pct" w:w="5000"/>
        <w:jc w:val="left"/>
        <w:tblLayout w:type="fixed"/>
        <w:tblLook w:firstRow="1" w:lastRow="0" w:firstColumn="0" w:lastColumn="0" w:noHBand="0" w:noVBand="0" w:val="0020"/>
      </w:tblPr>
      <w:tblGrid>
        <w:gridCol w:w="2598"/>
        <w:gridCol w:w="2598"/>
        <w:gridCol w:w="2722"/>
      </w:tblGrid>
      <w:tr>
        <w:trPr>
          <w:tblHeader w:val="on"/>
        </w:trPr>
        <w:tc>
          <w:tcPr/>
          <w:p>
            <w:pPr>
              <w:pStyle w:val="Compact"/>
              <w:jc w:val="left"/>
            </w:pPr>
            <w:r>
              <w:t xml:space="preserve">Descriptor Category</w:t>
            </w:r>
          </w:p>
        </w:tc>
        <w:tc>
          <w:tcPr/>
          <w:p>
            <w:pPr>
              <w:pStyle w:val="Compact"/>
              <w:jc w:val="left"/>
            </w:pPr>
            <w:r>
              <w:t xml:space="preserve">Specific Properties</w:t>
            </w:r>
          </w:p>
        </w:tc>
        <w:tc>
          <w:tcPr/>
          <w:p>
            <w:pPr>
              <w:pStyle w:val="Compact"/>
              <w:jc w:val="left"/>
            </w:pPr>
            <w:r>
              <w:t xml:space="preserve">Computational Method</w:t>
            </w:r>
          </w:p>
        </w:tc>
      </w:tr>
      <w:tr>
        <w:tc>
          <w:tcPr/>
          <w:p>
            <w:pPr>
              <w:pStyle w:val="Compact"/>
              <w:jc w:val="left"/>
            </w:pPr>
            <w:r>
              <w:rPr>
                <w:b/>
                <w:bCs/>
              </w:rPr>
              <w:t xml:space="preserve">Physicochemical</w:t>
            </w:r>
          </w:p>
        </w:tc>
        <w:tc>
          <w:tcPr/>
          <w:p>
            <w:pPr>
              <w:pStyle w:val="Compact"/>
              <w:jc w:val="left"/>
            </w:pPr>
            <w:r>
              <w:t xml:space="preserve">MW, LogP (CrippenClogP), TPSA</w:t>
            </w:r>
          </w:p>
        </w:tc>
        <w:tc>
          <w:tcPr/>
          <w:p>
            <w:pPr>
              <w:pStyle w:val="Compact"/>
              <w:jc w:val="left"/>
            </w:pPr>
            <w:r>
              <w:t xml:space="preserve">Atom contribution methods, fragment-based surface area</w:t>
            </w:r>
          </w:p>
        </w:tc>
      </w:tr>
      <w:tr>
        <w:tc>
          <w:tcPr/>
          <w:p>
            <w:pPr>
              <w:pStyle w:val="Compact"/>
              <w:jc w:val="left"/>
            </w:pPr>
            <w:r>
              <w:rPr>
                <w:b/>
                <w:bCs/>
              </w:rPr>
              <w:t xml:space="preserve">Structural</w:t>
            </w:r>
          </w:p>
        </w:tc>
        <w:tc>
          <w:tcPr/>
          <w:p>
            <w:pPr>
              <w:pStyle w:val="Compact"/>
              <w:jc w:val="left"/>
            </w:pPr>
            <w:r>
              <w:t xml:space="preserve">HBD, HBA, Rotatable Bonds, Aromatic Rings</w:t>
            </w:r>
          </w:p>
        </w:tc>
        <w:tc>
          <w:tcPr/>
          <w:p>
            <w:pPr>
              <w:pStyle w:val="Compact"/>
              <w:jc w:val="left"/>
            </w:pPr>
            <w:r>
              <w:t xml:space="preserve">SMARTS pattern matching, graph traversal algorithms</w:t>
            </w:r>
          </w:p>
        </w:tc>
      </w:tr>
      <w:tr>
        <w:tc>
          <w:tcPr/>
          <w:p>
            <w:pPr>
              <w:pStyle w:val="Compact"/>
              <w:jc w:val="left"/>
            </w:pPr>
            <w:r>
              <w:rPr>
                <w:b/>
                <w:bCs/>
              </w:rPr>
              <w:t xml:space="preserve">Advanced</w:t>
            </w:r>
          </w:p>
        </w:tc>
        <w:tc>
          <w:tcPr/>
          <w:p>
            <w:pPr>
              <w:pStyle w:val="Compact"/>
              <w:jc w:val="left"/>
            </w:pPr>
            <w:r>
              <w:t xml:space="preserve">FractionCSP3, NumHeavyAtoms, Labute ASA</w:t>
            </w:r>
          </w:p>
        </w:tc>
        <w:tc>
          <w:tcPr/>
          <w:p>
            <w:pPr>
              <w:pStyle w:val="Compact"/>
              <w:jc w:val="left"/>
            </w:pPr>
            <w:r>
              <w:t xml:space="preserve">Hybridization analysis, surface area approximation</w:t>
            </w:r>
          </w:p>
        </w:tc>
      </w:tr>
    </w:tbl>
    <w:p>
      <w:pPr>
        <w:pStyle w:val="a0"/>
      </w:pPr>
      <w:r>
        <w:t xml:space="preserve">The WebAssembly module loads asynchronously with streaming compilation, achieving</w:t>
      </w:r>
      <w:r>
        <w:t xml:space="preserve"> </w:t>
      </w:r>
      <w:r>
        <w:rPr>
          <w:b/>
          <w:bCs/>
        </w:rPr>
        <w:t xml:space="preserve">time-to-interactive of approximately 2–3 seconds</w:t>
      </w:r>
      <w:r>
        <w:t xml:space="preserve"> </w:t>
      </w:r>
      <w:r>
        <w:t xml:space="preserve">on initial page load, with subsequent molecular analyses executing without additional initialization overhead. Memory management follows explicit lifecycle control with pooled allocation and reference counting to prevent accumulation during extended sessions.</w:t>
      </w:r>
    </w:p>
    <w:bookmarkEnd w:id="20"/>
    <w:bookmarkStart w:id="21" w:name="zero-server-dependency-for-core-pipeline"/>
    <w:p>
      <w:pPr>
        <w:pStyle w:val="4"/>
      </w:pPr>
      <w:r>
        <w:t xml:space="preserve">1.1.2 Zero Server Dependency for Core Pipeline</w:t>
      </w:r>
    </w:p>
    <w:p>
      <w:pPr>
        <w:pStyle w:val="FirstParagraph"/>
      </w:pPr>
      <w:r>
        <w:t xml:space="preserve">The</w:t>
      </w:r>
      <w:r>
        <w:t xml:space="preserve"> </w:t>
      </w:r>
      <w:r>
        <w:rPr>
          <w:b/>
          <w:bCs/>
        </w:rPr>
        <w:t xml:space="preserve">zero server dependency principle</w:t>
      </w:r>
      <w:r>
        <w:t xml:space="preserve"> </w:t>
      </w:r>
      <w:r>
        <w:t xml:space="preserve">applies rigorously to all</w:t>
      </w:r>
      <w:r>
        <w:t xml:space="preserve"> </w:t>
      </w:r>
      <w:r>
        <w:rPr>
          <w:b/>
          <w:bCs/>
        </w:rPr>
        <w:t xml:space="preserve">14 core pipeline steps</w:t>
      </w:r>
      <w:r>
        <w:t xml:space="preserve">, from molecular property extraction through final Go/No-Go decision generation. This architectural boundary ensures that fundamental scientific analysis completes regardless of external service availability, with network communication restricted to</w:t>
      </w:r>
      <w:r>
        <w:t xml:space="preserve"> </w:t>
      </w:r>
      <w:r>
        <w:rPr>
          <w:b/>
          <w:bCs/>
        </w:rPr>
        <w:t xml:space="preserve">Step 13 (External Database Enrichment)</w:t>
      </w:r>
      <w:r>
        <w:t xml:space="preserve"> </w:t>
      </w:r>
      <w:r>
        <w:t xml:space="preserve">as an explicit post-simulation enhancement. The design eliminates single points of failure—simulation workflows continue uninterrupted during server maintenance, API rate limiting events, or vendor service discontinuation that would halt cloud-dependent platforms entirely.</w:t>
      </w:r>
    </w:p>
    <w:p>
      <w:pPr>
        <w:pStyle w:val="a0"/>
      </w:pPr>
      <w:r>
        <w:t xml:space="preserve">Performance characteristics demonstrate the architectural advantage:</w:t>
      </w:r>
      <w:r>
        <w:t xml:space="preserve"> </w:t>
      </w:r>
      <w:r>
        <w:rPr>
          <w:b/>
          <w:bCs/>
        </w:rPr>
        <w:t xml:space="preserve">sub-100 millisecond latencies</w:t>
      </w:r>
      <w:r>
        <w:t xml:space="preserve"> </w:t>
      </w:r>
      <w:r>
        <w:t xml:space="preserve">for complete descriptor sets and full pipeline execution, compared to 200–500 milliseconds or longer for server-based alternatives due to network round-trip and queueing delays. This responsiveness enables</w:t>
      </w:r>
      <w:r>
        <w:t xml:space="preserve"> </w:t>
      </w:r>
      <w:r>
        <w:rPr>
          <w:b/>
          <w:bCs/>
        </w:rPr>
        <w:t xml:space="preserve">interactive chemical space exploration</w:t>
      </w:r>
      <w:r>
        <w:t xml:space="preserve"> </w:t>
      </w:r>
      <w:r>
        <w:t xml:space="preserve">with immediate visual feedback as researchers modify molecular structures.</w:t>
      </w:r>
    </w:p>
    <w:bookmarkEnd w:id="21"/>
    <w:bookmarkStart w:id="22" w:name="offline-capable-molecular-analysis"/>
    <w:p>
      <w:pPr>
        <w:pStyle w:val="4"/>
      </w:pPr>
      <w:r>
        <w:t xml:space="preserve">1.1.3 Offline-Capable Molecular Analysis</w:t>
      </w:r>
    </w:p>
    <w:p>
      <w:pPr>
        <w:pStyle w:val="FirstParagraph"/>
      </w:pPr>
      <w:r>
        <w:t xml:space="preserve">The offline capability extends beyond graceful degradation to</w:t>
      </w:r>
      <w:r>
        <w:t xml:space="preserve"> </w:t>
      </w:r>
      <w:r>
        <w:rPr>
          <w:b/>
          <w:bCs/>
        </w:rPr>
        <w:t xml:space="preserve">fully functional operation without any network connectivity</w:t>
      </w:r>
      <w:r>
        <w:t xml:space="preserve"> </w:t>
      </w:r>
      <w:r>
        <w:t xml:space="preserve">following initial application load. The Service Worker implementation caches essential static assets—including the RDKit.js WebAssembly module (~5–10 MB), simulation engine JavaScript bundles, and target catalog data—enabling complete simulation workflows from SMILES input through Go/No-Go decision generation. When connectivity is restored, the system opportunistically synchronizes results with cloud-based project storage and triggers deferred external database enrichment queries.</w:t>
      </w:r>
    </w:p>
    <w:p>
      <w:pPr>
        <w:pStyle w:val="a0"/>
      </w:pPr>
      <w:r>
        <w:t xml:space="preserve">This capability addresses critical pharmaceutical research scenarios:</w:t>
      </w:r>
      <w:r>
        <w:t xml:space="preserve"> </w:t>
      </w:r>
      <w:r>
        <w:rPr>
          <w:b/>
          <w:bCs/>
        </w:rPr>
        <w:t xml:space="preserve">secure facilities with restricted external access</w:t>
      </w:r>
      <w:r>
        <w:t xml:space="preserve">,</w:t>
      </w:r>
      <w:r>
        <w:t xml:space="preserve"> </w:t>
      </w:r>
      <w:r>
        <w:rPr>
          <w:b/>
          <w:bCs/>
        </w:rPr>
        <w:t xml:space="preserve">international field research with unreliable infrastructure</w:t>
      </w:r>
      <w:r>
        <w:t xml:space="preserve">,</w:t>
      </w:r>
      <w:r>
        <w:t xml:space="preserve"> </w:t>
      </w:r>
      <w:r>
        <w:rPr>
          <w:b/>
          <w:bCs/>
        </w:rPr>
        <w:t xml:space="preserve">airplane travel and remote locations</w:t>
      </w:r>
      <w:r>
        <w:t xml:space="preserve">, and</w:t>
      </w:r>
      <w:r>
        <w:t xml:space="preserve"> </w:t>
      </w:r>
      <w:r>
        <w:rPr>
          <w:b/>
          <w:bCs/>
        </w:rPr>
        <w:t xml:space="preserve">long-term project continuity assurance</w:t>
      </w:r>
      <w:r>
        <w:t xml:space="preserve"> </w:t>
      </w:r>
      <w:r>
        <w:t xml:space="preserve">against service discontinuation. The architecture ensures that installed applications continue functioning indefinitely, preserving access to critical simulation tools for legacy project maintenance and regulatory submission preparation.</w:t>
      </w:r>
    </w:p>
    <w:bookmarkEnd w:id="22"/>
    <w:bookmarkEnd w:id="23"/>
    <w:bookmarkStart w:id="26" w:name="deterministic-reproducible-simulation"/>
    <w:p>
      <w:pPr>
        <w:pStyle w:val="3"/>
      </w:pPr>
      <w:r>
        <w:t xml:space="preserve">1.2 Deterministic &amp; Reproducible Simulation</w:t>
      </w:r>
    </w:p>
    <w:p>
      <w:pPr>
        <w:pStyle w:val="FirstParagraph"/>
      </w:pPr>
      <w:r>
        <w:t xml:space="preserve">Scientific reproducibility is a</w:t>
      </w:r>
      <w:r>
        <w:t xml:space="preserve"> </w:t>
      </w:r>
      <w:r>
        <w:rPr>
          <w:b/>
          <w:bCs/>
        </w:rPr>
        <w:t xml:space="preserve">non-negotiable requirement</w:t>
      </w:r>
      <w:r>
        <w:t xml:space="preserve"> </w:t>
      </w:r>
      <w:r>
        <w:t xml:space="preserve">for computational platforms supporting regulatory decision-making. Layer 1 implements comprehensive deterministic simulation design ensuring that</w:t>
      </w:r>
      <w:r>
        <w:t xml:space="preserve"> </w:t>
      </w:r>
      <w:r>
        <w:rPr>
          <w:b/>
          <w:bCs/>
        </w:rPr>
        <w:t xml:space="preserve">identical inputs produce bit-identical outputs</w:t>
      </w:r>
      <w:r>
        <w:t xml:space="preserve"> </w:t>
      </w:r>
      <w:r>
        <w:t xml:space="preserve">across execution contexts, time, and user sessions. The scope of this guarantee encompasses: the</w:t>
      </w:r>
      <w:r>
        <w:t xml:space="preserve"> </w:t>
      </w:r>
      <w:r>
        <w:rPr>
          <w:b/>
          <w:bCs/>
        </w:rPr>
        <w:t xml:space="preserve">canonical SMILES string</w:t>
      </w:r>
      <w:r>
        <w:t xml:space="preserve"> </w:t>
      </w:r>
      <w:r>
        <w:t xml:space="preserve">representation of the molecule and the</w:t>
      </w:r>
      <w:r>
        <w:t xml:space="preserve"> </w:t>
      </w:r>
      <w:r>
        <w:rPr>
          <w:b/>
          <w:bCs/>
        </w:rPr>
        <w:t xml:space="preserve">selected protein target</w:t>
      </w:r>
      <w:r>
        <w:t xml:space="preserve"> </w:t>
      </w:r>
      <w:r>
        <w:t xml:space="preserve">as defining inputs; all</w:t>
      </w:r>
      <w:r>
        <w:t xml:space="preserve"> </w:t>
      </w:r>
      <w:r>
        <w:rPr>
          <w:b/>
          <w:bCs/>
        </w:rPr>
        <w:t xml:space="preserve">40+ molecular descriptors</w:t>
      </w:r>
      <w:r>
        <w:t xml:space="preserve"> </w:t>
      </w:r>
      <w:r>
        <w:t xml:space="preserve">and derived properties;</w:t>
      </w:r>
      <w:r>
        <w:t xml:space="preserve"> </w:t>
      </w:r>
      <w:r>
        <w:rPr>
          <w:b/>
          <w:bCs/>
        </w:rPr>
        <w:t xml:space="preserve">pharmacophore pattern matching</w:t>
      </w:r>
      <w:r>
        <w:t xml:space="preserve"> </w:t>
      </w:r>
      <w:r>
        <w:t xml:space="preserve">results;</w:t>
      </w:r>
      <w:r>
        <w:t xml:space="preserve"> </w:t>
      </w:r>
      <w:r>
        <w:rPr>
          <w:b/>
          <w:bCs/>
        </w:rPr>
        <w:t xml:space="preserve">ADMET scores</w:t>
      </w:r>
      <w:r>
        <w:t xml:space="preserve"> </w:t>
      </w:r>
      <w:r>
        <w:t xml:space="preserve">across all five dimensions;</w:t>
      </w:r>
      <w:r>
        <w:t xml:space="preserve"> </w:t>
      </w:r>
      <w:r>
        <w:rPr>
          <w:b/>
          <w:bCs/>
        </w:rPr>
        <w:t xml:space="preserve">binding affinity estimates</w:t>
      </w:r>
      <w:r>
        <w:t xml:space="preserve"> </w:t>
      </w:r>
      <w:r>
        <w:t xml:space="preserve">(Kd, Ki, IC50);</w:t>
      </w:r>
      <w:r>
        <w:t xml:space="preserve"> </w:t>
      </w:r>
      <w:r>
        <w:rPr>
          <w:b/>
          <w:bCs/>
        </w:rPr>
        <w:t xml:space="preserve">dose-response curve parameters</w:t>
      </w:r>
      <w:r>
        <w:t xml:space="preserve"> </w:t>
      </w:r>
      <w:r>
        <w:t xml:space="preserve">(pIC50, Hill coefficient, Emax);</w:t>
      </w:r>
      <w:r>
        <w:t xml:space="preserve"> </w:t>
      </w:r>
      <w:r>
        <w:rPr>
          <w:b/>
          <w:bCs/>
        </w:rPr>
        <w:t xml:space="preserve">safety flags</w:t>
      </w:r>
      <w:r>
        <w:t xml:space="preserve"> </w:t>
      </w:r>
      <w:r>
        <w:t xml:space="preserve">and</w:t>
      </w:r>
      <w:r>
        <w:t xml:space="preserve"> </w:t>
      </w:r>
      <w:r>
        <w:rPr>
          <w:b/>
          <w:bCs/>
        </w:rPr>
        <w:t xml:space="preserve">Go/No-Go decisions</w:t>
      </w:r>
      <w:r>
        <w:t xml:space="preserve">; and complete</w:t>
      </w:r>
      <w:r>
        <w:t xml:space="preserve"> </w:t>
      </w:r>
      <w:r>
        <w:rPr>
          <w:b/>
          <w:bCs/>
        </w:rPr>
        <w:t xml:space="preserve">provenance metadata</w:t>
      </w:r>
      <w:r>
        <w:t xml:space="preserve"> </w:t>
      </w:r>
      <w:r>
        <w:t xml:space="preserve">with engine version tracking.</w:t>
      </w:r>
    </w:p>
    <w:bookmarkStart w:id="24" w:name="seeded-rng-for-stochastic-components"/>
    <w:p>
      <w:pPr>
        <w:pStyle w:val="4"/>
      </w:pPr>
      <w:r>
        <w:t xml:space="preserve">1.2.1 Seeded RNG for Stochastic Components</w:t>
      </w:r>
    </w:p>
    <w:p>
      <w:pPr>
        <w:pStyle w:val="FirstParagraph"/>
      </w:pPr>
      <w:r>
        <w:t xml:space="preserve">The limited stochastic components—principally</w:t>
      </w:r>
      <w:r>
        <w:t xml:space="preserve"> </w:t>
      </w:r>
      <w:r>
        <w:rPr>
          <w:b/>
          <w:bCs/>
        </w:rPr>
        <w:t xml:space="preserve">noise injection in dose-response curve generation</w:t>
      </w:r>
      <w:r>
        <w:t xml:space="preserve">—employ a</w:t>
      </w:r>
      <w:r>
        <w:t xml:space="preserve"> </w:t>
      </w:r>
      <w:r>
        <w:rPr>
          <w:b/>
          <w:bCs/>
        </w:rPr>
        <w:t xml:space="preserve">seeded pseudo-random number generator</w:t>
      </w:r>
      <w:r>
        <w:t xml:space="preserve"> </w:t>
      </w:r>
      <w:r>
        <w:t xml:space="preserve">to preserve reproducibility while simulating realistic experimental variability. The</w:t>
      </w:r>
      <w:r>
        <w:t xml:space="preserve"> </w:t>
      </w:r>
      <w:r>
        <w:rPr>
          <w:b/>
          <w:bCs/>
        </w:rPr>
        <w:t xml:space="preserve">Mulberry32 algorithm</w:t>
      </w:r>
      <w:r>
        <w:t xml:space="preserve"> </w:t>
      </w:r>
      <w:r>
        <w:t xml:space="preserve">initializes with a 32-bit seed derived from</w:t>
      </w:r>
      <w:r>
        <w:t xml:space="preserve"> </w:t>
      </w:r>
      <w:r>
        <w:rPr>
          <w:b/>
          <w:bCs/>
        </w:rPr>
        <w:t xml:space="preserve">FNV-1a hash</w:t>
      </w:r>
      <w:r>
        <w:t xml:space="preserve"> </w:t>
      </w:r>
      <w:r>
        <w:t xml:space="preserve">of the concatenated canonical SMILES and UniProt target identifier, ensuring:</w:t>
      </w:r>
    </w:p>
    <w:p>
      <w:pPr>
        <w:pStyle w:val="Compact"/>
        <w:numPr>
          <w:ilvl w:val="0"/>
          <w:numId w:val="1001"/>
        </w:numPr>
      </w:pPr>
      <w:r>
        <w:rPr>
          <w:b/>
          <w:bCs/>
        </w:rPr>
        <w:t xml:space="preserve">Identical molecule-target combinations</w:t>
      </w:r>
      <w:r>
        <w:t xml:space="preserve"> </w:t>
      </w:r>
      <w:r>
        <w:t xml:space="preserve">→ identical random sequences</w:t>
      </w:r>
    </w:p>
    <w:p>
      <w:pPr>
        <w:pStyle w:val="Compact"/>
        <w:numPr>
          <w:ilvl w:val="0"/>
          <w:numId w:val="1001"/>
        </w:numPr>
      </w:pPr>
      <w:r>
        <w:rPr>
          <w:b/>
          <w:bCs/>
        </w:rPr>
        <w:t xml:space="preserve">Distinct combinations</w:t>
      </w:r>
      <w:r>
        <w:t xml:space="preserve"> </w:t>
      </w:r>
      <w:r>
        <w:t xml:space="preserve">→ uncorrelated, statistically valid noise</w:t>
      </w:r>
    </w:p>
    <w:p>
      <w:pPr>
        <w:pStyle w:val="Compact"/>
        <w:numPr>
          <w:ilvl w:val="0"/>
          <w:numId w:val="1001"/>
        </w:numPr>
      </w:pPr>
      <w:r>
        <w:rPr>
          <w:b/>
          <w:bCs/>
        </w:rPr>
        <w:t xml:space="preserve">Retrospective verification</w:t>
      </w:r>
      <w:r>
        <w:t xml:space="preserve"> </w:t>
      </w:r>
      <w:r>
        <w:t xml:space="preserve">→ exact reproduction of historical analyses</w:t>
      </w:r>
    </w:p>
    <w:p>
      <w:pPr>
        <w:pStyle w:val="FirstParagraph"/>
      </w:pPr>
      <w:r>
        <w:t xml:space="preserve">The Hill equation-based dose-response generation applies</w:t>
      </w:r>
      <w:r>
        <w:t xml:space="preserve"> </w:t>
      </w:r>
      <w:r>
        <w:rPr>
          <w:b/>
          <w:bCs/>
        </w:rPr>
        <w:t xml:space="preserve">normally distributed noise</w:t>
      </w:r>
      <w:r>
        <w:t xml:space="preserve"> </w:t>
      </w:r>
      <w:r>
        <w:t xml:space="preserve">(σ = 3–5% of Emax, with heteroscedasticity at response extremes) drawn from the seeded generator, producing</w:t>
      </w:r>
      <w:r>
        <w:t xml:space="preserve"> </w:t>
      </w:r>
      <w:r>
        <w:rPr>
          <w:b/>
          <w:bCs/>
        </w:rPr>
        <w:t xml:space="preserve">15-point datasets</w:t>
      </w:r>
      <w:r>
        <w:t xml:space="preserve"> </w:t>
      </w:r>
      <w:r>
        <w:t xml:space="preserve">that mimic authentic laboratory assay scatter without compromising reproducibility.</w:t>
      </w:r>
    </w:p>
    <w:bookmarkEnd w:id="24"/>
    <w:bookmarkStart w:id="25" w:name="Xb6f6a7d6be9e0a7dba169a91d9a67216fbfd107"/>
    <w:p>
      <w:pPr>
        <w:pStyle w:val="4"/>
      </w:pPr>
      <w:r>
        <w:t xml:space="preserve">1.2.2 Identical Output for Identical Inputs (SMILES + Target)</w:t>
      </w:r>
    </w:p>
    <w:p>
      <w:pPr>
        <w:pStyle w:val="FirstParagraph"/>
      </w:pPr>
      <w:r>
        <w:t xml:space="preserve">The determinism implementation addresses subtle sources of potential variation: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 of Variation</w:t>
            </w:r>
          </w:p>
        </w:tc>
        <w:tc>
          <w:tcPr/>
          <w:p>
            <w:pPr>
              <w:pStyle w:val="Compact"/>
              <w:jc w:val="left"/>
            </w:pPr>
            <w:r>
              <w:t xml:space="preserve">Mitigation Strategy</w:t>
            </w:r>
          </w:p>
        </w:tc>
      </w:tr>
      <w:tr>
        <w:tc>
          <w:tcPr/>
          <w:p>
            <w:pPr>
              <w:pStyle w:val="Compact"/>
              <w:jc w:val="left"/>
            </w:pPr>
            <w:r>
              <w:t xml:space="preserve">Object property enumeration</w:t>
            </w:r>
          </w:p>
        </w:tc>
        <w:tc>
          <w:tcPr/>
          <w:p>
            <w:pPr>
              <w:pStyle w:val="Compact"/>
              <w:jc w:val="left"/>
            </w:pPr>
            <w:r>
              <w:t xml:space="preserve">Explicit sorting of all enumerable collections</w:t>
            </w:r>
          </w:p>
        </w:tc>
      </w:tr>
      <w:tr>
        <w:tc>
          <w:tcPr/>
          <w:p>
            <w:pPr>
              <w:pStyle w:val="Compact"/>
              <w:jc w:val="left"/>
            </w:pPr>
            <w:r>
              <w:t xml:space="preserve">Floating-point accumulation</w:t>
            </w:r>
          </w:p>
        </w:tc>
        <w:tc>
          <w:tcPr/>
          <w:p>
            <w:pPr>
              <w:pStyle w:val="Compact"/>
              <w:jc w:val="left"/>
            </w:pPr>
            <w:r>
              <w:t xml:space="preserve">Kahan summation for critical aggregations</w:t>
            </w:r>
          </w:p>
        </w:tc>
      </w:tr>
      <w:tr>
        <w:tc>
          <w:tcPr/>
          <w:p>
            <w:pPr>
              <w:pStyle w:val="Compact"/>
              <w:jc w:val="left"/>
            </w:pPr>
            <w:r>
              <w:t xml:space="preserve">Locale-dependent formatting</w:t>
            </w:r>
          </w:p>
        </w:tc>
        <w:tc>
          <w:tcPr/>
          <w:p>
            <w:pPr>
              <w:pStyle w:val="Compact"/>
              <w:jc w:val="left"/>
            </w:pPr>
            <w:r>
              <w:t xml:space="preserve">Explicit C locale for all numeric operations</w:t>
            </w:r>
          </w:p>
        </w:tc>
      </w:tr>
      <w:tr>
        <w:tc>
          <w:tcPr/>
          <w:p>
            <w:pPr>
              <w:pStyle w:val="Compact"/>
              <w:jc w:val="left"/>
            </w:pPr>
            <w:r>
              <w:t xml:space="preserve">Asynchronous operation ordering</w:t>
            </w:r>
          </w:p>
        </w:tc>
        <w:tc>
          <w:tcPr/>
          <w:p>
            <w:pPr>
              <w:pStyle w:val="Compact"/>
              <w:jc w:val="left"/>
            </w:pPr>
            <w:r>
              <w:t xml:space="preserve">Promise resolution with explicit sequencing</w:t>
            </w:r>
          </w:p>
        </w:tc>
      </w:tr>
      <w:tr>
        <w:tc>
          <w:tcPr/>
          <w:p>
            <w:pPr>
              <w:pStyle w:val="Compact"/>
              <w:jc w:val="left"/>
            </w:pPr>
            <w:r>
              <w:t xml:space="preserve">Browser engine differences</w:t>
            </w:r>
          </w:p>
        </w:tc>
        <w:tc>
          <w:tcPr/>
          <w:p>
            <w:pPr>
              <w:pStyle w:val="Compact"/>
              <w:jc w:val="left"/>
            </w:pPr>
            <w:r>
              <w:t xml:space="preserve">Standardized WebAssembly MVP specification</w:t>
            </w:r>
          </w:p>
        </w:tc>
      </w:tr>
    </w:tbl>
    <w:p>
      <w:pPr>
        <w:pStyle w:val="a0"/>
      </w:pPr>
      <w:r>
        <w:t xml:space="preserve">Continuous integration testing validates determinism across</w:t>
      </w:r>
      <w:r>
        <w:t xml:space="preserve"> </w:t>
      </w:r>
      <w:r>
        <w:rPr>
          <w:b/>
          <w:bCs/>
        </w:rPr>
        <w:t xml:space="preserve">multiple browser engines</w:t>
      </w:r>
      <w:r>
        <w:t xml:space="preserve"> </w:t>
      </w:r>
      <w:r>
        <w:t xml:space="preserve">(Chromium, Firefox, Safari, Edge) and platform configurations, with cryptographic hashing of complete result objects verified against reference values on every code change.</w:t>
      </w:r>
    </w:p>
    <w:bookmarkEnd w:id="25"/>
    <w:bookmarkEnd w:id="26"/>
    <w:bookmarkStart w:id="29" w:name="four-layer-pipeline-integration"/>
    <w:p>
      <w:pPr>
        <w:pStyle w:val="3"/>
      </w:pPr>
      <w:r>
        <w:t xml:space="preserve">1.3 Four-Layer Pipeline Integration</w:t>
      </w:r>
    </w:p>
    <w:p>
      <w:pPr>
        <w:pStyle w:val="FirstParagraph"/>
      </w:pPr>
      <w:r>
        <w:t xml:space="preserve">Layer 1 functions as the</w:t>
      </w:r>
      <w:r>
        <w:t xml:space="preserve"> </w:t>
      </w:r>
      <w:r>
        <w:rPr>
          <w:b/>
          <w:bCs/>
        </w:rPr>
        <w:t xml:space="preserve">foundational element</w:t>
      </w:r>
      <w:r>
        <w:t xml:space="preserve"> </w:t>
      </w:r>
      <w:r>
        <w:t xml:space="preserve">of HakaseAI’s four-layer BioDigital Twin architecture, with outputs cascading forward through</w:t>
      </w:r>
      <w:r>
        <w:t xml:space="preserve"> </w:t>
      </w:r>
      <w:r>
        <w:rPr>
          <w:b/>
          <w:bCs/>
        </w:rPr>
        <w:t xml:space="preserve">Layer 2 (Animal Cohort)</w:t>
      </w:r>
      <w:r>
        <w:t xml:space="preserve">,</w:t>
      </w:r>
      <w:r>
        <w:t xml:space="preserve"> </w:t>
      </w:r>
      <w:r>
        <w:rPr>
          <w:b/>
          <w:bCs/>
        </w:rPr>
        <w:t xml:space="preserve">Layer 3 (Patient Cohort)</w:t>
      </w:r>
      <w:r>
        <w:t xml:space="preserve">, and</w:t>
      </w:r>
      <w:r>
        <w:t xml:space="preserve"> </w:t>
      </w:r>
      <w:r>
        <w:rPr>
          <w:b/>
          <w:bCs/>
        </w:rPr>
        <w:t xml:space="preserve">Layer 4 (Trial)</w:t>
      </w:r>
      <w:r>
        <w:t xml:space="preserve">. This integration implements a</w:t>
      </w:r>
      <w:r>
        <w:t xml:space="preserve"> </w:t>
      </w:r>
      <w:r>
        <w:rPr>
          <w:b/>
          <w:bCs/>
        </w:rPr>
        <w:t xml:space="preserve">“</w:t>
      </w:r>
      <w:r>
        <w:rPr>
          <w:b/>
          <w:bCs/>
        </w:rPr>
        <w:t xml:space="preserve">single source of truth</w:t>
      </w:r>
      <w:r>
        <w:rPr>
          <w:b/>
          <w:bCs/>
        </w:rPr>
        <w:t xml:space="preserve">”</w:t>
      </w:r>
      <w:r>
        <w:rPr>
          <w:b/>
          <w:bCs/>
        </w:rPr>
        <w:t xml:space="preserve"> </w:t>
      </w:r>
      <w:r>
        <w:rPr>
          <w:b/>
          <w:bCs/>
        </w:rPr>
        <w:t xml:space="preserve">pattern</w:t>
      </w:r>
      <w:r>
        <w:t xml:space="preserve"> </w:t>
      </w:r>
      <w:r>
        <w:t xml:space="preserve">where L1’s molecular characterization, target binding predictions, and safety assessments become immutable reference points for downstream layers, with</w:t>
      </w:r>
      <w:r>
        <w:t xml:space="preserve"> </w:t>
      </w:r>
      <w:r>
        <w:rPr>
          <w:b/>
          <w:bCs/>
        </w:rPr>
        <w:t xml:space="preserve">deep structured propagation</w:t>
      </w:r>
      <w:r>
        <w:t xml:space="preserve"> </w:t>
      </w:r>
      <w:r>
        <w:t xml:space="preserve">preserving decision context, confidence assessments, and regulatory significance.</w:t>
      </w:r>
    </w:p>
    <w:bookmarkStart w:id="27" w:name="l1-l2-l3-l4-data-cascade"/>
    <w:p>
      <w:pPr>
        <w:pStyle w:val="4"/>
      </w:pPr>
      <w:r>
        <w:t xml:space="preserve">1.3.1 L1 → L2 → L3 → L4 Data Cascade</w:t>
      </w:r>
    </w:p>
    <w:p>
      <w:pPr>
        <w:pStyle w:val="FirstParagraph"/>
      </w:pPr>
      <w:r>
        <w:t xml:space="preserve">The cascade architecture ensures that insights generated during in vitro characterization</w:t>
      </w:r>
      <w:r>
        <w:t xml:space="preserve"> </w:t>
      </w:r>
      <w:r>
        <w:rPr>
          <w:b/>
          <w:bCs/>
        </w:rPr>
        <w:t xml:space="preserve">automatically inform</w:t>
      </w:r>
      <w:r>
        <w:t xml:space="preserve"> </w:t>
      </w:r>
      <w:r>
        <w:t xml:space="preserve">animal study design, patient cohort simulation, and virtual trial planning without manual re-entry or interpretation errors. The data propagation mechanism uses</w:t>
      </w:r>
      <w:r>
        <w:t xml:space="preserve"> </w:t>
      </w:r>
      <w:r>
        <w:rPr>
          <w:b/>
          <w:bCs/>
        </w:rPr>
        <w:t xml:space="preserve">versioned, schema-validated JSON structures</w:t>
      </w:r>
      <w:r>
        <w:t xml:space="preserve"> </w:t>
      </w:r>
      <w:r>
        <w:t xml:space="preserve">with:</w:t>
      </w:r>
    </w:p>
    <w:p>
      <w:pPr>
        <w:pStyle w:val="Compact"/>
        <w:numPr>
          <w:ilvl w:val="0"/>
          <w:numId w:val="1002"/>
        </w:numPr>
      </w:pPr>
      <w:r>
        <w:rPr>
          <w:b/>
          <w:bCs/>
        </w:rPr>
        <w:t xml:space="preserve">Quantitative predictions</w:t>
      </w:r>
      <w:r>
        <w:t xml:space="preserve"> </w:t>
      </w:r>
      <w:r>
        <w:t xml:space="preserve">with confidence intervals and uncertainty characterization</w:t>
      </w:r>
    </w:p>
    <w:p>
      <w:pPr>
        <w:pStyle w:val="Compact"/>
        <w:numPr>
          <w:ilvl w:val="0"/>
          <w:numId w:val="1002"/>
        </w:numPr>
      </w:pPr>
      <w:r>
        <w:rPr>
          <w:b/>
          <w:bCs/>
        </w:rPr>
        <w:t xml:space="preserve">Safety flags</w:t>
      </w:r>
      <w:r>
        <w:t xml:space="preserve"> </w:t>
      </w:r>
      <w:r>
        <w:t xml:space="preserve">with full provenance including triggering conditions, ICH references, and confidence levels</w:t>
      </w:r>
    </w:p>
    <w:p>
      <w:pPr>
        <w:pStyle w:val="Compact"/>
        <w:numPr>
          <w:ilvl w:val="0"/>
          <w:numId w:val="1002"/>
        </w:numPr>
      </w:pPr>
      <w:r>
        <w:rPr>
          <w:b/>
          <w:bCs/>
        </w:rPr>
        <w:t xml:space="preserve">Decision objects</w:t>
      </w:r>
      <w:r>
        <w:t xml:space="preserve"> </w:t>
      </w:r>
      <w:r>
        <w:t xml:space="preserve">with supporting evidence and explicit rationale</w:t>
      </w:r>
    </w:p>
    <w:p>
      <w:pPr>
        <w:pStyle w:val="Compact"/>
        <w:numPr>
          <w:ilvl w:val="0"/>
          <w:numId w:val="1002"/>
        </w:numPr>
      </w:pPr>
      <w:r>
        <w:rPr>
          <w:b/>
          <w:bCs/>
        </w:rPr>
        <w:t xml:space="preserve">Provenance metadata</w:t>
      </w:r>
      <w:r>
        <w:t xml:space="preserve"> </w:t>
      </w:r>
      <w:r>
        <w:t xml:space="preserve">enabling complete traceability and audit</w:t>
      </w:r>
    </w:p>
    <w:p>
      <w:pPr>
        <w:pStyle w:val="FirstParagraph"/>
      </w:pPr>
      <w:r>
        <w:t xml:space="preserve">When L1 results are regenerated after downstream configuration begins, the system</w:t>
      </w:r>
      <w:r>
        <w:t xml:space="preserve"> </w:t>
      </w:r>
      <w:r>
        <w:rPr>
          <w:b/>
          <w:bCs/>
        </w:rPr>
        <w:t xml:space="preserve">detects dependencies</w:t>
      </w:r>
      <w:r>
        <w:t xml:space="preserve"> </w:t>
      </w:r>
      <w:r>
        <w:t xml:space="preserve">and presents clear warnings about potential inconsistencies, offering automatic propagation or maintained historical configurations for comparison.</w:t>
      </w:r>
    </w:p>
    <w:bookmarkEnd w:id="27"/>
    <w:bookmarkStart w:id="28" w:name="Xcd847b93342806d1a6da4869f17acaff7ab14cb"/>
    <w:p>
      <w:pPr>
        <w:pStyle w:val="4"/>
      </w:pPr>
      <w:r>
        <w:t xml:space="preserve">1.3.2 Results Propagation to Animal Cohort, Patient Cohort, Trial</w:t>
      </w:r>
    </w:p>
    <w:tbl>
      <w:tblPr>
        <w:tblStyle w:val="Table"/>
        <w:tblW w:type="pct" w:w="5000"/>
        <w:jc w:val="left"/>
        <w:tblLayout w:type="fixed"/>
        <w:tblLook w:firstRow="1" w:lastRow="0" w:firstColumn="0" w:lastColumn="0" w:noHBand="0" w:noVBand="0" w:val="0020"/>
      </w:tblPr>
      <w:tblGrid>
        <w:gridCol w:w="2337"/>
        <w:gridCol w:w="2726"/>
        <w:gridCol w:w="2856"/>
      </w:tblGrid>
      <w:tr>
        <w:trPr>
          <w:tblHeader w:val="on"/>
        </w:trPr>
        <w:tc>
          <w:tcPr/>
          <w:p>
            <w:pPr>
              <w:pStyle w:val="Compact"/>
              <w:jc w:val="left"/>
            </w:pPr>
            <w:r>
              <w:t xml:space="preserve">Downstream Layer</w:t>
            </w:r>
          </w:p>
        </w:tc>
        <w:tc>
          <w:tcPr/>
          <w:p>
            <w:pPr>
              <w:pStyle w:val="Compact"/>
              <w:jc w:val="left"/>
            </w:pPr>
            <w:r>
              <w:t xml:space="preserve">L1 Data Utilization</w:t>
            </w:r>
          </w:p>
        </w:tc>
        <w:tc>
          <w:tcPr/>
          <w:p>
            <w:pPr>
              <w:pStyle w:val="Compact"/>
              <w:jc w:val="left"/>
            </w:pPr>
            <w:r>
              <w:t xml:space="preserve">Configuration Impact</w:t>
            </w:r>
          </w:p>
        </w:tc>
      </w:tr>
      <w:tr>
        <w:tc>
          <w:tcPr/>
          <w:p>
            <w:pPr>
              <w:pStyle w:val="Compact"/>
              <w:jc w:val="left"/>
            </w:pPr>
            <w:r>
              <w:rPr>
                <w:b/>
                <w:bCs/>
              </w:rPr>
              <w:t xml:space="preserve">Layer 2 (Animal Cohort)</w:t>
            </w:r>
          </w:p>
        </w:tc>
        <w:tc>
          <w:tcPr/>
          <w:p>
            <w:pPr>
              <w:pStyle w:val="Compact"/>
              <w:jc w:val="left"/>
            </w:pPr>
            <w:r>
              <w:t xml:space="preserve">ADMET profile, Go/No-Go decision, safety flags</w:t>
            </w:r>
          </w:p>
        </w:tc>
        <w:tc>
          <w:tcPr/>
          <w:p>
            <w:pPr>
              <w:pStyle w:val="Compact"/>
              <w:jc w:val="left"/>
            </w:pPr>
            <w:r>
              <w:t xml:space="preserve">Species selection, study duration, route/formulation, monitoring protocols</w:t>
            </w:r>
          </w:p>
        </w:tc>
      </w:tr>
      <w:tr>
        <w:tc>
          <w:tcPr/>
          <w:p>
            <w:pPr>
              <w:pStyle w:val="Compact"/>
              <w:jc w:val="left"/>
            </w:pPr>
            <w:r>
              <w:rPr>
                <w:b/>
                <w:bCs/>
              </w:rPr>
              <w:t xml:space="preserve">Layer 3 (Patient Cohort)</w:t>
            </w:r>
          </w:p>
        </w:tc>
        <w:tc>
          <w:tcPr/>
          <w:p>
            <w:pPr>
              <w:pStyle w:val="Compact"/>
              <w:jc w:val="left"/>
            </w:pPr>
            <w:r>
              <w:t xml:space="preserve">Target engagement predictions, toxicity risk profiles, selectivity assessments</w:t>
            </w:r>
          </w:p>
        </w:tc>
        <w:tc>
          <w:tcPr/>
          <w:p>
            <w:pPr>
              <w:pStyle w:val="Compact"/>
              <w:jc w:val="left"/>
            </w:pPr>
            <w:r>
              <w:t xml:space="preserve">Dose selection, cohort stratification, biomarker panels, adverse event monitoring</w:t>
            </w:r>
          </w:p>
        </w:tc>
      </w:tr>
      <w:tr>
        <w:tc>
          <w:tcPr/>
          <w:p>
            <w:pPr>
              <w:pStyle w:val="Compact"/>
              <w:jc w:val="left"/>
            </w:pPr>
            <w:r>
              <w:rPr>
                <w:b/>
                <w:bCs/>
              </w:rPr>
              <w:t xml:space="preserve">Layer 4 (Trial)</w:t>
            </w:r>
          </w:p>
        </w:tc>
        <w:tc>
          <w:tcPr/>
          <w:p>
            <w:pPr>
              <w:pStyle w:val="Compact"/>
              <w:jc w:val="left"/>
            </w:pPr>
            <w:r>
              <w:t xml:space="preserve">Efficacy/safety hypotheses, biomarker suggestions, patient variability estimates</w:t>
            </w:r>
          </w:p>
        </w:tc>
        <w:tc>
          <w:tcPr/>
          <w:p>
            <w:pPr>
              <w:pStyle w:val="Compact"/>
              <w:jc w:val="left"/>
            </w:pPr>
            <w:r>
              <w:t xml:space="preserve">Sample size, endpoint design, adaptive rules, regulatory strategy</w:t>
            </w:r>
          </w:p>
        </w:tc>
      </w:tr>
    </w:tbl>
    <w:p>
      <w:pPr>
        <w:pStyle w:val="a0"/>
      </w:pPr>
      <w:r>
        <w:t xml:space="preserve">The</w:t>
      </w:r>
      <w:r>
        <w:t xml:space="preserve"> </w:t>
      </w:r>
      <w:r>
        <w:rPr>
          <w:b/>
          <w:bCs/>
        </w:rPr>
        <w:t xml:space="preserve">safety flag propagation</w:t>
      </w:r>
      <w:r>
        <w:t xml:space="preserve"> </w:t>
      </w:r>
      <w:r>
        <w:t xml:space="preserve">exemplifies the cascade’s critical importance: a hepatotoxicity alert from L1 bioactivation assessment propagates with its complete context—specific structural alert detected, ICH M3(R2) reference, confidence level—enabling L2 to adjust species selection (Beagle dog for higher metabolic tolerance), study duration (shortened for enhanced monitoring), and clinical pathology panels without redundant re-analysis.</w:t>
      </w:r>
    </w:p>
    <w:p>
      <w:r>
        <w:pict>
          <v:rect style="width:0;height:1.5pt" o:hralign="center" o:hrstd="t" o:hr="t"/>
        </w:pict>
      </w:r>
    </w:p>
    <w:bookmarkEnd w:id="28"/>
    <w:bookmarkEnd w:id="29"/>
    <w:bookmarkEnd w:id="30"/>
    <w:bookmarkStart w:id="46" w:name="molecular-input-foundation-analysis"/>
    <w:p>
      <w:pPr>
        <w:pStyle w:val="2"/>
      </w:pPr>
      <w:r>
        <w:t xml:space="preserve">2. Molecular Input &amp; Foundation Analysis</w:t>
      </w:r>
    </w:p>
    <w:bookmarkStart w:id="33" w:name="smiles-string-ingestion"/>
    <w:p>
      <w:pPr>
        <w:pStyle w:val="3"/>
      </w:pPr>
      <w:r>
        <w:t xml:space="preserve">2.1 SMILES String Ingestion</w:t>
      </w:r>
    </w:p>
    <w:p>
      <w:pPr>
        <w:pStyle w:val="FirstParagraph"/>
      </w:pPr>
      <w:r>
        <w:t xml:space="preserve">The</w:t>
      </w:r>
      <w:r>
        <w:t xml:space="preserve"> </w:t>
      </w:r>
      <w:r>
        <w:rPr>
          <w:b/>
          <w:bCs/>
        </w:rPr>
        <w:t xml:space="preserve">single-molecule entry point</w:t>
      </w:r>
      <w:r>
        <w:t xml:space="preserve"> </w:t>
      </w:r>
      <w:r>
        <w:t xml:space="preserve">for Layer 1 is the</w:t>
      </w:r>
      <w:r>
        <w:t xml:space="preserve"> </w:t>
      </w:r>
      <w:r>
        <w:rPr>
          <w:b/>
          <w:bCs/>
        </w:rPr>
        <w:t xml:space="preserve">Simplified Molecular Input Line Entry System (SMILES)</w:t>
      </w:r>
      <w:r>
        <w:t xml:space="preserve"> </w:t>
      </w:r>
      <w:r>
        <w:t xml:space="preserve">string, selected for universal adoption in cheminformatics, human readability for moderate complexity structures, and efficient parsing by computational tools. The ingestion pipeline implements</w:t>
      </w:r>
      <w:r>
        <w:t xml:space="preserve"> </w:t>
      </w:r>
      <w:r>
        <w:rPr>
          <w:b/>
          <w:bCs/>
        </w:rPr>
        <w:t xml:space="preserve">immediate validation and canonicalization</w:t>
      </w:r>
      <w:r>
        <w:t xml:space="preserve"> </w:t>
      </w:r>
      <w:r>
        <w:t xml:space="preserve">through RDKit.js to ensure robust downstream processing.</w:t>
      </w:r>
    </w:p>
    <w:bookmarkStart w:id="31" w:name="single-molecule-entry-point"/>
    <w:p>
      <w:pPr>
        <w:pStyle w:val="4"/>
      </w:pPr>
      <w:r>
        <w:t xml:space="preserve">2.1.1 Single-Molecule Entry Point</w:t>
      </w:r>
    </w:p>
    <w:p>
      <w:pPr>
        <w:pStyle w:val="FirstParagraph"/>
      </w:pPr>
      <w:r>
        <w:t xml:space="preserve">The user interface presents a</w:t>
      </w:r>
      <w:r>
        <w:t xml:space="preserve"> </w:t>
      </w:r>
      <w:r>
        <w:rPr>
          <w:b/>
          <w:bCs/>
        </w:rPr>
        <w:t xml:space="preserve">dedicated molecular input panel</w:t>
      </w:r>
      <w:r>
        <w:t xml:space="preserve"> </w:t>
      </w:r>
      <w:r>
        <w:t xml:space="preserve">with:</w:t>
      </w:r>
    </w:p>
    <w:p>
      <w:pPr>
        <w:pStyle w:val="Compact"/>
        <w:numPr>
          <w:ilvl w:val="0"/>
          <w:numId w:val="1003"/>
        </w:numPr>
      </w:pPr>
      <w:r>
        <w:rPr>
          <w:b/>
          <w:bCs/>
        </w:rPr>
        <w:t xml:space="preserve">Real-time syntax highlighting</w:t>
      </w:r>
      <w:r>
        <w:t xml:space="preserve"> </w:t>
      </w:r>
      <w:r>
        <w:t xml:space="preserve">distinguishing atom symbols, bond characters, ring closure digits, and bracketed specifications</w:t>
      </w:r>
    </w:p>
    <w:p>
      <w:pPr>
        <w:pStyle w:val="Compact"/>
        <w:numPr>
          <w:ilvl w:val="0"/>
          <w:numId w:val="1003"/>
        </w:numPr>
      </w:pPr>
      <w:r>
        <w:rPr>
          <w:b/>
          <w:bCs/>
        </w:rPr>
        <w:t xml:space="preserve">Multi-modal input support</w:t>
      </w:r>
      <w:r>
        <w:t xml:space="preserve">: direct keyboard entry, clipboard paste with automatic format extraction, drag-and-drop of structure files (SDF, MOL, MOL2) with client-side conversion</w:t>
      </w:r>
    </w:p>
    <w:p>
      <w:pPr>
        <w:pStyle w:val="Compact"/>
        <w:numPr>
          <w:ilvl w:val="0"/>
          <w:numId w:val="1003"/>
        </w:numPr>
      </w:pPr>
      <w:r>
        <w:rPr>
          <w:b/>
          <w:bCs/>
        </w:rPr>
        <w:t xml:space="preserve">Immediate validation feedback</w:t>
      </w:r>
      <w:r>
        <w:t xml:space="preserve"> </w:t>
      </w:r>
      <w:r>
        <w:t xml:space="preserve">with position-specific error localization for malformed input</w:t>
      </w:r>
    </w:p>
    <w:p>
      <w:pPr>
        <w:pStyle w:val="FirstParagraph"/>
      </w:pPr>
      <w:r>
        <w:t xml:space="preserve">Upon successful parsing,</w:t>
      </w:r>
      <w:r>
        <w:t xml:space="preserve"> </w:t>
      </w:r>
      <w:r>
        <w:rPr>
          <w:b/>
          <w:bCs/>
        </w:rPr>
        <w:t xml:space="preserve">canonical SMILES</w:t>
      </w:r>
      <w:r>
        <w:t xml:space="preserve"> </w:t>
      </w:r>
      <w:r>
        <w:t xml:space="preserve">is displayed to confirm interpretation, with</w:t>
      </w:r>
      <w:r>
        <w:t xml:space="preserve"> </w:t>
      </w:r>
      <w:r>
        <w:rPr>
          <w:b/>
          <w:bCs/>
        </w:rPr>
        <w:t xml:space="preserve">2D structure visualization</w:t>
      </w:r>
      <w:r>
        <w:t xml:space="preserve"> </w:t>
      </w:r>
      <w:r>
        <w:t xml:space="preserve">rendered through RDKit’s depiction engine showing aromatic highlighting and stereochemical notation.</w:t>
      </w:r>
    </w:p>
    <w:bookmarkEnd w:id="31"/>
    <w:bookmarkStart w:id="32" w:name="canonicalization-validation"/>
    <w:p>
      <w:pPr>
        <w:pStyle w:val="4"/>
      </w:pPr>
      <w:r>
        <w:t xml:space="preserve">2.1.2 Canonicalization &amp; Validation</w:t>
      </w:r>
    </w:p>
    <w:p>
      <w:pPr>
        <w:pStyle w:val="FirstParagraph"/>
      </w:pPr>
      <w:r>
        <w:t xml:space="preserve">The</w:t>
      </w:r>
      <w:r>
        <w:t xml:space="preserve"> </w:t>
      </w:r>
      <w:r>
        <w:rPr>
          <w:b/>
          <w:bCs/>
        </w:rPr>
        <w:t xml:space="preserve">canonicalization process</w:t>
      </w:r>
      <w:r>
        <w:t xml:space="preserve"> </w:t>
      </w:r>
      <w:r>
        <w:t xml:space="preserve">transforms valid but non-standard SMILES representations into a</w:t>
      </w:r>
      <w:r>
        <w:t xml:space="preserve"> </w:t>
      </w:r>
      <w:r>
        <w:rPr>
          <w:b/>
          <w:bCs/>
        </w:rPr>
        <w:t xml:space="preserve">deterministic form</w:t>
      </w:r>
      <w:r>
        <w:t xml:space="preserve"> </w:t>
      </w:r>
      <w:r>
        <w:t xml:space="preserve">through RDKit’s universal SMILES algorithm:</w:t>
      </w:r>
    </w:p>
    <w:tbl>
      <w:tblPr>
        <w:tblStyle w:val="Table"/>
        <w:tblW w:type="pct" w:w="5000"/>
        <w:jc w:val="left"/>
        <w:tblLayout w:type="fixed"/>
        <w:tblLook w:firstRow="1" w:lastRow="0" w:firstColumn="0" w:lastColumn="0" w:noHBand="0" w:noVBand="0" w:val="0020"/>
      </w:tblPr>
      <w:tblGrid>
        <w:gridCol w:w="3960"/>
        <w:gridCol w:w="2200"/>
        <w:gridCol w:w="1760"/>
      </w:tblGrid>
      <w:tr>
        <w:trPr>
          <w:tblHeader w:val="on"/>
        </w:trPr>
        <w:tc>
          <w:tcPr/>
          <w:p>
            <w:pPr>
              <w:pStyle w:val="Compact"/>
              <w:jc w:val="left"/>
            </w:pPr>
            <w:r>
              <w:t xml:space="preserve">Processing Stage</w:t>
            </w:r>
          </w:p>
        </w:tc>
        <w:tc>
          <w:tcPr/>
          <w:p>
            <w:pPr>
              <w:pStyle w:val="Compact"/>
              <w:jc w:val="left"/>
            </w:pPr>
            <w:r>
              <w:t xml:space="preserve">Function</w:t>
            </w:r>
          </w:p>
        </w:tc>
        <w:tc>
          <w:tcPr/>
          <w:p>
            <w:pPr>
              <w:pStyle w:val="Compact"/>
              <w:jc w:val="left"/>
            </w:pPr>
            <w:r>
              <w:t xml:space="preserve">Output</w:t>
            </w:r>
          </w:p>
        </w:tc>
      </w:tr>
      <w:tr>
        <w:tc>
          <w:tcPr/>
          <w:p>
            <w:pPr>
              <w:pStyle w:val="Compact"/>
              <w:jc w:val="left"/>
            </w:pPr>
            <w:r>
              <w:rPr>
                <w:b/>
                <w:bCs/>
              </w:rPr>
              <w:t xml:space="preserve">Syntactic validation</w:t>
            </w:r>
          </w:p>
        </w:tc>
        <w:tc>
          <w:tcPr/>
          <w:p>
            <w:pPr>
              <w:pStyle w:val="Compact"/>
              <w:jc w:val="left"/>
            </w:pPr>
            <w:r>
              <w:t xml:space="preserve">Detect unbalanced parentheses, invalid atom symbols, impossible valences</w:t>
            </w:r>
          </w:p>
        </w:tc>
        <w:tc>
          <w:tcPr/>
          <w:p>
            <w:pPr>
              <w:pStyle w:val="Compact"/>
              <w:jc w:val="left"/>
            </w:pPr>
            <w:r>
              <w:t xml:space="preserve">Error message with position indication</w:t>
            </w:r>
          </w:p>
        </w:tc>
      </w:tr>
      <w:tr>
        <w:tc>
          <w:tcPr/>
          <w:p>
            <w:pPr>
              <w:pStyle w:val="Compact"/>
              <w:jc w:val="left"/>
            </w:pPr>
            <w:r>
              <w:rPr>
                <w:b/>
                <w:bCs/>
              </w:rPr>
              <w:t xml:space="preserve">Semantic validation</w:t>
            </w:r>
          </w:p>
        </w:tc>
        <w:tc>
          <w:tcPr/>
          <w:p>
            <w:pPr>
              <w:pStyle w:val="Compact"/>
              <w:jc w:val="left"/>
            </w:pPr>
            <w:r>
              <w:t xml:space="preserve">Resolve aromaticity, check chemically reasonable configurations</w:t>
            </w:r>
          </w:p>
        </w:tc>
        <w:tc>
          <w:tcPr/>
          <w:p>
            <w:pPr>
              <w:pStyle w:val="Compact"/>
              <w:jc w:val="left"/>
            </w:pPr>
            <w:r>
              <w:t xml:space="preserve">Warning for unusual bonding patterns</w:t>
            </w:r>
          </w:p>
        </w:tc>
      </w:tr>
      <w:tr>
        <w:tc>
          <w:tcPr/>
          <w:p>
            <w:pPr>
              <w:pStyle w:val="Compact"/>
              <w:jc w:val="left"/>
            </w:pPr>
            <w:r>
              <w:rPr>
                <w:b/>
                <w:bCs/>
              </w:rPr>
              <w:t xml:space="preserve">Canonical reordering</w:t>
            </w:r>
          </w:p>
        </w:tc>
        <w:tc>
          <w:tcPr/>
          <w:p>
            <w:pPr>
              <w:pStyle w:val="Compact"/>
              <w:jc w:val="left"/>
            </w:pPr>
            <w:r>
              <w:t xml:space="preserve">Generate lexicographically minimal atom ordering</w:t>
            </w:r>
          </w:p>
        </w:tc>
        <w:tc>
          <w:tcPr/>
          <w:p>
            <w:pPr>
              <w:pStyle w:val="Compact"/>
              <w:jc w:val="left"/>
            </w:pPr>
            <w:r>
              <w:t xml:space="preserve">Canonical SMILES for caching/matching</w:t>
            </w:r>
          </w:p>
        </w:tc>
      </w:tr>
      <w:tr>
        <w:tc>
          <w:tcPr/>
          <w:p>
            <w:pPr>
              <w:pStyle w:val="Compact"/>
              <w:jc w:val="left"/>
            </w:pPr>
            <w:r>
              <w:rPr>
                <w:b/>
                <w:bCs/>
              </w:rPr>
              <w:t xml:space="preserve">Provenance recording</w:t>
            </w:r>
          </w:p>
        </w:tc>
        <w:tc>
          <w:tcPr/>
          <w:p>
            <w:pPr>
              <w:pStyle w:val="Compact"/>
              <w:jc w:val="left"/>
            </w:pPr>
            <w:r>
              <w:t xml:space="preserve">Store original and canonical forms</w:t>
            </w:r>
          </w:p>
        </w:tc>
        <w:tc>
          <w:tcPr/>
          <w:p>
            <w:pPr>
              <w:pStyle w:val="Compact"/>
              <w:jc w:val="left"/>
            </w:pPr>
            <w:r>
              <w:t xml:space="preserve">Complete audit trail</w:t>
            </w:r>
          </w:p>
        </w:tc>
      </w:tr>
    </w:tbl>
    <w:p>
      <w:pPr>
        <w:pStyle w:val="a0"/>
      </w:pPr>
      <w:r>
        <w:t xml:space="preserve">This canonicalization ensures that</w:t>
      </w:r>
      <w:r>
        <w:t xml:space="preserve"> </w:t>
      </w:r>
      <w:r>
        <w:rPr>
          <w:b/>
          <w:bCs/>
        </w:rPr>
        <w:t xml:space="preserve">“</w:t>
      </w:r>
      <w:r>
        <w:rPr>
          <w:b/>
          <w:bCs/>
        </w:rPr>
        <w:t xml:space="preserve">CCO</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OCC</w:t>
      </w:r>
      <w:r>
        <w:rPr>
          <w:b/>
          <w:bCs/>
        </w:rPr>
        <w:t xml:space="preserve">”</w:t>
      </w:r>
      <w:r>
        <w:rPr>
          <w:b/>
          <w:bCs/>
        </w:rPr>
        <w:t xml:space="preserve"> </w:t>
      </w:r>
      <w:r>
        <w:rPr>
          <w:b/>
          <w:bCs/>
        </w:rPr>
        <w:t xml:space="preserve">for ethanol</w:t>
      </w:r>
      <w:r>
        <w:t xml:space="preserve"> </w:t>
      </w:r>
      <w:r>
        <w:t xml:space="preserve">produce identical internal representations, preventing fragmented database matching and enabling reliable reproducibility.</w:t>
      </w:r>
    </w:p>
    <w:bookmarkEnd w:id="32"/>
    <w:bookmarkEnd w:id="33"/>
    <w:bookmarkStart w:id="38" w:name="molecular-property-extraction-step-1"/>
    <w:p>
      <w:pPr>
        <w:pStyle w:val="3"/>
      </w:pPr>
      <w:r>
        <w:t xml:space="preserve">2.2 Molecular Property Extraction (Step 1)</w:t>
      </w:r>
    </w:p>
    <w:p>
      <w:pPr>
        <w:pStyle w:val="FirstParagraph"/>
      </w:pPr>
      <w:r>
        <w:t xml:space="preserve">Step 1 invokes</w:t>
      </w:r>
      <w:r>
        <w:t xml:space="preserve"> </w:t>
      </w:r>
      <w:r>
        <w:rPr>
          <w:b/>
          <w:bCs/>
        </w:rPr>
        <w:t xml:space="preserve">RDKit.js to compute 40+ molecular descriptors</w:t>
      </w:r>
      <w:r>
        <w:t xml:space="preserve"> </w:t>
      </w:r>
      <w:r>
        <w:t xml:space="preserve">that establish the quantitative foundation for all subsequent analyses. The descriptor set balances</w:t>
      </w:r>
      <w:r>
        <w:t xml:space="preserve"> </w:t>
      </w:r>
      <w:r>
        <w:rPr>
          <w:b/>
          <w:bCs/>
        </w:rPr>
        <w:t xml:space="preserve">predictive power for ADMET properties</w:t>
      </w:r>
      <w:r>
        <w:t xml:space="preserve"> </w:t>
      </w:r>
      <w:r>
        <w:t xml:space="preserve">with</w:t>
      </w:r>
      <w:r>
        <w:t xml:space="preserve"> </w:t>
      </w:r>
      <w:r>
        <w:rPr>
          <w:b/>
          <w:bCs/>
        </w:rPr>
        <w:t xml:space="preserve">computational efficiency</w:t>
      </w:r>
      <w:r>
        <w:t xml:space="preserve">, focusing on properties with validated structure-activity relationships in pharmaceutical research.</w:t>
      </w:r>
    </w:p>
    <w:bookmarkStart w:id="37" w:name="descriptor-computation-via-rdkit.js"/>
    <w:p>
      <w:pPr>
        <w:pStyle w:val="4"/>
      </w:pPr>
      <w:r>
        <w:t xml:space="preserve">2.2.1 40+ Descriptor Computation via RDKit.js</w:t>
      </w:r>
    </w:p>
    <w:p>
      <w:pPr>
        <w:pStyle w:val="FirstParagraph"/>
      </w:pPr>
      <w:r>
        <w:t xml:space="preserve">The descriptor computation executes in</w:t>
      </w:r>
      <w:r>
        <w:t xml:space="preserve"> </w:t>
      </w:r>
      <w:r>
        <w:rPr>
          <w:b/>
          <w:bCs/>
        </w:rPr>
        <w:t xml:space="preserve">under 50 milliseconds</w:t>
      </w:r>
      <w:r>
        <w:t xml:space="preserve"> </w:t>
      </w:r>
      <w:r>
        <w:t xml:space="preserve">for typical drug-like molecules (MW &lt; 1000 Da), with results organized in functional categories:</w:t>
      </w:r>
    </w:p>
    <w:bookmarkStart w:id="34" w:name="Xd65919aed389e6203e16cb9939bb43f9dc0169a"/>
    <w:p>
      <w:pPr>
        <w:pStyle w:val="5"/>
      </w:pPr>
      <w:r>
        <w:t xml:space="preserve">2.2.1.1 Physicochemical: MW, LogP (CrippenClogP), TPSA</w:t>
      </w:r>
    </w:p>
    <w:tbl>
      <w:tblPr>
        <w:tblStyle w:val="Table"/>
        <w:tblW w:type="pct" w:w="5000"/>
        <w:jc w:val="left"/>
        <w:tblLayout w:type="fixed"/>
        <w:tblLook w:firstRow="1" w:lastRow="0" w:firstColumn="0" w:lastColumn="0" w:noHBand="0" w:noVBand="0" w:val="0020"/>
      </w:tblPr>
      <w:tblGrid>
        <w:gridCol w:w="1667"/>
        <w:gridCol w:w="1528"/>
        <w:gridCol w:w="1806"/>
        <w:gridCol w:w="2917"/>
      </w:tblGrid>
      <w:tr>
        <w:trPr>
          <w:tblHeader w:val="on"/>
        </w:trPr>
        <w:tc>
          <w:tcPr/>
          <w:p>
            <w:pPr>
              <w:pStyle w:val="Compact"/>
              <w:jc w:val="left"/>
            </w:pPr>
            <w:r>
              <w:t xml:space="preserve">Descriptor</w:t>
            </w:r>
          </w:p>
        </w:tc>
        <w:tc>
          <w:tcPr/>
          <w:p>
            <w:pPr>
              <w:pStyle w:val="Compact"/>
              <w:jc w:val="left"/>
            </w:pPr>
            <w:r>
              <w:t xml:space="preserve">Definition</w:t>
            </w:r>
          </w:p>
        </w:tc>
        <w:tc>
          <w:tcPr/>
          <w:p>
            <w:pPr>
              <w:pStyle w:val="Compact"/>
              <w:jc w:val="left"/>
            </w:pPr>
            <w:r>
              <w:t xml:space="preserve">Optimal Range</w:t>
            </w:r>
          </w:p>
        </w:tc>
        <w:tc>
          <w:tcPr/>
          <w:p>
            <w:pPr>
              <w:pStyle w:val="Compact"/>
              <w:jc w:val="left"/>
            </w:pPr>
            <w:r>
              <w:t xml:space="preserve">Critical Thresholds</w:t>
            </w:r>
          </w:p>
        </w:tc>
      </w:tr>
      <w:tr>
        <w:tc>
          <w:tcPr/>
          <w:p>
            <w:pPr>
              <w:pStyle w:val="Compact"/>
              <w:jc w:val="left"/>
            </w:pPr>
            <w:r>
              <w:rPr>
                <w:b/>
                <w:bCs/>
              </w:rPr>
              <w:t xml:space="preserve">MW (Molecular Weight)</w:t>
            </w:r>
          </w:p>
        </w:tc>
        <w:tc>
          <w:tcPr/>
          <w:p>
            <w:pPr>
              <w:pStyle w:val="Compact"/>
              <w:jc w:val="left"/>
            </w:pPr>
            <w:r>
              <w:t xml:space="preserve">Sum of atomic masses (Daltons)</w:t>
            </w:r>
          </w:p>
        </w:tc>
        <w:tc>
          <w:tcPr/>
          <w:p>
            <w:pPr>
              <w:pStyle w:val="Compact"/>
              <w:jc w:val="left"/>
            </w:pPr>
            <w:r>
              <w:t xml:space="preserve">300–500 Da</w:t>
            </w:r>
          </w:p>
        </w:tc>
        <w:tc>
          <w:tcPr/>
          <w:p>
            <w:pPr>
              <w:pStyle w:val="Compact"/>
              <w:jc w:val="left"/>
            </w:pPr>
            <w:r>
              <w:t xml:space="preserve">&gt;500 Da: declining absorption; &gt;700 Da: restricted distribution</w:t>
            </w:r>
          </w:p>
        </w:tc>
      </w:tr>
      <w:tr>
        <w:tc>
          <w:tcPr/>
          <w:p>
            <w:pPr>
              <w:pStyle w:val="Compact"/>
              <w:jc w:val="left"/>
            </w:pPr>
            <w:r>
              <w:rPr>
                <w:b/>
                <w:bCs/>
              </w:rPr>
              <w:t xml:space="preserve">LogP (CrippenClogP)</w:t>
            </w:r>
          </w:p>
        </w:tc>
        <w:tc>
          <w:tcPr/>
          <w:p>
            <w:pPr>
              <w:pStyle w:val="Compact"/>
              <w:jc w:val="left"/>
            </w:pPr>
            <w:r>
              <w:t xml:space="preserve">Octanol-water partition coefficient via atom contributions</w:t>
            </w:r>
          </w:p>
        </w:tc>
        <w:tc>
          <w:tcPr/>
          <w:p>
            <w:pPr>
              <w:pStyle w:val="Compact"/>
              <w:jc w:val="left"/>
            </w:pPr>
            <w:r>
              <w:t xml:space="preserve">1–4</w:t>
            </w:r>
          </w:p>
        </w:tc>
        <w:tc>
          <w:tcPr/>
          <w:p>
            <w:pPr>
              <w:pStyle w:val="Compact"/>
              <w:jc w:val="left"/>
            </w:pPr>
            <w:r>
              <w:t xml:space="preserve">&lt;0: poor permeability; &gt;5: metabolic instability, protein binding</w:t>
            </w:r>
          </w:p>
        </w:tc>
      </w:tr>
      <w:tr>
        <w:tc>
          <w:tcPr/>
          <w:p>
            <w:pPr>
              <w:pStyle w:val="Compact"/>
              <w:jc w:val="left"/>
            </w:pPr>
            <w:r>
              <w:rPr>
                <w:b/>
                <w:bCs/>
              </w:rPr>
              <w:t xml:space="preserve">TPSA</w:t>
            </w:r>
          </w:p>
        </w:tc>
        <w:tc>
          <w:tcPr/>
          <w:p>
            <w:pPr>
              <w:pStyle w:val="Compact"/>
              <w:jc w:val="left"/>
            </w:pPr>
            <w:r>
              <w:t xml:space="preserve">Topological polar surface area (Å²) from polar atom contributions</w:t>
            </w:r>
          </w:p>
        </w:tc>
        <w:tc>
          <w:tcPr/>
          <w:p>
            <w:pPr>
              <w:pStyle w:val="Compact"/>
              <w:jc w:val="left"/>
            </w:pPr>
            <w:r>
              <w:t xml:space="preserve">40–90 Å²</w:t>
            </w:r>
          </w:p>
        </w:tc>
        <w:tc>
          <w:tcPr/>
          <w:p>
            <w:pPr>
              <w:pStyle w:val="Compact"/>
              <w:jc w:val="left"/>
            </w:pPr>
            <w:r>
              <w:t xml:space="preserve">&lt;60 Å²: high absorption; &gt;140 Å²: poor oral bioavailability</w:t>
            </w:r>
          </w:p>
        </w:tc>
      </w:tr>
    </w:tbl>
    <w:p>
      <w:pPr>
        <w:pStyle w:val="a0"/>
      </w:pPr>
      <w:r>
        <w:t xml:space="preserve">The</w:t>
      </w:r>
      <w:r>
        <w:t xml:space="preserve"> </w:t>
      </w:r>
      <w:r>
        <w:rPr>
          <w:b/>
          <w:bCs/>
        </w:rPr>
        <w:t xml:space="preserve">CrippenClogP implementation</w:t>
      </w:r>
      <w:r>
        <w:t xml:space="preserve"> </w:t>
      </w:r>
      <w:r>
        <w:t xml:space="preserve">employs 110 atom-type parameters trained on experimental partition coefficient data, achieving</w:t>
      </w:r>
      <w:r>
        <w:t xml:space="preserve"> </w:t>
      </w:r>
      <w:r>
        <w:rPr>
          <w:b/>
          <w:bCs/>
        </w:rPr>
        <w:t xml:space="preserve">typical accuracy of 0.3–0.5 log units</w:t>
      </w:r>
      <w:r>
        <w:t xml:space="preserve"> </w:t>
      </w:r>
      <w:r>
        <w:t xml:space="preserve">for drug-like molecules.</w:t>
      </w:r>
      <w:r>
        <w:t xml:space="preserve"> </w:t>
      </w:r>
      <w:r>
        <w:rPr>
          <w:b/>
          <w:bCs/>
        </w:rPr>
        <w:t xml:space="preserve">TPSA calculation</w:t>
      </w:r>
      <w:r>
        <w:t xml:space="preserve"> </w:t>
      </w:r>
      <w:r>
        <w:t xml:space="preserve">uses the Ertl method with 43 fragment types, correlating with</w:t>
      </w:r>
      <w:r>
        <w:t xml:space="preserve"> </w:t>
      </w:r>
      <w:r>
        <w:rPr>
          <w:b/>
          <w:bCs/>
        </w:rPr>
        <w:t xml:space="preserve">&gt;0.95</w:t>
      </w:r>
      <w:r>
        <w:t xml:space="preserve"> </w:t>
      </w:r>
      <w:r>
        <w:t xml:space="preserve">to 3D-derived PSA values while requiring only topological connectivity.</w:t>
      </w:r>
    </w:p>
    <w:bookmarkEnd w:id="34"/>
    <w:bookmarkStart w:id="35" w:name="X7478f4e909b0a652c08d71d8d7453cefda50b1a"/>
    <w:p>
      <w:pPr>
        <w:pStyle w:val="5"/>
      </w:pPr>
      <w:r>
        <w:t xml:space="preserve">2.2.1.2 Structural: HBD, HBA, Rotatable Bonds, Aromatic Rings</w:t>
      </w:r>
    </w:p>
    <w:tbl>
      <w:tblPr>
        <w:tblStyle w:val="Table"/>
        <w:tblW w:type="pct" w:w="5000"/>
        <w:jc w:val="left"/>
        <w:tblLayout w:type="fixed"/>
        <w:tblLook w:firstRow="1" w:lastRow="0" w:firstColumn="0" w:lastColumn="0" w:noHBand="0" w:noVBand="0" w:val="0020"/>
      </w:tblPr>
      <w:tblGrid>
        <w:gridCol w:w="1558"/>
        <w:gridCol w:w="1428"/>
        <w:gridCol w:w="2466"/>
        <w:gridCol w:w="2466"/>
      </w:tblGrid>
      <w:tr>
        <w:trPr>
          <w:tblHeader w:val="on"/>
        </w:trPr>
        <w:tc>
          <w:tcPr/>
          <w:p>
            <w:pPr>
              <w:pStyle w:val="Compact"/>
              <w:jc w:val="left"/>
            </w:pPr>
            <w:r>
              <w:t xml:space="preserve">Descriptor</w:t>
            </w:r>
          </w:p>
        </w:tc>
        <w:tc>
          <w:tcPr/>
          <w:p>
            <w:pPr>
              <w:pStyle w:val="Compact"/>
              <w:jc w:val="left"/>
            </w:pPr>
            <w:r>
              <w:t xml:space="preserve">Definition</w:t>
            </w:r>
          </w:p>
        </w:tc>
        <w:tc>
          <w:tcPr/>
          <w:p>
            <w:pPr>
              <w:pStyle w:val="Compact"/>
              <w:jc w:val="left"/>
            </w:pPr>
            <w:r>
              <w:t xml:space="preserve">Lipinski Threshold</w:t>
            </w:r>
          </w:p>
        </w:tc>
        <w:tc>
          <w:tcPr/>
          <w:p>
            <w:pPr>
              <w:pStyle w:val="Compact"/>
              <w:jc w:val="left"/>
            </w:pPr>
            <w:r>
              <w:t xml:space="preserve">Clinical Relevance</w:t>
            </w:r>
          </w:p>
        </w:tc>
      </w:tr>
      <w:tr>
        <w:tc>
          <w:tcPr/>
          <w:p>
            <w:pPr>
              <w:pStyle w:val="Compact"/>
              <w:jc w:val="left"/>
            </w:pPr>
            <w:r>
              <w:rPr>
                <w:b/>
                <w:bCs/>
              </w:rPr>
              <w:t xml:space="preserve">HBD (Hydrogen Bond Donors)</w:t>
            </w:r>
          </w:p>
        </w:tc>
        <w:tc>
          <w:tcPr/>
          <w:p>
            <w:pPr>
              <w:pStyle w:val="Compact"/>
              <w:jc w:val="left"/>
            </w:pPr>
            <w:r>
              <w:t xml:space="preserve">N-H and O-H groups</w:t>
            </w:r>
          </w:p>
        </w:tc>
        <w:tc>
          <w:tcPr/>
          <w:p>
            <w:pPr>
              <w:pStyle w:val="Compact"/>
              <w:jc w:val="left"/>
            </w:pPr>
            <w:r>
              <w:t xml:space="preserve">≤5</w:t>
            </w:r>
          </w:p>
        </w:tc>
        <w:tc>
          <w:tcPr/>
          <w:p>
            <w:pPr>
              <w:pStyle w:val="Compact"/>
              <w:jc w:val="left"/>
            </w:pPr>
            <w:r>
              <w:t xml:space="preserve">Stronger permeability correlation than HBA; &gt;5: severe absorption penalty</w:t>
            </w:r>
          </w:p>
        </w:tc>
      </w:tr>
      <w:tr>
        <w:tc>
          <w:tcPr/>
          <w:p>
            <w:pPr>
              <w:pStyle w:val="Compact"/>
              <w:jc w:val="left"/>
            </w:pPr>
            <w:r>
              <w:rPr>
                <w:b/>
                <w:bCs/>
              </w:rPr>
              <w:t xml:space="preserve">HBA (Hydrogen Bond Acceptors)</w:t>
            </w:r>
          </w:p>
        </w:tc>
        <w:tc>
          <w:tcPr/>
          <w:p>
            <w:pPr>
              <w:pStyle w:val="Compact"/>
              <w:jc w:val="left"/>
            </w:pPr>
            <w:r>
              <w:t xml:space="preserve">N and O atoms</w:t>
            </w:r>
          </w:p>
        </w:tc>
        <w:tc>
          <w:tcPr/>
          <w:p>
            <w:pPr>
              <w:pStyle w:val="Compact"/>
              <w:jc w:val="left"/>
            </w:pPr>
            <w:r>
              <w:t xml:space="preserve">≤10</w:t>
            </w:r>
          </w:p>
        </w:tc>
        <w:tc>
          <w:tcPr/>
          <w:p>
            <w:pPr>
              <w:pStyle w:val="Compact"/>
              <w:jc w:val="left"/>
            </w:pPr>
            <w:r>
              <w:t xml:space="preserve">&gt;10: efflux substrate risk, metabolic lability</w:t>
            </w:r>
          </w:p>
        </w:tc>
      </w:tr>
      <w:tr>
        <w:tc>
          <w:tcPr/>
          <w:p>
            <w:pPr>
              <w:pStyle w:val="Compact"/>
              <w:jc w:val="left"/>
            </w:pPr>
            <w:r>
              <w:rPr>
                <w:b/>
                <w:bCs/>
              </w:rPr>
              <w:t xml:space="preserve">Rotatable Bonds</w:t>
            </w:r>
          </w:p>
        </w:tc>
        <w:tc>
          <w:tcPr/>
          <w:p>
            <w:pPr>
              <w:pStyle w:val="Compact"/>
              <w:jc w:val="left"/>
            </w:pPr>
            <w:r>
              <w:t xml:space="preserve">Non-terminal, non-ring, non-amide single bonds</w:t>
            </w:r>
          </w:p>
        </w:tc>
        <w:tc>
          <w:tcPr/>
          <w:p>
            <w:pPr>
              <w:pStyle w:val="Compact"/>
              <w:jc w:val="left"/>
            </w:pPr>
            <w:r>
              <w:t xml:space="preserve">&lt;10</w:t>
            </w:r>
          </w:p>
        </w:tc>
        <w:tc>
          <w:tcPr/>
          <w:p>
            <w:pPr>
              <w:pStyle w:val="Compact"/>
              <w:jc w:val="left"/>
            </w:pPr>
            <w:r>
              <w:t xml:space="preserve">Proxy for flexibility; &gt;10: rapid metabolism, entropy penalty</w:t>
            </w:r>
          </w:p>
        </w:tc>
      </w:tr>
      <w:tr>
        <w:tc>
          <w:tcPr/>
          <w:p>
            <w:pPr>
              <w:pStyle w:val="Compact"/>
              <w:jc w:val="left"/>
            </w:pPr>
            <w:r>
              <w:rPr>
                <w:b/>
                <w:bCs/>
              </w:rPr>
              <w:t xml:space="preserve">Aromatic Rings</w:t>
            </w:r>
          </w:p>
        </w:tc>
        <w:tc>
          <w:tcPr/>
          <w:p>
            <w:pPr>
              <w:pStyle w:val="Compact"/>
              <w:jc w:val="left"/>
            </w:pPr>
            <w:r>
              <w:t xml:space="preserve">Hückel aromatic systems</w:t>
            </w:r>
          </w:p>
        </w:tc>
        <w:tc>
          <w:tcPr/>
          <w:p>
            <w:pPr>
              <w:pStyle w:val="Compact"/>
              <w:jc w:val="left"/>
            </w:pPr>
            <w:r>
              <w:t xml:space="preserve">1–3</w:t>
            </w:r>
          </w:p>
        </w:tc>
        <w:tc>
          <w:tcPr/>
          <w:p>
            <w:pPr>
              <w:pStyle w:val="Compact"/>
              <w:jc w:val="left"/>
            </w:pPr>
            <w:r>
              <w:t xml:space="preserve">&gt;4: poor solubility, metabolic instability; kinase preference for 2–3</w:t>
            </w:r>
          </w:p>
        </w:tc>
      </w:tr>
    </w:tbl>
    <w:p>
      <w:pPr>
        <w:pStyle w:val="a0"/>
      </w:pPr>
      <w:r>
        <w:rPr>
          <w:b/>
          <w:bCs/>
        </w:rPr>
        <w:t xml:space="preserve">Rotatable bond counting</w:t>
      </w:r>
      <w:r>
        <w:t xml:space="preserve"> </w:t>
      </w:r>
      <w:r>
        <w:t xml:space="preserve">follows</w:t>
      </w:r>
      <w:r>
        <w:t xml:space="preserve"> </w:t>
      </w:r>
      <w:r>
        <w:rPr>
          <w:b/>
          <w:bCs/>
        </w:rPr>
        <w:t xml:space="preserve">Veber’s definition</w:t>
      </w:r>
      <w:r>
        <w:t xml:space="preserve">, excluding terminal methyl groups and amide C-N bonds due to restricted rotation, with this descriptor serving as both</w:t>
      </w:r>
      <w:r>
        <w:t xml:space="preserve"> </w:t>
      </w:r>
      <w:r>
        <w:rPr>
          <w:b/>
          <w:bCs/>
        </w:rPr>
        <w:t xml:space="preserve">metabolic stability predictor</w:t>
      </w:r>
      <w:r>
        <w:t xml:space="preserve"> </w:t>
      </w:r>
      <w:r>
        <w:t xml:space="preserve">and</w:t>
      </w:r>
      <w:r>
        <w:t xml:space="preserve"> </w:t>
      </w:r>
      <w:r>
        <w:rPr>
          <w:b/>
          <w:bCs/>
        </w:rPr>
        <w:t xml:space="preserve">oral bioavailability indicator</w:t>
      </w:r>
      <w:r>
        <w:t xml:space="preserve">.</w:t>
      </w:r>
    </w:p>
    <w:bookmarkEnd w:id="35"/>
    <w:bookmarkStart w:id="36" w:name="X510b9f8108f6b12900504640a80dfe9187d06a4"/>
    <w:p>
      <w:pPr>
        <w:pStyle w:val="5"/>
      </w:pPr>
      <w:r>
        <w:t xml:space="preserve">2.2.1.3 Advanced: FractionCSP3, NumHeavyAtoms, Labute ASA</w:t>
      </w:r>
    </w:p>
    <w:tbl>
      <w:tblPr>
        <w:tblStyle w:val="Table"/>
        <w:tblW w:type="pct" w:w="5000"/>
        <w:jc w:val="left"/>
        <w:tblLayout w:type="fixed"/>
        <w:tblLook w:firstRow="1" w:lastRow="0" w:firstColumn="0" w:lastColumn="0" w:noHBand="0" w:noVBand="0" w:val="0020"/>
      </w:tblPr>
      <w:tblGrid>
        <w:gridCol w:w="1900"/>
        <w:gridCol w:w="1742"/>
        <w:gridCol w:w="2059"/>
        <w:gridCol w:w="2217"/>
      </w:tblGrid>
      <w:tr>
        <w:trPr>
          <w:tblHeader w:val="on"/>
        </w:trPr>
        <w:tc>
          <w:tcPr/>
          <w:p>
            <w:pPr>
              <w:pStyle w:val="Compact"/>
              <w:jc w:val="left"/>
            </w:pPr>
            <w:r>
              <w:t xml:space="preserve">Descriptor</w:t>
            </w:r>
          </w:p>
        </w:tc>
        <w:tc>
          <w:tcPr/>
          <w:p>
            <w:pPr>
              <w:pStyle w:val="Compact"/>
              <w:jc w:val="left"/>
            </w:pPr>
            <w:r>
              <w:t xml:space="preserve">Definition</w:t>
            </w:r>
          </w:p>
        </w:tc>
        <w:tc>
          <w:tcPr/>
          <w:p>
            <w:pPr>
              <w:pStyle w:val="Compact"/>
              <w:jc w:val="left"/>
            </w:pPr>
            <w:r>
              <w:t xml:space="preserve">Application</w:t>
            </w:r>
          </w:p>
        </w:tc>
        <w:tc>
          <w:tcPr/>
          <w:p>
            <w:pPr>
              <w:pStyle w:val="Compact"/>
              <w:jc w:val="left"/>
            </w:pPr>
            <w:r>
              <w:t xml:space="preserve">Interpretation</w:t>
            </w:r>
          </w:p>
        </w:tc>
      </w:tr>
      <w:tr>
        <w:tc>
          <w:tcPr/>
          <w:p>
            <w:pPr>
              <w:pStyle w:val="Compact"/>
              <w:jc w:val="left"/>
            </w:pPr>
            <w:r>
              <w:rPr>
                <w:b/>
                <w:bCs/>
              </w:rPr>
              <w:t xml:space="preserve">FractionCSP3</w:t>
            </w:r>
          </w:p>
        </w:tc>
        <w:tc>
          <w:tcPr/>
          <w:p>
            <w:pPr>
              <w:pStyle w:val="Compact"/>
              <w:jc w:val="left"/>
            </w:pPr>
            <w:r>
              <w:t xml:space="preserve">sp³-hybridized carbons / total carbons</w:t>
            </w:r>
          </w:p>
        </w:tc>
        <w:tc>
          <w:tcPr/>
          <w:p>
            <w:pPr>
              <w:pStyle w:val="Compact"/>
              <w:jc w:val="left"/>
            </w:pPr>
            <w:r>
              <w:t xml:space="preserve">0.25–0.60 optimal</w:t>
            </w:r>
          </w:p>
        </w:tc>
        <w:tc>
          <w:tcPr/>
          <w:p>
            <w:pPr>
              <w:pStyle w:val="Compact"/>
              <w:jc w:val="left"/>
            </w:pPr>
            <w:r>
              <w:t xml:space="preserve">“</w:t>
            </w:r>
            <w:r>
              <w:t xml:space="preserve">Escape from flatland</w:t>
            </w:r>
            <w:r>
              <w:t xml:space="preserve">”</w:t>
            </w:r>
            <w:r>
              <w:t xml:space="preserve">; higher values → improved selectivity</w:t>
            </w:r>
          </w:p>
        </w:tc>
      </w:tr>
      <w:tr>
        <w:tc>
          <w:tcPr/>
          <w:p>
            <w:pPr>
              <w:pStyle w:val="Compact"/>
              <w:jc w:val="left"/>
            </w:pPr>
            <w:r>
              <w:rPr>
                <w:b/>
                <w:bCs/>
              </w:rPr>
              <w:t xml:space="preserve">NumHeavyAtoms</w:t>
            </w:r>
          </w:p>
        </w:tc>
        <w:tc>
          <w:tcPr/>
          <w:p>
            <w:pPr>
              <w:pStyle w:val="Compact"/>
              <w:jc w:val="left"/>
            </w:pPr>
            <w:r>
              <w:t xml:space="preserve">Non-hydrogen atom count</w:t>
            </w:r>
          </w:p>
        </w:tc>
        <w:tc>
          <w:tcPr/>
          <w:p>
            <w:pPr>
              <w:pStyle w:val="Compact"/>
              <w:jc w:val="left"/>
            </w:pPr>
            <w:r>
              <w:t xml:space="preserve">Ligand efficiency calculation</w:t>
            </w:r>
          </w:p>
        </w:tc>
        <w:tc>
          <w:tcPr/>
          <w:p>
            <w:pPr>
              <w:pStyle w:val="Compact"/>
              <w:jc w:val="left"/>
            </w:pPr>
            <w:r>
              <w:t xml:space="preserve">Normalization for binding affinity per atom investment</w:t>
            </w:r>
          </w:p>
        </w:tc>
      </w:tr>
      <w:tr>
        <w:tc>
          <w:tcPr/>
          <w:p>
            <w:pPr>
              <w:pStyle w:val="Compact"/>
              <w:jc w:val="left"/>
            </w:pPr>
            <w:r>
              <w:rPr>
                <w:b/>
                <w:bCs/>
              </w:rPr>
              <w:t xml:space="preserve">Labute ASA</w:t>
            </w:r>
          </w:p>
        </w:tc>
        <w:tc>
          <w:tcPr/>
          <w:p>
            <w:pPr>
              <w:pStyle w:val="Compact"/>
              <w:jc w:val="left"/>
            </w:pPr>
            <w:r>
              <w:t xml:space="preserve">Approximate solvent-accessible surface area</w:t>
            </w:r>
          </w:p>
        </w:tc>
        <w:tc>
          <w:tcPr/>
          <w:p>
            <w:pPr>
              <w:pStyle w:val="Compact"/>
              <w:jc w:val="left"/>
            </w:pPr>
            <w:r>
              <w:t xml:space="preserve">Distribution volume estimation</w:t>
            </w:r>
          </w:p>
        </w:tc>
        <w:tc>
          <w:tcPr/>
          <w:p>
            <w:pPr>
              <w:pStyle w:val="Compact"/>
              <w:jc w:val="left"/>
            </w:pPr>
            <w:r>
              <w:t xml:space="preserve">Rapid analytical approximation without 3D conformation</w:t>
            </w:r>
          </w:p>
        </w:tc>
      </w:tr>
    </w:tbl>
    <w:p>
      <w:pPr>
        <w:pStyle w:val="a0"/>
      </w:pPr>
      <w:r>
        <w:rPr>
          <w:b/>
          <w:bCs/>
        </w:rPr>
        <w:t xml:space="preserve">Ligand efficiency (LE)</w:t>
      </w:r>
      <w:r>
        <w:t xml:space="preserve"> </w:t>
      </w:r>
      <w:r>
        <w:t xml:space="preserve">calculation uses NumHeavyAtoms with threshold</w:t>
      </w:r>
      <w:r>
        <w:t xml:space="preserve"> </w:t>
      </w:r>
      <w:r>
        <w:rPr>
          <w:b/>
          <w:bCs/>
        </w:rPr>
        <w:t xml:space="preserve">LE &gt; 0.4 kcal/mol per heavy atom</w:t>
      </w:r>
      <w:r>
        <w:t xml:space="preserve"> </w:t>
      </w:r>
      <w:r>
        <w:t xml:space="preserve">triggering bonus adjustments in dose-response modeling, reflecting superior optimization potential of compact, efficient binders.</w:t>
      </w:r>
    </w:p>
    <w:bookmarkEnd w:id="36"/>
    <w:bookmarkEnd w:id="37"/>
    <w:bookmarkEnd w:id="38"/>
    <w:bookmarkStart w:id="45" w:name="pharmacophore-profile-detection-step-2"/>
    <w:p>
      <w:pPr>
        <w:pStyle w:val="3"/>
      </w:pPr>
      <w:r>
        <w:t xml:space="preserve">2.3 Pharmacophore Profile Detection (Step 2)</w:t>
      </w:r>
    </w:p>
    <w:p>
      <w:pPr>
        <w:pStyle w:val="FirstParagraph"/>
      </w:pPr>
      <w:r>
        <w:t xml:space="preserve">Following property extraction, Layer 1 executes</w:t>
      </w:r>
      <w:r>
        <w:t xml:space="preserve"> </w:t>
      </w:r>
      <w:r>
        <w:rPr>
          <w:b/>
          <w:bCs/>
        </w:rPr>
        <w:t xml:space="preserve">comprehensive pharmacophore profile detection</w:t>
      </w:r>
      <w:r>
        <w:t xml:space="preserve"> </w:t>
      </w:r>
      <w:r>
        <w:t xml:space="preserve">through</w:t>
      </w:r>
      <w:r>
        <w:t xml:space="preserve"> </w:t>
      </w:r>
      <w:r>
        <w:rPr>
          <w:b/>
          <w:bCs/>
        </w:rPr>
        <w:t xml:space="preserve">SMARTS pattern matching</w:t>
      </w:r>
      <w:r>
        <w:t xml:space="preserve"> </w:t>
      </w:r>
      <w:r>
        <w:t xml:space="preserve">against</w:t>
      </w:r>
      <w:r>
        <w:t xml:space="preserve"> </w:t>
      </w:r>
      <w:r>
        <w:rPr>
          <w:b/>
          <w:bCs/>
        </w:rPr>
        <w:t xml:space="preserve">27+ predefined structural features</w:t>
      </w:r>
      <w:r>
        <w:t xml:space="preserve">. SMARTS (SMiles ARbitrary Target Specification) extends SMILES with wildcard atoms, variable bonds, and recursive definitions, enabling precise identification of functional groups, scaffolds, and liability motifs with established biological relevance.</w:t>
      </w:r>
    </w:p>
    <w:bookmarkStart w:id="44" w:name="smarts-pattern-matching"/>
    <w:p>
      <w:pPr>
        <w:pStyle w:val="4"/>
      </w:pPr>
      <w:r>
        <w:t xml:space="preserve">2.3.1 27+ SMARTS Pattern Matching</w:t>
      </w:r>
    </w:p>
    <w:p>
      <w:pPr>
        <w:pStyle w:val="FirstParagraph"/>
      </w:pPr>
      <w:r>
        <w:t xml:space="preserve">The pattern library is organized by</w:t>
      </w:r>
      <w:r>
        <w:t xml:space="preserve"> </w:t>
      </w:r>
      <w:r>
        <w:rPr>
          <w:b/>
          <w:bCs/>
        </w:rPr>
        <w:t xml:space="preserve">therapeutic and mechanistic relevance</w:t>
      </w:r>
      <w:r>
        <w:t xml:space="preserve">, with each pattern annotated for confidence level and supporting evidence quality.</w:t>
      </w:r>
    </w:p>
    <w:bookmarkStart w:id="39" w:name="X20c185565de1abddce9230588d017eb36bc5d71"/>
    <w:p>
      <w:pPr>
        <w:pStyle w:val="5"/>
      </w:pPr>
      <w:r>
        <w:t xml:space="preserve">2.3.1.1 Kinase-Relevant: Aromatic N, Quinazoline/Pyrimidine, Aniline</w:t>
      </w:r>
    </w:p>
    <w:tbl>
      <w:tblPr>
        <w:tblStyle w:val="Table"/>
        <w:tblW w:type="pct" w:w="5000"/>
        <w:jc w:val="left"/>
        <w:tblLayout w:type="fixed"/>
        <w:tblLook w:firstRow="1" w:lastRow="0" w:firstColumn="0" w:lastColumn="0" w:noHBand="0" w:noVBand="0" w:val="0020"/>
      </w:tblPr>
      <w:tblGrid>
        <w:gridCol w:w="1344"/>
        <w:gridCol w:w="2092"/>
        <w:gridCol w:w="2390"/>
        <w:gridCol w:w="2092"/>
      </w:tblGrid>
      <w:tr>
        <w:trPr>
          <w:tblHeader w:val="on"/>
        </w:trPr>
        <w:tc>
          <w:tcPr/>
          <w:p>
            <w:pPr>
              <w:pStyle w:val="Compact"/>
              <w:jc w:val="left"/>
            </w:pPr>
            <w:r>
              <w:t xml:space="preserve">Feature</w:t>
            </w:r>
          </w:p>
        </w:tc>
        <w:tc>
          <w:tcPr/>
          <w:p>
            <w:pPr>
              <w:pStyle w:val="Compact"/>
              <w:jc w:val="left"/>
            </w:pPr>
            <w:r>
              <w:t xml:space="preserve">SMARTS Pattern</w:t>
            </w:r>
          </w:p>
        </w:tc>
        <w:tc>
          <w:tcPr/>
          <w:p>
            <w:pPr>
              <w:pStyle w:val="Compact"/>
              <w:jc w:val="left"/>
            </w:pPr>
            <w:r>
              <w:t xml:space="preserve">Target Relevance</w:t>
            </w:r>
          </w:p>
        </w:tc>
        <w:tc>
          <w:tcPr/>
          <w:p>
            <w:pPr>
              <w:pStyle w:val="Compact"/>
              <w:jc w:val="left"/>
            </w:pPr>
            <w:r>
              <w:t xml:space="preserve">Scoring Impact</w:t>
            </w:r>
          </w:p>
        </w:tc>
      </w:tr>
      <w:tr>
        <w:tc>
          <w:tcPr/>
          <w:p>
            <w:pPr>
              <w:pStyle w:val="Compact"/>
              <w:jc w:val="left"/>
            </w:pPr>
            <w:r>
              <w:rPr>
                <w:b/>
                <w:bCs/>
              </w:rPr>
              <w:t xml:space="preserve">Aromatic N count</w:t>
            </w:r>
          </w:p>
        </w:tc>
        <w:tc>
          <w:tcPr/>
          <w:p>
            <w:pPr>
              <w:pStyle w:val="Compact"/>
              <w:jc w:val="left"/>
            </w:pPr>
            <w:r>
              <w:rPr>
                <w:rStyle w:val="VerbatimChar"/>
              </w:rPr>
              <w:t xml:space="preserve">[n]</w:t>
            </w:r>
            <w:r>
              <w:t xml:space="preserve"> </w:t>
            </w:r>
            <w:r>
              <w:t xml:space="preserve">(nitrogen in aromatic rings)</w:t>
            </w:r>
          </w:p>
        </w:tc>
        <w:tc>
          <w:tcPr/>
          <w:p>
            <w:pPr>
              <w:pStyle w:val="Compact"/>
              <w:jc w:val="left"/>
            </w:pPr>
            <w:r>
              <w:t xml:space="preserve">Hinge-binding for ATP-competitive inhibition</w:t>
            </w:r>
          </w:p>
        </w:tc>
        <w:tc>
          <w:tcPr/>
          <w:p>
            <w:pPr>
              <w:pStyle w:val="Compact"/>
              <w:jc w:val="left"/>
            </w:pPr>
            <w:r>
              <w:t xml:space="preserve">+2.0 points (EGFR); critical for kinase target identification</w:t>
            </w:r>
          </w:p>
        </w:tc>
      </w:tr>
      <w:tr>
        <w:tc>
          <w:tcPr/>
          <w:p>
            <w:pPr>
              <w:pStyle w:val="Compact"/>
              <w:jc w:val="left"/>
            </w:pPr>
            <w:r>
              <w:rPr>
                <w:b/>
                <w:bCs/>
              </w:rPr>
              <w:t xml:space="preserve">Quinazoline</w:t>
            </w:r>
          </w:p>
        </w:tc>
        <w:tc>
          <w:tcPr/>
          <w:p>
            <w:pPr>
              <w:pStyle w:val="Compact"/>
              <w:jc w:val="left"/>
            </w:pPr>
            <w:r>
              <w:rPr>
                <w:rStyle w:val="VerbatimChar"/>
              </w:rPr>
              <w:t xml:space="preserve">[nH]1cnc2ccccc2c1</w:t>
            </w:r>
            <w:r>
              <w:t xml:space="preserve"> </w:t>
            </w:r>
            <w:r>
              <w:t xml:space="preserve">and variants</w:t>
            </w:r>
          </w:p>
        </w:tc>
        <w:tc>
          <w:tcPr/>
          <w:p>
            <w:pPr>
              <w:pStyle w:val="Compact"/>
              <w:jc w:val="left"/>
            </w:pPr>
            <w:r>
              <w:t xml:space="preserve">EGFR pharmacophore core (gefitinib, erlotinib)</w:t>
            </w:r>
          </w:p>
        </w:tc>
        <w:tc>
          <w:tcPr/>
          <w:p>
            <w:pPr>
              <w:pStyle w:val="Compact"/>
              <w:jc w:val="left"/>
            </w:pPr>
            <w:r>
              <w:rPr>
                <w:b/>
                <w:bCs/>
              </w:rPr>
              <w:t xml:space="preserve">+2.5 points</w:t>
            </w:r>
            <w:r>
              <w:t xml:space="preserve"> </w:t>
            </w:r>
            <w:r>
              <w:t xml:space="preserve">— highest scaffold bonus</w:t>
            </w:r>
          </w:p>
        </w:tc>
      </w:tr>
      <w:tr>
        <w:tc>
          <w:tcPr/>
          <w:p>
            <w:pPr>
              <w:pStyle w:val="Compact"/>
              <w:jc w:val="left"/>
            </w:pPr>
            <w:r>
              <w:rPr>
                <w:b/>
                <w:bCs/>
              </w:rPr>
              <w:t xml:space="preserve">Pyrimidine</w:t>
            </w:r>
          </w:p>
        </w:tc>
        <w:tc>
          <w:tcPr/>
          <w:p>
            <w:pPr>
              <w:pStyle w:val="Compact"/>
              <w:jc w:val="left"/>
            </w:pPr>
            <w:r>
              <w:rPr>
                <w:rStyle w:val="VerbatimChar"/>
              </w:rPr>
              <w:t xml:space="preserve">c1cncnc1</w:t>
            </w:r>
            <w:r>
              <w:t xml:space="preserve"> </w:t>
            </w:r>
            <w:r>
              <w:t xml:space="preserve">and fused variants</w:t>
            </w:r>
          </w:p>
        </w:tc>
        <w:tc>
          <w:tcPr/>
          <w:p>
            <w:pPr>
              <w:pStyle w:val="Compact"/>
              <w:jc w:val="left"/>
            </w:pPr>
            <w:r>
              <w:t xml:space="preserve">Broad kinase scaffold class</w:t>
            </w:r>
          </w:p>
        </w:tc>
        <w:tc>
          <w:tcPr/>
          <w:p>
            <w:pPr>
              <w:pStyle w:val="Compact"/>
              <w:jc w:val="left"/>
            </w:pPr>
            <w:r>
              <w:t xml:space="preserve">+1.5–2.0 points depending on substitution</w:t>
            </w:r>
          </w:p>
        </w:tc>
      </w:tr>
      <w:tr>
        <w:tc>
          <w:tcPr/>
          <w:p>
            <w:pPr>
              <w:pStyle w:val="Compact"/>
              <w:jc w:val="left"/>
            </w:pPr>
            <w:r>
              <w:rPr>
                <w:b/>
                <w:bCs/>
              </w:rPr>
              <w:t xml:space="preserve">Aniline</w:t>
            </w:r>
          </w:p>
        </w:tc>
        <w:tc>
          <w:tcPr/>
          <w:p>
            <w:pPr>
              <w:pStyle w:val="Compact"/>
              <w:jc w:val="left"/>
            </w:pPr>
            <w:r>
              <w:rPr>
                <w:rStyle w:val="VerbatimChar"/>
              </w:rPr>
              <w:t xml:space="preserve">Nc1ccccc1</w:t>
            </w:r>
            <w:r>
              <w:t xml:space="preserve"> </w:t>
            </w:r>
            <w:r>
              <w:t xml:space="preserve">(aromatic NH₂)</w:t>
            </w:r>
          </w:p>
        </w:tc>
        <w:tc>
          <w:tcPr/>
          <w:p>
            <w:pPr>
              <w:pStyle w:val="Compact"/>
              <w:jc w:val="left"/>
            </w:pPr>
            <w:r>
              <w:t xml:space="preserve">Anilinoquinazoline back pocket occupation</w:t>
            </w:r>
          </w:p>
        </w:tc>
        <w:tc>
          <w:tcPr/>
          <w:p>
            <w:pPr>
              <w:pStyle w:val="Compact"/>
              <w:jc w:val="left"/>
            </w:pPr>
            <w:r>
              <w:t xml:space="preserve">+1.5 points (EGFR); selectivity determinant</w:t>
            </w:r>
          </w:p>
        </w:tc>
      </w:tr>
    </w:tbl>
    <w:p>
      <w:pPr>
        <w:pStyle w:val="a0"/>
      </w:pPr>
      <w:r>
        <w:t xml:space="preserve">The</w:t>
      </w:r>
      <w:r>
        <w:t xml:space="preserve"> </w:t>
      </w:r>
      <w:r>
        <w:rPr>
          <w:b/>
          <w:bCs/>
        </w:rPr>
        <w:t xml:space="preserve">quinazoline scaffold bonus of +2.5</w:t>
      </w:r>
      <w:r>
        <w:t xml:space="preserve"> </w:t>
      </w:r>
      <w:r>
        <w:t xml:space="preserve">reflects its near-ubiquitous presence in approved EGFR inhibitors, with pattern matching distinguishing</w:t>
      </w:r>
      <w:r>
        <w:t xml:space="preserve"> </w:t>
      </w:r>
      <w:r>
        <w:rPr>
          <w:b/>
          <w:bCs/>
        </w:rPr>
        <w:t xml:space="preserve">4-quinazolinamine</w:t>
      </w:r>
      <w:r>
        <w:t xml:space="preserve"> </w:t>
      </w:r>
      <w:r>
        <w:t xml:space="preserve">(active) from</w:t>
      </w:r>
      <w:r>
        <w:t xml:space="preserve"> </w:t>
      </w:r>
      <w:r>
        <w:rPr>
          <w:b/>
          <w:bCs/>
        </w:rPr>
        <w:t xml:space="preserve">2-quinazolinamine</w:t>
      </w:r>
      <w:r>
        <w:t xml:space="preserve"> </w:t>
      </w:r>
      <w:r>
        <w:t xml:space="preserve">(typically inactive) through positional constraints.</w:t>
      </w:r>
    </w:p>
    <w:bookmarkEnd w:id="39"/>
    <w:bookmarkStart w:id="40" w:name="X725dc785ea835b29c6d3494692166b15ebaf4ae"/>
    <w:p>
      <w:pPr>
        <w:pStyle w:val="5"/>
      </w:pPr>
      <w:r>
        <w:t xml:space="preserve">2.3.1.2 CNS-Relevant: Basic Amines, Piperidine/Piperazine, Indole</w:t>
      </w:r>
    </w:p>
    <w:tbl>
      <w:tblPr>
        <w:tblStyle w:val="Table"/>
        <w:tblW w:type="pct" w:w="5000"/>
        <w:jc w:val="left"/>
        <w:tblLayout w:type="fixed"/>
        <w:tblLook w:firstRow="1" w:lastRow="0" w:firstColumn="0" w:lastColumn="0" w:noHBand="0" w:noVBand="0" w:val="0020"/>
      </w:tblPr>
      <w:tblGrid>
        <w:gridCol w:w="1188"/>
        <w:gridCol w:w="1848"/>
        <w:gridCol w:w="1716"/>
        <w:gridCol w:w="3168"/>
      </w:tblGrid>
      <w:tr>
        <w:trPr>
          <w:tblHeader w:val="on"/>
        </w:trPr>
        <w:tc>
          <w:tcPr/>
          <w:p>
            <w:pPr>
              <w:pStyle w:val="Compact"/>
              <w:jc w:val="left"/>
            </w:pPr>
            <w:r>
              <w:t xml:space="preserve">Feature</w:t>
            </w:r>
          </w:p>
        </w:tc>
        <w:tc>
          <w:tcPr/>
          <w:p>
            <w:pPr>
              <w:pStyle w:val="Compact"/>
              <w:jc w:val="left"/>
            </w:pPr>
            <w:r>
              <w:t xml:space="preserve">SMARTS Pattern</w:t>
            </w:r>
          </w:p>
        </w:tc>
        <w:tc>
          <w:tcPr/>
          <w:p>
            <w:pPr>
              <w:pStyle w:val="Compact"/>
              <w:jc w:val="left"/>
            </w:pPr>
            <w:r>
              <w:t xml:space="preserve">CNS Relevance</w:t>
            </w:r>
          </w:p>
        </w:tc>
        <w:tc>
          <w:tcPr/>
          <w:p>
            <w:pPr>
              <w:pStyle w:val="Compact"/>
              <w:jc w:val="left"/>
            </w:pPr>
            <w:r>
              <w:t xml:space="preserve">Therapeutic Association</w:t>
            </w:r>
          </w:p>
        </w:tc>
      </w:tr>
      <w:tr>
        <w:tc>
          <w:tcPr/>
          <w:p>
            <w:pPr>
              <w:pStyle w:val="Compact"/>
              <w:jc w:val="left"/>
            </w:pPr>
            <w:r>
              <w:rPr>
                <w:b/>
                <w:bCs/>
              </w:rPr>
              <w:t xml:space="preserve">Basic amines</w:t>
            </w:r>
          </w:p>
        </w:tc>
        <w:tc>
          <w:tcPr/>
          <w:p>
            <w:pPr>
              <w:pStyle w:val="Compact"/>
              <w:jc w:val="left"/>
            </w:pPr>
            <w:r>
              <w:rPr>
                <w:rStyle w:val="VerbatimChar"/>
              </w:rPr>
              <w:t xml:space="preserve">[NX3;H2,H1;!$(NC=O)]</w:t>
            </w:r>
            <w:r>
              <w:t xml:space="preserve"> </w:t>
            </w:r>
            <w:r>
              <w:t xml:space="preserve">(primary/secondary/tertiary, non-amide)</w:t>
            </w:r>
          </w:p>
        </w:tc>
        <w:tc>
          <w:tcPr/>
          <w:p>
            <w:pPr>
              <w:pStyle w:val="Compact"/>
              <w:jc w:val="left"/>
            </w:pPr>
            <w:r>
              <w:t xml:space="preserve">GPCR binding, BBB active transport</w:t>
            </w:r>
          </w:p>
        </w:tc>
        <w:tc>
          <w:tcPr/>
          <w:p>
            <w:pPr>
              <w:pStyle w:val="Compact"/>
              <w:jc w:val="left"/>
            </w:pPr>
            <w:r>
              <w:t xml:space="preserve">Dopaminergic, serotonergic, adrenergic ligands</w:t>
            </w:r>
          </w:p>
        </w:tc>
      </w:tr>
      <w:tr>
        <w:tc>
          <w:tcPr/>
          <w:p>
            <w:pPr>
              <w:pStyle w:val="Compact"/>
              <w:jc w:val="left"/>
            </w:pPr>
            <w:r>
              <w:rPr>
                <w:b/>
                <w:bCs/>
              </w:rPr>
              <w:t xml:space="preserve">Piperidine</w:t>
            </w:r>
          </w:p>
        </w:tc>
        <w:tc>
          <w:tcPr/>
          <w:p>
            <w:pPr>
              <w:pStyle w:val="Compact"/>
              <w:jc w:val="left"/>
            </w:pPr>
            <w:r>
              <w:rPr>
                <w:rStyle w:val="VerbatimChar"/>
              </w:rPr>
              <w:t xml:space="preserve">C1CCCCN1</w:t>
            </w:r>
            <w:r>
              <w:t xml:space="preserve"> </w:t>
            </w:r>
            <w:r>
              <w:t xml:space="preserve">with substitution variants</w:t>
            </w:r>
          </w:p>
        </w:tc>
        <w:tc>
          <w:tcPr/>
          <w:p>
            <w:pPr>
              <w:pStyle w:val="Compact"/>
              <w:jc w:val="left"/>
            </w:pPr>
            <w:r>
              <w:t xml:space="preserve">Conformational restriction, metabolic stability</w:t>
            </w:r>
          </w:p>
        </w:tc>
        <w:tc>
          <w:tcPr/>
          <w:p>
            <w:pPr>
              <w:pStyle w:val="Compact"/>
              <w:jc w:val="left"/>
            </w:pPr>
            <w:r>
              <w:t xml:space="preserve">Antipsychotics, opioids, analgesics</w:t>
            </w:r>
          </w:p>
        </w:tc>
      </w:tr>
      <w:tr>
        <w:tc>
          <w:tcPr/>
          <w:p>
            <w:pPr>
              <w:pStyle w:val="Compact"/>
              <w:jc w:val="left"/>
            </w:pPr>
            <w:r>
              <w:rPr>
                <w:b/>
                <w:bCs/>
              </w:rPr>
              <w:t xml:space="preserve">Piperazine</w:t>
            </w:r>
          </w:p>
        </w:tc>
        <w:tc>
          <w:tcPr/>
          <w:p>
            <w:pPr>
              <w:pStyle w:val="Compact"/>
              <w:jc w:val="left"/>
            </w:pPr>
            <w:r>
              <w:rPr>
                <w:rStyle w:val="VerbatimChar"/>
              </w:rPr>
              <w:t xml:space="preserve">C1CNCCN1</w:t>
            </w:r>
            <w:r>
              <w:t xml:space="preserve"> </w:t>
            </w:r>
            <w:r>
              <w:t xml:space="preserve">with N-substitution patterns</w:t>
            </w:r>
          </w:p>
        </w:tc>
        <w:tc>
          <w:tcPr/>
          <w:p>
            <w:pPr>
              <w:pStyle w:val="Compact"/>
              <w:jc w:val="left"/>
            </w:pPr>
            <w:r>
              <w:t xml:space="preserve">5-HT receptor ligands, CCR5 antagonists</w:t>
            </w:r>
          </w:p>
        </w:tc>
        <w:tc>
          <w:tcPr/>
          <w:p>
            <w:pPr>
              <w:pStyle w:val="Compact"/>
              <w:jc w:val="left"/>
            </w:pPr>
            <w:r>
              <w:t xml:space="preserve">Antidepressants, antipsychotics, anti-infectives</w:t>
            </w:r>
          </w:p>
        </w:tc>
      </w:tr>
      <w:tr>
        <w:tc>
          <w:tcPr/>
          <w:p>
            <w:pPr>
              <w:pStyle w:val="Compact"/>
              <w:jc w:val="left"/>
            </w:pPr>
            <w:r>
              <w:rPr>
                <w:b/>
                <w:bCs/>
              </w:rPr>
              <w:t xml:space="preserve">Indole</w:t>
            </w:r>
          </w:p>
        </w:tc>
        <w:tc>
          <w:tcPr/>
          <w:p>
            <w:pPr>
              <w:pStyle w:val="Compact"/>
              <w:jc w:val="left"/>
            </w:pPr>
            <w:r>
              <w:rPr>
                <w:rStyle w:val="VerbatimChar"/>
              </w:rPr>
              <w:t xml:space="preserve">c1ccc2[nH]ccc2c1</w:t>
            </w:r>
            <w:r>
              <w:t xml:space="preserve"> </w:t>
            </w:r>
            <w:r>
              <w:t xml:space="preserve">(complete fused bicyclic)</w:t>
            </w:r>
          </w:p>
        </w:tc>
        <w:tc>
          <w:tcPr/>
          <w:p>
            <w:pPr>
              <w:pStyle w:val="Compact"/>
              <w:jc w:val="left"/>
            </w:pPr>
            <w:r>
              <w:t xml:space="preserve">Serotonin receptor privileged scaffold</w:t>
            </w:r>
          </w:p>
        </w:tc>
        <w:tc>
          <w:tcPr/>
          <w:p>
            <w:pPr>
              <w:pStyle w:val="Compact"/>
              <w:jc w:val="left"/>
            </w:pPr>
            <w:r>
              <w:t xml:space="preserve">Triptans, psychedelics, melatonin analogs</w:t>
            </w:r>
          </w:p>
        </w:tc>
      </w:tr>
    </w:tbl>
    <w:p>
      <w:pPr>
        <w:pStyle w:val="a0"/>
      </w:pPr>
      <w:r>
        <w:rPr>
          <w:b/>
          <w:bCs/>
        </w:rPr>
        <w:t xml:space="preserve">Piperazine detection</w:t>
      </w:r>
      <w:r>
        <w:t xml:space="preserve"> </w:t>
      </w:r>
      <w:r>
        <w:t xml:space="preserve">specifically distinguishes</w:t>
      </w:r>
      <w:r>
        <w:t xml:space="preserve"> </w:t>
      </w:r>
      <w:r>
        <w:rPr>
          <w:b/>
          <w:bCs/>
        </w:rPr>
        <w:t xml:space="preserve">N-methylpiperazine</w:t>
      </w:r>
      <w:r>
        <w:t xml:space="preserve"> </w:t>
      </w:r>
      <w:r>
        <w:t xml:space="preserve">(common in antipsychotics) from</w:t>
      </w:r>
      <w:r>
        <w:t xml:space="preserve"> </w:t>
      </w:r>
      <w:r>
        <w:rPr>
          <w:b/>
          <w:bCs/>
        </w:rPr>
        <w:t xml:space="preserve">N-arylpiperazine</w:t>
      </w:r>
      <w:r>
        <w:t xml:space="preserve"> </w:t>
      </w:r>
      <w:r>
        <w:t xml:space="preserve">(5-HT₁A partial agonists) through environment-sensitive pattern matching, enabling nuanced target class inference.</w:t>
      </w:r>
    </w:p>
    <w:bookmarkEnd w:id="40"/>
    <w:bookmarkStart w:id="41" w:name="Xa4149c4b6182cff2e8010dd7e7e1d9e9645e1d5"/>
    <w:p>
      <w:pPr>
        <w:pStyle w:val="5"/>
      </w:pPr>
      <w:r>
        <w:t xml:space="preserve">2.3.1.3 Covalent/Reactive: Michael Acceptors, Thiol, Epoxides</w:t>
      </w:r>
    </w:p>
    <w:tbl>
      <w:tblPr>
        <w:tblStyle w:val="Table"/>
        <w:tblW w:type="pct" w:w="5000"/>
        <w:jc w:val="left"/>
        <w:tblLayout w:type="fixed"/>
        <w:tblLook w:firstRow="1" w:lastRow="0" w:firstColumn="0" w:lastColumn="0" w:noHBand="0" w:noVBand="0" w:val="0020"/>
      </w:tblPr>
      <w:tblGrid>
        <w:gridCol w:w="1113"/>
        <w:gridCol w:w="1732"/>
        <w:gridCol w:w="1361"/>
        <w:gridCol w:w="3712"/>
      </w:tblGrid>
      <w:tr>
        <w:trPr>
          <w:tblHeader w:val="on"/>
        </w:trPr>
        <w:tc>
          <w:tcPr/>
          <w:p>
            <w:pPr>
              <w:pStyle w:val="Compact"/>
              <w:jc w:val="left"/>
            </w:pPr>
            <w:r>
              <w:t xml:space="preserve">Feature</w:t>
            </w:r>
          </w:p>
        </w:tc>
        <w:tc>
          <w:tcPr/>
          <w:p>
            <w:pPr>
              <w:pStyle w:val="Compact"/>
              <w:jc w:val="left"/>
            </w:pPr>
            <w:r>
              <w:t xml:space="preserve">SMARTS Pattern</w:t>
            </w:r>
          </w:p>
        </w:tc>
        <w:tc>
          <w:tcPr/>
          <w:p>
            <w:pPr>
              <w:pStyle w:val="Compact"/>
              <w:jc w:val="left"/>
            </w:pPr>
            <w:r>
              <w:t xml:space="preserve">Mechanism</w:t>
            </w:r>
          </w:p>
        </w:tc>
        <w:tc>
          <w:tcPr/>
          <w:p>
            <w:pPr>
              <w:pStyle w:val="Compact"/>
              <w:jc w:val="left"/>
            </w:pPr>
            <w:r>
              <w:t xml:space="preserve">Safety/Therapeutic Implication</w:t>
            </w:r>
          </w:p>
        </w:tc>
      </w:tr>
      <w:tr>
        <w:tc>
          <w:tcPr/>
          <w:p>
            <w:pPr>
              <w:pStyle w:val="Compact"/>
              <w:jc w:val="left"/>
            </w:pPr>
            <w:r>
              <w:rPr>
                <w:b/>
                <w:bCs/>
              </w:rPr>
              <w:t xml:space="preserve">Michael acceptor</w:t>
            </w:r>
          </w:p>
        </w:tc>
        <w:tc>
          <w:tcPr/>
          <w:p>
            <w:pPr>
              <w:pStyle w:val="Compact"/>
              <w:jc w:val="left"/>
            </w:pPr>
            <w:r>
              <w:rPr>
                <w:rStyle w:val="VerbatimChar"/>
              </w:rPr>
              <w:t xml:space="preserve">C=CC(=O)</w:t>
            </w:r>
            <w:r>
              <w:t xml:space="preserve"> </w:t>
            </w:r>
            <w:r>
              <w:t xml:space="preserve">and variants (enones, enals, acrylamides)</w:t>
            </w:r>
          </w:p>
        </w:tc>
        <w:tc>
          <w:tcPr/>
          <w:p>
            <w:pPr>
              <w:pStyle w:val="Compact"/>
              <w:jc w:val="left"/>
            </w:pPr>
            <w:r>
              <w:t xml:space="preserve">Thiol-reactive covalent inhibition</w:t>
            </w:r>
          </w:p>
        </w:tc>
        <w:tc>
          <w:tcPr/>
          <w:p>
            <w:pPr>
              <w:pStyle w:val="Compact"/>
              <w:jc w:val="left"/>
            </w:pPr>
            <w:r>
              <w:rPr>
                <w:b/>
                <w:bCs/>
              </w:rPr>
              <w:t xml:space="preserve">+1.5 points (EGFR C797)</w:t>
            </w:r>
            <w:r>
              <w:t xml:space="preserve">; triggers reactive metabolite assessment</w:t>
            </w:r>
          </w:p>
        </w:tc>
      </w:tr>
      <w:tr>
        <w:tc>
          <w:tcPr/>
          <w:p>
            <w:pPr>
              <w:pStyle w:val="Compact"/>
              <w:jc w:val="left"/>
            </w:pPr>
            <w:r>
              <w:rPr>
                <w:b/>
                <w:bCs/>
              </w:rPr>
              <w:t xml:space="preserve">Thiol</w:t>
            </w:r>
          </w:p>
        </w:tc>
        <w:tc>
          <w:tcPr/>
          <w:p>
            <w:pPr>
              <w:pStyle w:val="Compact"/>
              <w:jc w:val="left"/>
            </w:pPr>
            <w:r>
              <w:rPr>
                <w:rStyle w:val="VerbatimChar"/>
              </w:rPr>
              <w:t xml:space="preserve">[SH]</w:t>
            </w:r>
            <w:r>
              <w:t xml:space="preserve"> </w:t>
            </w:r>
            <w:r>
              <w:t xml:space="preserve">(sulfur with hydrogen)</w:t>
            </w:r>
          </w:p>
        </w:tc>
        <w:tc>
          <w:tcPr/>
          <w:p>
            <w:pPr>
              <w:pStyle w:val="Compact"/>
              <w:jc w:val="left"/>
            </w:pPr>
            <w:r>
              <w:t xml:space="preserve">Cysteine-targeting warhead</w:t>
            </w:r>
          </w:p>
        </w:tc>
        <w:tc>
          <w:tcPr/>
          <w:p>
            <w:pPr>
              <w:pStyle w:val="Compact"/>
              <w:jc w:val="left"/>
            </w:pPr>
            <w:r>
              <w:t xml:space="preserve">Metabolic instability flag; rare in approved drugs</w:t>
            </w:r>
          </w:p>
        </w:tc>
      </w:tr>
      <w:tr>
        <w:tc>
          <w:tcPr/>
          <w:p>
            <w:pPr>
              <w:pStyle w:val="Compact"/>
              <w:jc w:val="left"/>
            </w:pPr>
            <w:r>
              <w:rPr>
                <w:b/>
                <w:bCs/>
              </w:rPr>
              <w:t xml:space="preserve">Epoxide</w:t>
            </w:r>
          </w:p>
        </w:tc>
        <w:tc>
          <w:tcPr/>
          <w:p>
            <w:pPr>
              <w:pStyle w:val="Compact"/>
              <w:jc w:val="left"/>
            </w:pPr>
            <w:r>
              <w:rPr>
                <w:rStyle w:val="VerbatimChar"/>
              </w:rPr>
              <w:t xml:space="preserve">C1OC1</w:t>
            </w:r>
            <w:r>
              <w:t xml:space="preserve"> </w:t>
            </w:r>
            <w:r>
              <w:t xml:space="preserve">(three-membered cyclic ether)</w:t>
            </w:r>
          </w:p>
        </w:tc>
        <w:tc>
          <w:tcPr/>
          <w:p>
            <w:pPr>
              <w:pStyle w:val="Compact"/>
              <w:jc w:val="left"/>
            </w:pPr>
            <w:r>
              <w:t xml:space="preserve">Strain-activated electrophile</w:t>
            </w:r>
          </w:p>
        </w:tc>
        <w:tc>
          <w:tcPr/>
          <w:p>
            <w:pPr>
              <w:pStyle w:val="Compact"/>
              <w:jc w:val="left"/>
            </w:pPr>
            <w:r>
              <w:rPr>
                <w:b/>
                <w:bCs/>
              </w:rPr>
              <w:t xml:space="preserve">Genotoxicity alert</w:t>
            </w:r>
            <w:r>
              <w:t xml:space="preserve">; DNA alkylation risk</w:t>
            </w:r>
          </w:p>
        </w:tc>
      </w:tr>
    </w:tbl>
    <w:p>
      <w:pPr>
        <w:pStyle w:val="a0"/>
      </w:pPr>
      <w:r>
        <w:t xml:space="preserve">The</w:t>
      </w:r>
      <w:r>
        <w:t xml:space="preserve"> </w:t>
      </w:r>
      <w:r>
        <w:rPr>
          <w:b/>
          <w:bCs/>
        </w:rPr>
        <w:t xml:space="preserve">Michael acceptor bonus</w:t>
      </w:r>
      <w:r>
        <w:t xml:space="preserve"> </w:t>
      </w:r>
      <w:r>
        <w:t xml:space="preserve">exemplifies therapeutic context sensitivity: rewarded in oncology for covalent kinase inhibition (osimertinib, ibrutinib mechanisms), but flagged for enhanced safety monitoring due to intrinsic electrophilicity and off-target reactivity potential.</w:t>
      </w:r>
    </w:p>
    <w:bookmarkEnd w:id="41"/>
    <w:bookmarkStart w:id="42" w:name="X3ffa7196d65f50563d5a47eb6d8bfa9aa523de2"/>
    <w:p>
      <w:pPr>
        <w:pStyle w:val="5"/>
      </w:pPr>
      <w:r>
        <w:t xml:space="preserve">2.3.1.4 Metabolic Stability: Trifluoromethyl, Halogen Atoms</w:t>
      </w:r>
    </w:p>
    <w:tbl>
      <w:tblPr>
        <w:tblStyle w:val="Table"/>
        <w:tblW w:type="pct" w:w="5000"/>
        <w:jc w:val="left"/>
        <w:tblLayout w:type="fixed"/>
        <w:tblLook w:firstRow="1" w:lastRow="0" w:firstColumn="0" w:lastColumn="0" w:noHBand="0" w:noVBand="0" w:val="0020"/>
      </w:tblPr>
      <w:tblGrid>
        <w:gridCol w:w="1344"/>
        <w:gridCol w:w="2092"/>
        <w:gridCol w:w="2390"/>
        <w:gridCol w:w="2092"/>
      </w:tblGrid>
      <w:tr>
        <w:trPr>
          <w:tblHeader w:val="on"/>
        </w:trPr>
        <w:tc>
          <w:tcPr/>
          <w:p>
            <w:pPr>
              <w:pStyle w:val="Compact"/>
              <w:jc w:val="left"/>
            </w:pPr>
            <w:r>
              <w:t xml:space="preserve">Feature</w:t>
            </w:r>
          </w:p>
        </w:tc>
        <w:tc>
          <w:tcPr/>
          <w:p>
            <w:pPr>
              <w:pStyle w:val="Compact"/>
              <w:jc w:val="left"/>
            </w:pPr>
            <w:r>
              <w:t xml:space="preserve">SMARTS Pattern</w:t>
            </w:r>
          </w:p>
        </w:tc>
        <w:tc>
          <w:tcPr/>
          <w:p>
            <w:pPr>
              <w:pStyle w:val="Compact"/>
              <w:jc w:val="left"/>
            </w:pPr>
            <w:r>
              <w:t xml:space="preserve">Metabolic Impact</w:t>
            </w:r>
          </w:p>
        </w:tc>
        <w:tc>
          <w:tcPr/>
          <w:p>
            <w:pPr>
              <w:pStyle w:val="Compact"/>
              <w:jc w:val="left"/>
            </w:pPr>
            <w:r>
              <w:t xml:space="preserve">Design Utility</w:t>
            </w:r>
          </w:p>
        </w:tc>
      </w:tr>
      <w:tr>
        <w:tc>
          <w:tcPr/>
          <w:p>
            <w:pPr>
              <w:pStyle w:val="Compact"/>
              <w:jc w:val="left"/>
            </w:pPr>
            <w:r>
              <w:rPr>
                <w:b/>
                <w:bCs/>
              </w:rPr>
              <w:t xml:space="preserve">Trifluoromethyl (CF₃)</w:t>
            </w:r>
          </w:p>
        </w:tc>
        <w:tc>
          <w:tcPr/>
          <w:p>
            <w:pPr>
              <w:pStyle w:val="Compact"/>
              <w:jc w:val="left"/>
            </w:pPr>
            <w:r>
              <w:rPr>
                <w:rStyle w:val="VerbatimChar"/>
              </w:rPr>
              <w:t xml:space="preserve">C(F)(F)F</w:t>
            </w:r>
          </w:p>
        </w:tc>
        <w:tc>
          <w:tcPr/>
          <w:p>
            <w:pPr>
              <w:pStyle w:val="Compact"/>
              <w:jc w:val="left"/>
            </w:pPr>
            <w:r>
              <w:t xml:space="preserve">Blocks oxidative metabolism at adjacent positions</w:t>
            </w:r>
          </w:p>
        </w:tc>
        <w:tc>
          <w:tcPr/>
          <w:p>
            <w:pPr>
              <w:pStyle w:val="Compact"/>
              <w:jc w:val="left"/>
            </w:pPr>
            <w:r>
              <w:rPr>
                <w:b/>
                <w:bCs/>
              </w:rPr>
              <w:t xml:space="preserve">Metabolic stability bonus</w:t>
            </w:r>
            <w:r>
              <w:t xml:space="preserve">; lipophilicity modulation</w:t>
            </w:r>
          </w:p>
        </w:tc>
      </w:tr>
      <w:tr>
        <w:tc>
          <w:tcPr/>
          <w:p>
            <w:pPr>
              <w:pStyle w:val="Compact"/>
              <w:jc w:val="left"/>
            </w:pPr>
            <w:r>
              <w:rPr>
                <w:b/>
                <w:bCs/>
              </w:rPr>
              <w:t xml:space="preserve">Fluorine (aromatic)</w:t>
            </w:r>
          </w:p>
        </w:tc>
        <w:tc>
          <w:tcPr/>
          <w:p>
            <w:pPr>
              <w:pStyle w:val="Compact"/>
              <w:jc w:val="left"/>
            </w:pPr>
            <w:r>
              <w:rPr>
                <w:rStyle w:val="VerbatimChar"/>
              </w:rPr>
              <w:t xml:space="preserve">F</w:t>
            </w:r>
            <w:r>
              <w:t xml:space="preserve"> </w:t>
            </w:r>
            <w:r>
              <w:t xml:space="preserve">attached to aromatic carbon</w:t>
            </w:r>
          </w:p>
        </w:tc>
        <w:tc>
          <w:tcPr/>
          <w:p>
            <w:pPr>
              <w:pStyle w:val="Compact"/>
              <w:jc w:val="left"/>
            </w:pPr>
            <w:r>
              <w:t xml:space="preserve">pKa modulation, metabolic blocking</w:t>
            </w:r>
          </w:p>
        </w:tc>
        <w:tc>
          <w:tcPr/>
          <w:p>
            <w:pPr>
              <w:pStyle w:val="Compact"/>
              <w:jc w:val="left"/>
            </w:pPr>
            <w:r>
              <w:t xml:space="preserve">Most common halogen in drugs (~25% of approved)</w:t>
            </w:r>
          </w:p>
        </w:tc>
      </w:tr>
      <w:tr>
        <w:tc>
          <w:tcPr/>
          <w:p>
            <w:pPr>
              <w:pStyle w:val="Compact"/>
              <w:jc w:val="left"/>
            </w:pPr>
            <w:r>
              <w:rPr>
                <w:b/>
                <w:bCs/>
              </w:rPr>
              <w:t xml:space="preserve">Chlorine</w:t>
            </w:r>
          </w:p>
        </w:tc>
        <w:tc>
          <w:tcPr/>
          <w:p>
            <w:pPr>
              <w:pStyle w:val="Compact"/>
              <w:jc w:val="left"/>
            </w:pPr>
            <w:r>
              <w:rPr>
                <w:rStyle w:val="VerbatimChar"/>
              </w:rPr>
              <w:t xml:space="preserve">Cl</w:t>
            </w:r>
          </w:p>
        </w:tc>
        <w:tc>
          <w:tcPr/>
          <w:p>
            <w:pPr>
              <w:pStyle w:val="Compact"/>
              <w:jc w:val="left"/>
            </w:pPr>
            <w:r>
              <w:t xml:space="preserve">Lipophilicity enhancement, π-stacking</w:t>
            </w:r>
          </w:p>
        </w:tc>
        <w:tc>
          <w:tcPr/>
          <w:p>
            <w:pPr>
              <w:pStyle w:val="Compact"/>
              <w:jc w:val="left"/>
            </w:pPr>
            <w:r>
              <w:t xml:space="preserve">Selectivity tuning; CYP inhibition risk at high count</w:t>
            </w:r>
          </w:p>
        </w:tc>
      </w:tr>
      <w:tr>
        <w:tc>
          <w:tcPr/>
          <w:p>
            <w:pPr>
              <w:pStyle w:val="Compact"/>
              <w:jc w:val="left"/>
            </w:pPr>
            <w:r>
              <w:rPr>
                <w:b/>
                <w:bCs/>
              </w:rPr>
              <w:t xml:space="preserve">Bromine/Iodine</w:t>
            </w:r>
          </w:p>
        </w:tc>
        <w:tc>
          <w:tcPr/>
          <w:p>
            <w:pPr>
              <w:pStyle w:val="Compact"/>
              <w:jc w:val="left"/>
            </w:pPr>
            <w:r>
              <w:rPr>
                <w:rStyle w:val="VerbatimChar"/>
              </w:rPr>
              <w:t xml:space="preserve">Br</w:t>
            </w:r>
            <w:r>
              <w:t xml:space="preserve">,</w:t>
            </w:r>
            <w:r>
              <w:t xml:space="preserve"> </w:t>
            </w:r>
            <w:r>
              <w:rPr>
                <w:rStyle w:val="VerbatimChar"/>
              </w:rPr>
              <w:t xml:space="preserve">I</w:t>
            </w:r>
          </w:p>
        </w:tc>
        <w:tc>
          <w:tcPr/>
          <w:p>
            <w:pPr>
              <w:pStyle w:val="Compact"/>
              <w:jc w:val="left"/>
            </w:pPr>
            <w:r>
              <w:t xml:space="preserve">Heavy atom effects; metabolic lability</w:t>
            </w:r>
          </w:p>
        </w:tc>
        <w:tc>
          <w:tcPr/>
          <w:p>
            <w:pPr>
              <w:pStyle w:val="Compact"/>
              <w:jc w:val="left"/>
            </w:pPr>
            <w:r>
              <w:t xml:space="preserve">Rare except for specific applications (imaging, legacy)</w:t>
            </w:r>
          </w:p>
        </w:tc>
      </w:tr>
    </w:tbl>
    <w:p>
      <w:pPr>
        <w:pStyle w:val="a0"/>
      </w:pPr>
      <w:r>
        <w:rPr>
          <w:b/>
          <w:bCs/>
        </w:rPr>
        <w:t xml:space="preserve">CF₃ detection</w:t>
      </w:r>
      <w:r>
        <w:t xml:space="preserve"> </w:t>
      </w:r>
      <w:r>
        <w:t xml:space="preserve">triggers</w:t>
      </w:r>
      <w:r>
        <w:t xml:space="preserve"> </w:t>
      </w:r>
      <w:r>
        <w:rPr>
          <w:b/>
          <w:bCs/>
        </w:rPr>
        <w:t xml:space="preserve">metabolic stability scoring bonuses</w:t>
      </w:r>
      <w:r>
        <w:t xml:space="preserve"> </w:t>
      </w:r>
      <w:r>
        <w:t xml:space="preserve">and influences target class identification, with this substituent appearing in approximately</w:t>
      </w:r>
      <w:r>
        <w:t xml:space="preserve"> </w:t>
      </w:r>
      <w:r>
        <w:rPr>
          <w:b/>
          <w:bCs/>
        </w:rPr>
        <w:t xml:space="preserve">25% of recently approved small molecule drugs</w:t>
      </w:r>
      <w:r>
        <w:t xml:space="preserve"> </w:t>
      </w:r>
      <w:r>
        <w:t xml:space="preserve">due to its remarkable metabolic blocking effect through C-F bond strength and steric hindrance.</w:t>
      </w:r>
    </w:p>
    <w:bookmarkEnd w:id="42"/>
    <w:bookmarkStart w:id="43" w:name="X2e7d81f32c5891762c3fa34df28ef6b4d9f1262"/>
    <w:p>
      <w:pPr>
        <w:pStyle w:val="5"/>
      </w:pPr>
      <w:r>
        <w:t xml:space="preserve">2.3.1.5 Liability Flags: Nitro, Phosphate, Ester, Lactam</w:t>
      </w:r>
    </w:p>
    <w:tbl>
      <w:tblPr>
        <w:tblStyle w:val="Table"/>
        <w:tblW w:type="pct" w:w="5000"/>
        <w:jc w:val="left"/>
        <w:tblLayout w:type="fixed"/>
        <w:tblLook w:firstRow="1" w:lastRow="0" w:firstColumn="0" w:lastColumn="0" w:noHBand="0" w:noVBand="0" w:val="0020"/>
      </w:tblPr>
      <w:tblGrid>
        <w:gridCol w:w="1370"/>
        <w:gridCol w:w="2132"/>
        <w:gridCol w:w="1675"/>
        <w:gridCol w:w="2741"/>
      </w:tblGrid>
      <w:tr>
        <w:trPr>
          <w:tblHeader w:val="on"/>
        </w:trPr>
        <w:tc>
          <w:tcPr/>
          <w:p>
            <w:pPr>
              <w:pStyle w:val="Compact"/>
              <w:jc w:val="left"/>
            </w:pPr>
            <w:r>
              <w:t xml:space="preserve">Feature</w:t>
            </w:r>
          </w:p>
        </w:tc>
        <w:tc>
          <w:tcPr/>
          <w:p>
            <w:pPr>
              <w:pStyle w:val="Compact"/>
              <w:jc w:val="left"/>
            </w:pPr>
            <w:r>
              <w:t xml:space="preserve">SMARTS Pattern</w:t>
            </w:r>
          </w:p>
        </w:tc>
        <w:tc>
          <w:tcPr/>
          <w:p>
            <w:pPr>
              <w:pStyle w:val="Compact"/>
              <w:jc w:val="left"/>
            </w:pPr>
            <w:r>
              <w:t xml:space="preserve">Liability</w:t>
            </w:r>
          </w:p>
        </w:tc>
        <w:tc>
          <w:tcPr/>
          <w:p>
            <w:pPr>
              <w:pStyle w:val="Compact"/>
              <w:jc w:val="left"/>
            </w:pPr>
            <w:r>
              <w:t xml:space="preserve">Regulatory Trigger</w:t>
            </w:r>
          </w:p>
        </w:tc>
      </w:tr>
      <w:tr>
        <w:tc>
          <w:tcPr/>
          <w:p>
            <w:pPr>
              <w:pStyle w:val="Compact"/>
              <w:jc w:val="left"/>
            </w:pPr>
            <w:r>
              <w:rPr>
                <w:b/>
                <w:bCs/>
              </w:rPr>
              <w:t xml:space="preserve">Nitro (aromatic)</w:t>
            </w:r>
          </w:p>
        </w:tc>
        <w:tc>
          <w:tcPr/>
          <w:p>
            <w:pPr>
              <w:pStyle w:val="Compact"/>
              <w:jc w:val="left"/>
            </w:pPr>
            <w:r>
              <w:rPr>
                <w:rStyle w:val="VerbatimChar"/>
              </w:rPr>
              <w:t xml:space="preserve">[N+](=O)[O-]</w:t>
            </w:r>
            <w:r>
              <w:t xml:space="preserve"> </w:t>
            </w:r>
            <w:r>
              <w:t xml:space="preserve">on aromatic ring</w:t>
            </w:r>
          </w:p>
        </w:tc>
        <w:tc>
          <w:tcPr/>
          <w:p>
            <w:pPr>
              <w:pStyle w:val="Compact"/>
              <w:jc w:val="left"/>
            </w:pPr>
            <w:r>
              <w:rPr>
                <w:b/>
                <w:bCs/>
              </w:rPr>
              <w:t xml:space="preserve">Genotoxicity</w:t>
            </w:r>
            <w:r>
              <w:t xml:space="preserve"> </w:t>
            </w:r>
            <w:r>
              <w:t xml:space="preserve">via nitroreductase activation</w:t>
            </w:r>
          </w:p>
        </w:tc>
        <w:tc>
          <w:tcPr/>
          <w:p>
            <w:pPr>
              <w:pStyle w:val="Compact"/>
              <w:jc w:val="left"/>
            </w:pPr>
            <w:r>
              <w:t xml:space="preserve">ICH S2(R1) alert; typically avoided</w:t>
            </w:r>
          </w:p>
        </w:tc>
      </w:tr>
      <w:tr>
        <w:tc>
          <w:tcPr/>
          <w:p>
            <w:pPr>
              <w:pStyle w:val="Compact"/>
              <w:jc w:val="left"/>
            </w:pPr>
            <w:r>
              <w:rPr>
                <w:b/>
                <w:bCs/>
              </w:rPr>
              <w:t xml:space="preserve">Phosphate/phosphonate</w:t>
            </w:r>
          </w:p>
        </w:tc>
        <w:tc>
          <w:tcPr/>
          <w:p>
            <w:pPr>
              <w:pStyle w:val="Compact"/>
              <w:jc w:val="left"/>
            </w:pPr>
            <w:r>
              <w:rPr>
                <w:rStyle w:val="VerbatimChar"/>
              </w:rPr>
              <w:t xml:space="preserve">P(=O)(O)O</w:t>
            </w:r>
            <w:r>
              <w:t xml:space="preserve"> </w:t>
            </w:r>
            <w:r>
              <w:t xml:space="preserve">variants</w:t>
            </w:r>
          </w:p>
        </w:tc>
        <w:tc>
          <w:tcPr/>
          <w:p>
            <w:pPr>
              <w:pStyle w:val="Compact"/>
              <w:jc w:val="left"/>
            </w:pPr>
            <w:r>
              <w:t xml:space="preserve">Bioavailability challenge; prodrug indicator</w:t>
            </w:r>
          </w:p>
        </w:tc>
        <w:tc>
          <w:tcPr/>
          <w:p>
            <w:pPr>
              <w:pStyle w:val="Compact"/>
              <w:jc w:val="left"/>
            </w:pPr>
            <w:r>
              <w:t xml:space="preserve">Absorption warning; formulation strategy</w:t>
            </w:r>
          </w:p>
        </w:tc>
      </w:tr>
      <w:tr>
        <w:tc>
          <w:tcPr/>
          <w:p>
            <w:pPr>
              <w:pStyle w:val="Compact"/>
              <w:jc w:val="left"/>
            </w:pPr>
            <w:r>
              <w:rPr>
                <w:b/>
                <w:bCs/>
              </w:rPr>
              <w:t xml:space="preserve">Ester</w:t>
            </w:r>
          </w:p>
        </w:tc>
        <w:tc>
          <w:tcPr/>
          <w:p>
            <w:pPr>
              <w:pStyle w:val="Compact"/>
              <w:jc w:val="left"/>
            </w:pPr>
            <w:r>
              <w:rPr>
                <w:rStyle w:val="VerbatimChar"/>
              </w:rPr>
              <w:t xml:space="preserve">C(=O)OC</w:t>
            </w:r>
          </w:p>
        </w:tc>
        <w:tc>
          <w:tcPr/>
          <w:p>
            <w:pPr>
              <w:pStyle w:val="Compact"/>
              <w:jc w:val="left"/>
            </w:pPr>
            <w:r>
              <w:t xml:space="preserve">Hydrolytic lability; prodrug or liability</w:t>
            </w:r>
          </w:p>
        </w:tc>
        <w:tc>
          <w:tcPr/>
          <w:p>
            <w:pPr>
              <w:pStyle w:val="Compact"/>
              <w:jc w:val="left"/>
            </w:pPr>
            <w:r>
              <w:t xml:space="preserve">Metabolic stability flag; esterase susceptibility</w:t>
            </w:r>
          </w:p>
        </w:tc>
      </w:tr>
      <w:tr>
        <w:tc>
          <w:tcPr/>
          <w:p>
            <w:pPr>
              <w:pStyle w:val="Compact"/>
              <w:jc w:val="left"/>
            </w:pPr>
            <w:r>
              <w:rPr>
                <w:b/>
                <w:bCs/>
              </w:rPr>
              <w:t xml:space="preserve">Lactam (β-lactam)</w:t>
            </w:r>
          </w:p>
        </w:tc>
        <w:tc>
          <w:tcPr/>
          <w:p>
            <w:pPr>
              <w:pStyle w:val="Compact"/>
              <w:jc w:val="left"/>
            </w:pPr>
            <w:r>
              <w:rPr>
                <w:rStyle w:val="VerbatimChar"/>
              </w:rPr>
              <w:t xml:space="preserve">O=C1CCN1</w:t>
            </w:r>
            <w:r>
              <w:t xml:space="preserve"> </w:t>
            </w:r>
            <w:r>
              <w:t xml:space="preserve">(4-membered)</w:t>
            </w:r>
          </w:p>
        </w:tc>
        <w:tc>
          <w:tcPr/>
          <w:p>
            <w:pPr>
              <w:pStyle w:val="Compact"/>
              <w:jc w:val="left"/>
            </w:pPr>
            <w:r>
              <w:rPr>
                <w:b/>
                <w:bCs/>
              </w:rPr>
              <w:t xml:space="preserve">Allergy risk</w:t>
            </w:r>
            <w:r>
              <w:t xml:space="preserve">; hydrolytic instability</w:t>
            </w:r>
          </w:p>
        </w:tc>
        <w:tc>
          <w:tcPr/>
          <w:p>
            <w:pPr>
              <w:pStyle w:val="Compact"/>
              <w:jc w:val="left"/>
            </w:pPr>
            <w:r>
              <w:t xml:space="preserve">Specific immunogenicity assessment</w:t>
            </w:r>
          </w:p>
        </w:tc>
      </w:tr>
      <w:tr>
        <w:tc>
          <w:tcPr/>
          <w:p>
            <w:pPr>
              <w:pStyle w:val="Compact"/>
              <w:jc w:val="left"/>
            </w:pPr>
            <w:r>
              <w:rPr>
                <w:b/>
                <w:bCs/>
              </w:rPr>
              <w:t xml:space="preserve">Lactam (larger rings)</w:t>
            </w:r>
          </w:p>
        </w:tc>
        <w:tc>
          <w:tcPr/>
          <w:p>
            <w:pPr>
              <w:pStyle w:val="Compact"/>
              <w:jc w:val="left"/>
            </w:pPr>
            <w:r>
              <w:t xml:space="preserve">5- to 7-membered cyclic amides</w:t>
            </w:r>
          </w:p>
        </w:tc>
        <w:tc>
          <w:tcPr/>
          <w:p>
            <w:pPr>
              <w:pStyle w:val="Compact"/>
              <w:jc w:val="left"/>
            </w:pPr>
            <w:r>
              <w:t xml:space="preserve">Generally stable; common drug scaffold</w:t>
            </w:r>
          </w:p>
        </w:tc>
        <w:tc>
          <w:tcPr/>
          <w:p>
            <w:pPr>
              <w:pStyle w:val="Compact"/>
              <w:jc w:val="left"/>
            </w:pPr>
            <w:r>
              <w:t xml:space="preserve">No special flag</w:t>
            </w:r>
          </w:p>
        </w:tc>
      </w:tr>
    </w:tbl>
    <w:p>
      <w:pPr>
        <w:pStyle w:val="a0"/>
      </w:pPr>
      <w:r>
        <w:t xml:space="preserve">The</w:t>
      </w:r>
      <w:r>
        <w:t xml:space="preserve"> </w:t>
      </w:r>
      <w:r>
        <w:rPr>
          <w:b/>
          <w:bCs/>
        </w:rPr>
        <w:t xml:space="preserve">nitroaromatic flag</w:t>
      </w:r>
      <w:r>
        <w:t xml:space="preserve"> </w:t>
      </w:r>
      <w:r>
        <w:t xml:space="preserve">exemplifies</w:t>
      </w:r>
      <w:r>
        <w:t xml:space="preserve"> </w:t>
      </w:r>
      <w:r>
        <w:rPr>
          <w:b/>
          <w:bCs/>
        </w:rPr>
        <w:t xml:space="preserve">high-confidence structural alert</w:t>
      </w:r>
      <w:r>
        <w:t xml:space="preserve"> </w:t>
      </w:r>
      <w:r>
        <w:t xml:space="preserve">triggering: detection immediately elevates genotoxicity risk assessment and may influence Go/No-Go classification regardless of other favorable properties, reflecting the</w:t>
      </w:r>
      <w:r>
        <w:t xml:space="preserve"> </w:t>
      </w:r>
      <w:r>
        <w:rPr>
          <w:b/>
          <w:bCs/>
        </w:rPr>
        <w:t xml:space="preserve">well-documented mutagenicity</w:t>
      </w:r>
      <w:r>
        <w:t xml:space="preserve"> </w:t>
      </w:r>
      <w:r>
        <w:t xml:space="preserve">of this functionality through nitrenium ion formation.</w:t>
      </w:r>
    </w:p>
    <w:p>
      <w:r>
        <w:pict>
          <v:rect style="width:0;height:1.5pt" o:hralign="center" o:hrstd="t" o:hr="t"/>
        </w:pict>
      </w:r>
    </w:p>
    <w:bookmarkEnd w:id="43"/>
    <w:bookmarkEnd w:id="44"/>
    <w:bookmarkEnd w:id="45"/>
    <w:bookmarkEnd w:id="46"/>
    <w:bookmarkStart w:id="65" w:name="target-identification-binding-prediction"/>
    <w:p>
      <w:pPr>
        <w:pStyle w:val="2"/>
      </w:pPr>
      <w:r>
        <w:t xml:space="preserve">3. Target Identification &amp; Binding Prediction</w:t>
      </w:r>
    </w:p>
    <w:bookmarkStart w:id="55" w:name="two-tier-target-suggestion-step-3"/>
    <w:p>
      <w:pPr>
        <w:pStyle w:val="3"/>
      </w:pPr>
      <w:r>
        <w:t xml:space="preserve">3.1 Two-Tier Target Suggestion (Step 3)</w:t>
      </w:r>
    </w:p>
    <w:p>
      <w:pPr>
        <w:pStyle w:val="FirstParagraph"/>
      </w:pPr>
      <w:r>
        <w:t xml:space="preserve">Layer 1’s target identification implements a</w:t>
      </w:r>
      <w:r>
        <w:t xml:space="preserve"> </w:t>
      </w:r>
      <w:r>
        <w:rPr>
          <w:b/>
          <w:bCs/>
        </w:rPr>
        <w:t xml:space="preserve">sophisticated two-tier architecture</w:t>
      </w:r>
      <w:r>
        <w:t xml:space="preserve"> </w:t>
      </w:r>
      <w:r>
        <w:t xml:space="preserve">balancing</w:t>
      </w:r>
      <w:r>
        <w:t xml:space="preserve"> </w:t>
      </w:r>
      <w:r>
        <w:rPr>
          <w:b/>
          <w:bCs/>
        </w:rPr>
        <w:t xml:space="preserve">rapid heuristic prediction</w:t>
      </w:r>
      <w:r>
        <w:t xml:space="preserve"> </w:t>
      </w:r>
      <w:r>
        <w:t xml:space="preserve">with</w:t>
      </w:r>
      <w:r>
        <w:t xml:space="preserve"> </w:t>
      </w:r>
      <w:r>
        <w:rPr>
          <w:b/>
          <w:bCs/>
        </w:rPr>
        <w:t xml:space="preserve">authoritative experimental data integration</w:t>
      </w:r>
      <w:r>
        <w:t xml:space="preserve">. The system generates up to</w:t>
      </w:r>
      <w:r>
        <w:t xml:space="preserve"> </w:t>
      </w:r>
      <w:r>
        <w:rPr>
          <w:b/>
          <w:bCs/>
        </w:rPr>
        <w:t xml:space="preserve">five target suggestions</w:t>
      </w:r>
      <w:r>
        <w:t xml:space="preserve"> </w:t>
      </w:r>
      <w:r>
        <w:t xml:space="preserve">ranked by confidence, with explicit methodology labeling enabling appropriate weighting in decision-making.</w:t>
      </w:r>
    </w:p>
    <w:bookmarkStart w:id="50" w:name="X273456c0089a602e2e9ed32e5d1510ba337e8d0"/>
    <w:p>
      <w:pPr>
        <w:pStyle w:val="4"/>
      </w:pPr>
      <w:r>
        <w:t xml:space="preserve">3.1.1 Tier 1: Pharmacophore-Based Heuristic Matching</w:t>
      </w:r>
    </w:p>
    <w:p>
      <w:pPr>
        <w:pStyle w:val="FirstParagraph"/>
      </w:pPr>
      <w:r>
        <w:t xml:space="preserve">The first tier employs</w:t>
      </w:r>
      <w:r>
        <w:t xml:space="preserve"> </w:t>
      </w:r>
      <w:r>
        <w:rPr>
          <w:b/>
          <w:bCs/>
        </w:rPr>
        <w:t xml:space="preserve">custom scoring functions</w:t>
      </w:r>
      <w:r>
        <w:t xml:space="preserve"> </w:t>
      </w:r>
      <w:r>
        <w:t xml:space="preserve">for</w:t>
      </w:r>
      <w:r>
        <w:t xml:space="preserve"> </w:t>
      </w:r>
      <w:r>
        <w:rPr>
          <w:b/>
          <w:bCs/>
        </w:rPr>
        <w:t xml:space="preserve">29 drug targets</w:t>
      </w:r>
      <w:r>
        <w:t xml:space="preserve"> </w:t>
      </w:r>
      <w:r>
        <w:t xml:space="preserve">spanning</w:t>
      </w:r>
      <w:r>
        <w:t xml:space="preserve"> </w:t>
      </w:r>
      <w:r>
        <w:rPr>
          <w:b/>
          <w:bCs/>
        </w:rPr>
        <w:t xml:space="preserve">11 therapeutic areas</w:t>
      </w:r>
      <w:r>
        <w:t xml:space="preserve">, with weights derived from systematic analysis of structure-activity relationships and expert medicinal chemistry knowledge.</w:t>
      </w:r>
    </w:p>
    <w:bookmarkStart w:id="47" w:name="Xca6a945405b8ec7fccc7516d033da8f8f2ee1e7"/>
    <w:p>
      <w:pPr>
        <w:pStyle w:val="5"/>
      </w:pPr>
      <w:r>
        <w:t xml:space="preserve">3.1.1.1 29-Target Catalog Across 11 Therapeutic Areas</w:t>
      </w:r>
    </w:p>
    <w:tbl>
      <w:tblPr>
        <w:tblStyle w:val="Table"/>
        <w:tblW w:type="pct" w:w="5000"/>
        <w:jc w:val="left"/>
        <w:tblLayout w:type="fixed"/>
        <w:tblLook w:firstRow="1" w:lastRow="0" w:firstColumn="0" w:lastColumn="0" w:noHBand="0" w:noVBand="0" w:val="0020"/>
      </w:tblPr>
      <w:tblGrid>
        <w:gridCol w:w="1584"/>
        <w:gridCol w:w="1584"/>
        <w:gridCol w:w="2236"/>
        <w:gridCol w:w="2515"/>
      </w:tblGrid>
      <w:tr>
        <w:trPr>
          <w:tblHeader w:val="on"/>
        </w:trPr>
        <w:tc>
          <w:tcPr/>
          <w:p>
            <w:pPr>
              <w:pStyle w:val="Compact"/>
              <w:jc w:val="left"/>
            </w:pPr>
            <w:r>
              <w:t xml:space="preserve">Therapeutic Area</w:t>
            </w:r>
          </w:p>
        </w:tc>
        <w:tc>
          <w:tcPr/>
          <w:p>
            <w:pPr>
              <w:pStyle w:val="Compact"/>
              <w:jc w:val="left"/>
            </w:pPr>
            <w:r>
              <w:t xml:space="preserve">Targets (Count)</w:t>
            </w:r>
          </w:p>
        </w:tc>
        <w:tc>
          <w:tcPr/>
          <w:p>
            <w:pPr>
              <w:pStyle w:val="Compact"/>
              <w:jc w:val="left"/>
            </w:pPr>
            <w:r>
              <w:t xml:space="preserve">Representative Examples</w:t>
            </w:r>
          </w:p>
        </w:tc>
        <w:tc>
          <w:tcPr/>
          <w:p>
            <w:pPr>
              <w:pStyle w:val="Compact"/>
              <w:jc w:val="left"/>
            </w:pPr>
            <w:r>
              <w:t xml:space="preserve">Key Pharmacophore Features</w:t>
            </w:r>
          </w:p>
        </w:tc>
      </w:tr>
      <w:tr>
        <w:tc>
          <w:tcPr/>
          <w:p>
            <w:pPr>
              <w:pStyle w:val="Compact"/>
              <w:jc w:val="left"/>
            </w:pPr>
            <w:r>
              <w:rPr>
                <w:b/>
                <w:bCs/>
              </w:rPr>
              <w:t xml:space="preserve">Oncology</w:t>
            </w:r>
          </w:p>
        </w:tc>
        <w:tc>
          <w:tcPr/>
          <w:p>
            <w:pPr>
              <w:pStyle w:val="Compact"/>
              <w:jc w:val="left"/>
            </w:pPr>
            <w:r>
              <w:t xml:space="preserve">11</w:t>
            </w:r>
          </w:p>
        </w:tc>
        <w:tc>
          <w:tcPr/>
          <w:p>
            <w:pPr>
              <w:pStyle w:val="Compact"/>
              <w:jc w:val="left"/>
            </w:pPr>
            <w:r>
              <w:t xml:space="preserve">EGFR, CDK4, CDK2, KDR/VEGFR2, AKT1, PIK3CA, RAF1, ABL1, CHEK1, BRD4, MCL1</w:t>
            </w:r>
          </w:p>
        </w:tc>
        <w:tc>
          <w:tcPr/>
          <w:p>
            <w:pPr>
              <w:pStyle w:val="Compact"/>
              <w:jc w:val="left"/>
            </w:pPr>
            <w:r>
              <w:t xml:space="preserve">Hinge-binding N-heterocycles, ATP mimetics, covalent warheads</w:t>
            </w:r>
          </w:p>
        </w:tc>
      </w:tr>
      <w:tr>
        <w:tc>
          <w:tcPr/>
          <w:p>
            <w:pPr>
              <w:pStyle w:val="Compact"/>
              <w:jc w:val="left"/>
            </w:pPr>
            <w:r>
              <w:rPr>
                <w:b/>
                <w:bCs/>
              </w:rPr>
              <w:t xml:space="preserve">CNS/Psychiatry</w:t>
            </w:r>
          </w:p>
        </w:tc>
        <w:tc>
          <w:tcPr/>
          <w:p>
            <w:pPr>
              <w:pStyle w:val="Compact"/>
              <w:jc w:val="left"/>
            </w:pPr>
            <w:r>
              <w:t xml:space="preserve">3</w:t>
            </w:r>
          </w:p>
        </w:tc>
        <w:tc>
          <w:tcPr/>
          <w:p>
            <w:pPr>
              <w:pStyle w:val="Compact"/>
              <w:jc w:val="left"/>
            </w:pPr>
            <w:r>
              <w:t xml:space="preserve">DRD2, HTR2A, CHRM2</w:t>
            </w:r>
          </w:p>
        </w:tc>
        <w:tc>
          <w:tcPr/>
          <w:p>
            <w:pPr>
              <w:pStyle w:val="Compact"/>
              <w:jc w:val="left"/>
            </w:pPr>
            <w:r>
              <w:t xml:space="preserve">Basic amines, aromatic scaffolds, piperazine/piperidine</w:t>
            </w:r>
          </w:p>
        </w:tc>
      </w:tr>
      <w:tr>
        <w:tc>
          <w:tcPr/>
          <w:p>
            <w:pPr>
              <w:pStyle w:val="Compact"/>
              <w:jc w:val="left"/>
            </w:pPr>
            <w:r>
              <w:rPr>
                <w:b/>
                <w:bCs/>
              </w:rPr>
              <w:t xml:space="preserve">Pain</w:t>
            </w:r>
          </w:p>
        </w:tc>
        <w:tc>
          <w:tcPr/>
          <w:p>
            <w:pPr>
              <w:pStyle w:val="Compact"/>
              <w:jc w:val="left"/>
            </w:pPr>
            <w:r>
              <w:t xml:space="preserve">2</w:t>
            </w:r>
          </w:p>
        </w:tc>
        <w:tc>
          <w:tcPr/>
          <w:p>
            <w:pPr>
              <w:pStyle w:val="Compact"/>
              <w:jc w:val="left"/>
            </w:pPr>
            <w:r>
              <w:t xml:space="preserve">OPRM1, TRPV1</w:t>
            </w:r>
          </w:p>
        </w:tc>
        <w:tc>
          <w:tcPr/>
          <w:p>
            <w:pPr>
              <w:pStyle w:val="Compact"/>
              <w:jc w:val="left"/>
            </w:pPr>
            <w:r>
              <w:t xml:space="preserve">Mixed opioid/ion channel pharmacophores</w:t>
            </w:r>
          </w:p>
        </w:tc>
      </w:tr>
      <w:tr>
        <w:tc>
          <w:tcPr/>
          <w:p>
            <w:pPr>
              <w:pStyle w:val="Compact"/>
              <w:jc w:val="left"/>
            </w:pPr>
            <w:r>
              <w:rPr>
                <w:b/>
                <w:bCs/>
              </w:rPr>
              <w:t xml:space="preserve">Cardiovascular</w:t>
            </w:r>
          </w:p>
        </w:tc>
        <w:tc>
          <w:tcPr/>
          <w:p>
            <w:pPr>
              <w:pStyle w:val="Compact"/>
              <w:jc w:val="left"/>
            </w:pPr>
            <w:r>
              <w:t xml:space="preserve">1</w:t>
            </w:r>
          </w:p>
        </w:tc>
        <w:tc>
          <w:tcPr/>
          <w:p>
            <w:pPr>
              <w:pStyle w:val="Compact"/>
              <w:jc w:val="left"/>
            </w:pPr>
            <w:r>
              <w:t xml:space="preserve">ACE</w:t>
            </w:r>
          </w:p>
        </w:tc>
        <w:tc>
          <w:tcPr/>
          <w:p>
            <w:pPr>
              <w:pStyle w:val="Compact"/>
              <w:jc w:val="left"/>
            </w:pPr>
            <w:r>
              <w:t xml:space="preserve">Zinc-binding groups, dipeptide mimetics</w:t>
            </w:r>
          </w:p>
        </w:tc>
      </w:tr>
      <w:tr>
        <w:tc>
          <w:tcPr/>
          <w:p>
            <w:pPr>
              <w:pStyle w:val="Compact"/>
              <w:jc w:val="left"/>
            </w:pPr>
            <w:r>
              <w:rPr>
                <w:b/>
                <w:bCs/>
              </w:rPr>
              <w:t xml:space="preserve">Inflammation</w:t>
            </w:r>
          </w:p>
        </w:tc>
        <w:tc>
          <w:tcPr/>
          <w:p>
            <w:pPr>
              <w:pStyle w:val="Compact"/>
              <w:jc w:val="left"/>
            </w:pPr>
            <w:r>
              <w:t xml:space="preserve">2</w:t>
            </w:r>
          </w:p>
        </w:tc>
        <w:tc>
          <w:tcPr/>
          <w:p>
            <w:pPr>
              <w:pStyle w:val="Compact"/>
              <w:jc w:val="left"/>
            </w:pPr>
            <w:r>
              <w:t xml:space="preserve">PTGS2 (COX-2), MAPK14 (p38α)</w:t>
            </w:r>
          </w:p>
        </w:tc>
        <w:tc>
          <w:tcPr/>
          <w:p>
            <w:pPr>
              <w:pStyle w:val="Compact"/>
              <w:jc w:val="left"/>
            </w:pPr>
            <w:r>
              <w:t xml:space="preserve">Acidic groups, selective COX-2 features</w:t>
            </w:r>
          </w:p>
        </w:tc>
      </w:tr>
      <w:tr>
        <w:tc>
          <w:tcPr/>
          <w:p>
            <w:pPr>
              <w:pStyle w:val="Compact"/>
              <w:jc w:val="left"/>
            </w:pPr>
            <w:r>
              <w:rPr>
                <w:b/>
                <w:bCs/>
              </w:rPr>
              <w:t xml:space="preserve">Immunology</w:t>
            </w:r>
          </w:p>
        </w:tc>
        <w:tc>
          <w:tcPr/>
          <w:p>
            <w:pPr>
              <w:pStyle w:val="Compact"/>
              <w:jc w:val="left"/>
            </w:pPr>
            <w:r>
              <w:t xml:space="preserve">4</w:t>
            </w:r>
          </w:p>
        </w:tc>
        <w:tc>
          <w:tcPr/>
          <w:p>
            <w:pPr>
              <w:pStyle w:val="Compact"/>
              <w:jc w:val="left"/>
            </w:pPr>
            <w:r>
              <w:t xml:space="preserve">BTK, CHUK/IKKα, PDCD1/PD-1, CCR5</w:t>
            </w:r>
          </w:p>
        </w:tc>
        <w:tc>
          <w:tcPr/>
          <w:p>
            <w:pPr>
              <w:pStyle w:val="Compact"/>
              <w:jc w:val="left"/>
            </w:pPr>
            <w:r>
              <w:t xml:space="preserve">Kinase, nuclear receptor, GPCR diversity</w:t>
            </w:r>
          </w:p>
        </w:tc>
      </w:tr>
      <w:tr>
        <w:tc>
          <w:tcPr/>
          <w:p>
            <w:pPr>
              <w:pStyle w:val="Compact"/>
              <w:jc w:val="left"/>
            </w:pPr>
            <w:r>
              <w:rPr>
                <w:b/>
                <w:bCs/>
              </w:rPr>
              <w:t xml:space="preserve">Endocrinology</w:t>
            </w:r>
          </w:p>
        </w:tc>
        <w:tc>
          <w:tcPr/>
          <w:p>
            <w:pPr>
              <w:pStyle w:val="Compact"/>
              <w:jc w:val="left"/>
            </w:pPr>
            <w:r>
              <w:t xml:space="preserve">2</w:t>
            </w:r>
          </w:p>
        </w:tc>
        <w:tc>
          <w:tcPr/>
          <w:p>
            <w:pPr>
              <w:pStyle w:val="Compact"/>
              <w:jc w:val="left"/>
            </w:pPr>
            <w:r>
              <w:t xml:space="preserve">AR, ESR1</w:t>
            </w:r>
          </w:p>
        </w:tc>
        <w:tc>
          <w:tcPr/>
          <w:p>
            <w:pPr>
              <w:pStyle w:val="Compact"/>
              <w:jc w:val="left"/>
            </w:pPr>
            <w:r>
              <w:t xml:space="preserve">Steroid mimics, hydrogen bond networks</w:t>
            </w:r>
          </w:p>
        </w:tc>
      </w:tr>
      <w:tr>
        <w:tc>
          <w:tcPr/>
          <w:p>
            <w:pPr>
              <w:pStyle w:val="Compact"/>
              <w:jc w:val="left"/>
            </w:pPr>
            <w:r>
              <w:rPr>
                <w:b/>
                <w:bCs/>
              </w:rPr>
              <w:t xml:space="preserve">Metabolic</w:t>
            </w:r>
          </w:p>
        </w:tc>
        <w:tc>
          <w:tcPr/>
          <w:p>
            <w:pPr>
              <w:pStyle w:val="Compact"/>
              <w:jc w:val="left"/>
            </w:pPr>
            <w:r>
              <w:t xml:space="preserve">1</w:t>
            </w:r>
          </w:p>
        </w:tc>
        <w:tc>
          <w:tcPr/>
          <w:p>
            <w:pPr>
              <w:pStyle w:val="Compact"/>
              <w:jc w:val="left"/>
            </w:pPr>
            <w:r>
              <w:t xml:space="preserve">PPARγ</w:t>
            </w:r>
          </w:p>
        </w:tc>
        <w:tc>
          <w:tcPr/>
          <w:p>
            <w:pPr>
              <w:pStyle w:val="Compact"/>
              <w:jc w:val="left"/>
            </w:pPr>
            <w:r>
              <w:t xml:space="preserve">Heterocyclic acids, lipophilic arms</w:t>
            </w:r>
          </w:p>
        </w:tc>
      </w:tr>
      <w:tr>
        <w:tc>
          <w:tcPr/>
          <w:p>
            <w:pPr>
              <w:pStyle w:val="Compact"/>
              <w:jc w:val="left"/>
            </w:pPr>
            <w:r>
              <w:rPr>
                <w:b/>
                <w:bCs/>
              </w:rPr>
              <w:t xml:space="preserve">Epigenetics</w:t>
            </w:r>
          </w:p>
        </w:tc>
        <w:tc>
          <w:tcPr/>
          <w:p>
            <w:pPr>
              <w:pStyle w:val="Compact"/>
              <w:jc w:val="left"/>
            </w:pPr>
            <w:r>
              <w:t xml:space="preserve">2</w:t>
            </w:r>
          </w:p>
        </w:tc>
        <w:tc>
          <w:tcPr/>
          <w:p>
            <w:pPr>
              <w:pStyle w:val="Compact"/>
              <w:jc w:val="left"/>
            </w:pPr>
            <w:r>
              <w:t xml:space="preserve">HDAC2, PARP1</w:t>
            </w:r>
          </w:p>
        </w:tc>
        <w:tc>
          <w:tcPr/>
          <w:p>
            <w:pPr>
              <w:pStyle w:val="Compact"/>
              <w:jc w:val="left"/>
            </w:pPr>
            <w:r>
              <w:t xml:space="preserve">Zinc-binding hydroxamates, NAD mimetics</w:t>
            </w:r>
          </w:p>
        </w:tc>
      </w:tr>
      <w:tr>
        <w:tc>
          <w:tcPr/>
          <w:p>
            <w:pPr>
              <w:pStyle w:val="Compact"/>
              <w:jc w:val="left"/>
            </w:pPr>
            <w:r>
              <w:rPr>
                <w:b/>
                <w:bCs/>
              </w:rPr>
              <w:t xml:space="preserve">Chaperone</w:t>
            </w:r>
          </w:p>
        </w:tc>
        <w:tc>
          <w:tcPr/>
          <w:p>
            <w:pPr>
              <w:pStyle w:val="Compact"/>
              <w:jc w:val="left"/>
            </w:pPr>
            <w:r>
              <w:t xml:space="preserve">1</w:t>
            </w:r>
          </w:p>
        </w:tc>
        <w:tc>
          <w:tcPr/>
          <w:p>
            <w:pPr>
              <w:pStyle w:val="Compact"/>
              <w:jc w:val="left"/>
            </w:pPr>
            <w:r>
              <w:t xml:space="preserve">HSP90</w:t>
            </w:r>
          </w:p>
        </w:tc>
        <w:tc>
          <w:tcPr/>
          <w:p>
            <w:pPr>
              <w:pStyle w:val="Compact"/>
              <w:jc w:val="left"/>
            </w:pPr>
            <w:r>
              <w:t xml:space="preserve">Resorcinol, purine scaffolds</w:t>
            </w:r>
          </w:p>
        </w:tc>
      </w:tr>
    </w:tbl>
    <w:p>
      <w:pPr>
        <w:pStyle w:val="a0"/>
      </w:pPr>
      <w:r>
        <w:t xml:space="preserve">Target inclusion criteria require:</w:t>
      </w:r>
      <w:r>
        <w:t xml:space="preserve"> </w:t>
      </w:r>
      <w:r>
        <w:rPr>
          <w:b/>
          <w:bCs/>
        </w:rPr>
        <w:t xml:space="preserve">(1)</w:t>
      </w:r>
      <w:r>
        <w:t xml:space="preserve"> </w:t>
      </w:r>
      <w:r>
        <w:t xml:space="preserve">clinically validated therapeutic relevance;</w:t>
      </w:r>
      <w:r>
        <w:t xml:space="preserve"> </w:t>
      </w:r>
      <w:r>
        <w:rPr>
          <w:b/>
          <w:bCs/>
        </w:rPr>
        <w:t xml:space="preserve">(2)</w:t>
      </w:r>
      <w:r>
        <w:t xml:space="preserve"> </w:t>
      </w:r>
      <w:r>
        <w:t xml:space="preserve">established small-molecule druggability with rich SAR data;</w:t>
      </w:r>
      <w:r>
        <w:t xml:space="preserve"> </w:t>
      </w:r>
      <w:r>
        <w:rPr>
          <w:b/>
          <w:bCs/>
        </w:rPr>
        <w:t xml:space="preserve">(3)</w:t>
      </w:r>
      <w:r>
        <w:t xml:space="preserve"> </w:t>
      </w:r>
      <w:r>
        <w:t xml:space="preserve">distinctive pharmacophore requirements enabling reliable discrimination from non-targets.</w:t>
      </w:r>
    </w:p>
    <w:bookmarkEnd w:id="47"/>
    <w:bookmarkStart w:id="48" w:name="Xf3a7a9eb84ac701faa261756d4f7f09ff224a34"/>
    <w:p>
      <w:pPr>
        <w:pStyle w:val="5"/>
      </w:pPr>
      <w:r>
        <w:t xml:space="preserve">3.1.1.2 Custom Scoring Functions per Target (e.g., EGFR: +2.5 quinazoline, +2 aromatic N)</w:t>
      </w:r>
    </w:p>
    <w:p>
      <w:pPr>
        <w:pStyle w:val="FirstParagraph"/>
      </w:pPr>
      <w:r>
        <w:t xml:space="preserve">The</w:t>
      </w:r>
      <w:r>
        <w:t xml:space="preserve"> </w:t>
      </w:r>
      <w:r>
        <w:rPr>
          <w:b/>
          <w:bCs/>
        </w:rPr>
        <w:t xml:space="preserve">EGFR scoring function</w:t>
      </w:r>
      <w:r>
        <w:t xml:space="preserve"> </w:t>
      </w:r>
      <w:r>
        <w:t xml:space="preserve">exemplifies the approach:</w:t>
      </w:r>
    </w:p>
    <w:tbl>
      <w:tblPr>
        <w:tblStyle w:val="Table"/>
        <w:tblW w:type="pct" w:w="5000"/>
        <w:jc w:val="left"/>
        <w:tblLayout w:type="fixed"/>
        <w:tblLook w:firstRow="1" w:lastRow="0" w:firstColumn="0" w:lastColumn="0" w:noHBand="0" w:noVBand="0" w:val="0020"/>
      </w:tblPr>
      <w:tblGrid>
        <w:gridCol w:w="2545"/>
        <w:gridCol w:w="2262"/>
        <w:gridCol w:w="3111"/>
      </w:tblGrid>
      <w:tr>
        <w:trPr>
          <w:tblHeader w:val="on"/>
        </w:trPr>
        <w:tc>
          <w:tcPr/>
          <w:p>
            <w:pPr>
              <w:pStyle w:val="Compact"/>
              <w:jc w:val="left"/>
            </w:pPr>
            <w:r>
              <w:t xml:space="preserve">Feature</w:t>
            </w:r>
          </w:p>
        </w:tc>
        <w:tc>
          <w:tcPr/>
          <w:p>
            <w:pPr>
              <w:pStyle w:val="Compact"/>
              <w:jc w:val="left"/>
            </w:pPr>
            <w:r>
              <w:t xml:space="preserve">Points</w:t>
            </w:r>
          </w:p>
        </w:tc>
        <w:tc>
          <w:tcPr/>
          <w:p>
            <w:pPr>
              <w:pStyle w:val="Compact"/>
              <w:jc w:val="left"/>
            </w:pPr>
            <w:r>
              <w:t xml:space="preserve">Rationale</w:t>
            </w:r>
          </w:p>
        </w:tc>
      </w:tr>
      <w:tr>
        <w:tc>
          <w:tcPr/>
          <w:p>
            <w:pPr>
              <w:pStyle w:val="Compact"/>
              <w:jc w:val="left"/>
            </w:pPr>
            <w:r>
              <w:t xml:space="preserve">Quinazoline scaffold</w:t>
            </w:r>
          </w:p>
        </w:tc>
        <w:tc>
          <w:tcPr/>
          <w:p>
            <w:pPr>
              <w:pStyle w:val="Compact"/>
              <w:jc w:val="left"/>
            </w:pPr>
            <w:r>
              <w:rPr>
                <w:b/>
                <w:bCs/>
              </w:rPr>
              <w:t xml:space="preserve">+2.5</w:t>
            </w:r>
          </w:p>
        </w:tc>
        <w:tc>
          <w:tcPr/>
          <w:p>
            <w:pPr>
              <w:pStyle w:val="Compact"/>
              <w:jc w:val="left"/>
            </w:pPr>
            <w:r>
              <w:t xml:space="preserve">Defining scaffold of approved inhibitors (gefitinib, erlotinib, lapatinib)</w:t>
            </w:r>
          </w:p>
        </w:tc>
      </w:tr>
      <w:tr>
        <w:tc>
          <w:tcPr/>
          <w:p>
            <w:pPr>
              <w:pStyle w:val="Compact"/>
              <w:jc w:val="left"/>
            </w:pPr>
            <w:r>
              <w:t xml:space="preserve">Aromatic nitrogen count</w:t>
            </w:r>
          </w:p>
        </w:tc>
        <w:tc>
          <w:tcPr/>
          <w:p>
            <w:pPr>
              <w:pStyle w:val="Compact"/>
              <w:jc w:val="left"/>
            </w:pPr>
            <w:r>
              <w:t xml:space="preserve">+2.0</w:t>
            </w:r>
          </w:p>
        </w:tc>
        <w:tc>
          <w:tcPr/>
          <w:p>
            <w:pPr>
              <w:pStyle w:val="Compact"/>
              <w:jc w:val="left"/>
            </w:pPr>
            <w:r>
              <w:t xml:space="preserve">Hinge-binding hydrogen bond acceptor critical for ATP competition</w:t>
            </w:r>
          </w:p>
        </w:tc>
      </w:tr>
      <w:tr>
        <w:tc>
          <w:tcPr/>
          <w:p>
            <w:pPr>
              <w:pStyle w:val="Compact"/>
              <w:jc w:val="left"/>
            </w:pPr>
            <w:r>
              <w:t xml:space="preserve">Aniline group</w:t>
            </w:r>
          </w:p>
        </w:tc>
        <w:tc>
          <w:tcPr/>
          <w:p>
            <w:pPr>
              <w:pStyle w:val="Compact"/>
              <w:jc w:val="left"/>
            </w:pPr>
            <w:r>
              <w:t xml:space="preserve">+1.5</w:t>
            </w:r>
          </w:p>
        </w:tc>
        <w:tc>
          <w:tcPr/>
          <w:p>
            <w:pPr>
              <w:pStyle w:val="Compact"/>
              <w:jc w:val="left"/>
            </w:pPr>
            <w:r>
              <w:t xml:space="preserve">Back pocket occupation, selectivity determinant</w:t>
            </w:r>
          </w:p>
        </w:tc>
      </w:tr>
      <w:tr>
        <w:tc>
          <w:tcPr/>
          <w:p>
            <w:pPr>
              <w:pStyle w:val="Compact"/>
              <w:jc w:val="left"/>
            </w:pPr>
            <w:r>
              <w:t xml:space="preserve">MW 300–560 Da</w:t>
            </w:r>
          </w:p>
        </w:tc>
        <w:tc>
          <w:tcPr/>
          <w:p>
            <w:pPr>
              <w:pStyle w:val="Compact"/>
              <w:jc w:val="left"/>
            </w:pPr>
            <w:r>
              <w:t xml:space="preserve">+1.5</w:t>
            </w:r>
          </w:p>
        </w:tc>
        <w:tc>
          <w:tcPr/>
          <w:p>
            <w:pPr>
              <w:pStyle w:val="Compact"/>
              <w:jc w:val="left"/>
            </w:pPr>
            <w:r>
              <w:t xml:space="preserve">Optimal ATP-binding site accommodation</w:t>
            </w:r>
          </w:p>
        </w:tc>
      </w:tr>
      <w:tr>
        <w:tc>
          <w:tcPr/>
          <w:p>
            <w:pPr>
              <w:pStyle w:val="Compact"/>
              <w:jc w:val="left"/>
            </w:pPr>
            <w:r>
              <w:t xml:space="preserve">Michael acceptor</w:t>
            </w:r>
          </w:p>
        </w:tc>
        <w:tc>
          <w:tcPr/>
          <w:p>
            <w:pPr>
              <w:pStyle w:val="Compact"/>
              <w:jc w:val="left"/>
            </w:pPr>
            <w:r>
              <w:t xml:space="preserve">+1.5</w:t>
            </w:r>
          </w:p>
        </w:tc>
        <w:tc>
          <w:tcPr/>
          <w:p>
            <w:pPr>
              <w:pStyle w:val="Compact"/>
              <w:jc w:val="left"/>
            </w:pPr>
            <w:r>
              <w:t xml:space="preserve">Covalent C797 targeting (osimertinib mechanism)</w:t>
            </w:r>
          </w:p>
        </w:tc>
      </w:tr>
      <w:tr>
        <w:tc>
          <w:tcPr/>
          <w:p>
            <w:pPr>
              <w:pStyle w:val="Compact"/>
              <w:jc w:val="left"/>
            </w:pPr>
            <w:r>
              <w:rPr>
                <w:b/>
                <w:bCs/>
              </w:rPr>
              <w:t xml:space="preserve">Maximum raw score</w:t>
            </w:r>
          </w:p>
        </w:tc>
        <w:tc>
          <w:tcPr/>
          <w:p>
            <w:pPr>
              <w:pStyle w:val="Compact"/>
              <w:jc w:val="left"/>
            </w:pPr>
            <w:r>
              <w:rPr>
                <w:b/>
                <w:bCs/>
              </w:rPr>
              <w:t xml:space="preserve">12.0</w:t>
            </w:r>
          </w:p>
        </w:tc>
        <w:tc>
          <w:tcPr/>
          <w:p>
            <w:pPr>
              <w:pStyle w:val="Compact"/>
              <w:jc w:val="left"/>
            </w:pPr>
            <w:r>
              <w:t xml:space="preserve">Fixed normalization denominator</w:t>
            </w:r>
          </w:p>
        </w:tc>
      </w:tr>
    </w:tbl>
    <w:bookmarkEnd w:id="48"/>
    <w:bookmarkStart w:id="49" w:name="X6a5cc9b7af95523be2fd6f41d052595897cc7dd"/>
    <w:p>
      <w:pPr>
        <w:pStyle w:val="5"/>
      </w:pPr>
      <w:r>
        <w:t xml:space="preserve">3.1.1.3 Absolute Confidence Scoring (Raw/12): High ≥65%, Medium 35–64%, Low &lt;35%</w:t>
      </w:r>
    </w:p>
    <w:tbl>
      <w:tblPr>
        <w:tblStyle w:val="Table"/>
        <w:tblW w:type="pct" w:w="5000"/>
        <w:jc w:val="left"/>
        <w:tblLayout w:type="fixed"/>
        <w:tblLook w:firstRow="1" w:lastRow="0" w:firstColumn="0" w:lastColumn="0" w:noHBand="0" w:noVBand="0" w:val="0020"/>
      </w:tblPr>
      <w:tblGrid>
        <w:gridCol w:w="2244"/>
        <w:gridCol w:w="2244"/>
        <w:gridCol w:w="1584"/>
        <w:gridCol w:w="1848"/>
      </w:tblGrid>
      <w:tr>
        <w:trPr>
          <w:tblHeader w:val="on"/>
        </w:trPr>
        <w:tc>
          <w:tcPr/>
          <w:p>
            <w:pPr>
              <w:pStyle w:val="Compact"/>
              <w:jc w:val="left"/>
            </w:pPr>
            <w:r>
              <w:t xml:space="preserve">Confidence Tier</w:t>
            </w:r>
          </w:p>
        </w:tc>
        <w:tc>
          <w:tcPr/>
          <w:p>
            <w:pPr>
              <w:pStyle w:val="Compact"/>
              <w:jc w:val="left"/>
            </w:pPr>
            <w:r>
              <w:t xml:space="preserve">Raw Score Range</w:t>
            </w:r>
          </w:p>
        </w:tc>
        <w:tc>
          <w:tcPr/>
          <w:p>
            <w:pPr>
              <w:pStyle w:val="Compact"/>
              <w:jc w:val="left"/>
            </w:pPr>
            <w:r>
              <w:t xml:space="preserve">Percentage</w:t>
            </w:r>
          </w:p>
        </w:tc>
        <w:tc>
          <w:tcPr/>
          <w:p>
            <w:pPr>
              <w:pStyle w:val="Compact"/>
              <w:jc w:val="left"/>
            </w:pPr>
            <w:r>
              <w:t xml:space="preserve">Interpretation</w:t>
            </w:r>
          </w:p>
        </w:tc>
      </w:tr>
      <w:tr>
        <w:tc>
          <w:tcPr/>
          <w:p>
            <w:pPr>
              <w:pStyle w:val="Compact"/>
              <w:jc w:val="left"/>
            </w:pPr>
            <w:r>
              <w:rPr>
                <w:b/>
                <w:bCs/>
              </w:rPr>
              <w:t xml:space="preserve">High</w:t>
            </w:r>
          </w:p>
        </w:tc>
        <w:tc>
          <w:tcPr/>
          <w:p>
            <w:pPr>
              <w:pStyle w:val="Compact"/>
              <w:jc w:val="left"/>
            </w:pPr>
            <w:r>
              <w:t xml:space="preserve">≥7.8</w:t>
            </w:r>
          </w:p>
        </w:tc>
        <w:tc>
          <w:tcPr/>
          <w:p>
            <w:pPr>
              <w:pStyle w:val="Compact"/>
              <w:jc w:val="left"/>
            </w:pPr>
            <w:r>
              <w:t xml:space="preserve">≥65%</w:t>
            </w:r>
          </w:p>
        </w:tc>
        <w:tc>
          <w:tcPr/>
          <w:p>
            <w:pPr>
              <w:pStyle w:val="Compact"/>
              <w:jc w:val="left"/>
            </w:pPr>
            <w:r>
              <w:t xml:space="preserve">Strong multi-feature match; genuine mechanistic relevance likely</w:t>
            </w:r>
          </w:p>
        </w:tc>
      </w:tr>
      <w:tr>
        <w:tc>
          <w:tcPr/>
          <w:p>
            <w:pPr>
              <w:pStyle w:val="Compact"/>
              <w:jc w:val="left"/>
            </w:pPr>
            <w:r>
              <w:rPr>
                <w:b/>
                <w:bCs/>
              </w:rPr>
              <w:t xml:space="preserve">Medium</w:t>
            </w:r>
          </w:p>
        </w:tc>
        <w:tc>
          <w:tcPr/>
          <w:p>
            <w:pPr>
              <w:pStyle w:val="Compact"/>
              <w:jc w:val="left"/>
            </w:pPr>
            <w:r>
              <w:t xml:space="preserve">4.2–7.7</w:t>
            </w:r>
          </w:p>
        </w:tc>
        <w:tc>
          <w:tcPr/>
          <w:p>
            <w:pPr>
              <w:pStyle w:val="Compact"/>
              <w:jc w:val="left"/>
            </w:pPr>
            <w:r>
              <w:t xml:space="preserve">35–64%</w:t>
            </w:r>
          </w:p>
        </w:tc>
        <w:tc>
          <w:tcPr/>
          <w:p>
            <w:pPr>
              <w:pStyle w:val="Compact"/>
              <w:jc w:val="left"/>
            </w:pPr>
            <w:r>
              <w:t xml:space="preserve">Partial match; experimental validation warranted</w:t>
            </w:r>
          </w:p>
        </w:tc>
      </w:tr>
      <w:tr>
        <w:tc>
          <w:tcPr/>
          <w:p>
            <w:pPr>
              <w:pStyle w:val="Compact"/>
              <w:jc w:val="left"/>
            </w:pPr>
            <w:r>
              <w:rPr>
                <w:b/>
                <w:bCs/>
              </w:rPr>
              <w:t xml:space="preserve">Low</w:t>
            </w:r>
          </w:p>
        </w:tc>
        <w:tc>
          <w:tcPr/>
          <w:p>
            <w:pPr>
              <w:pStyle w:val="Compact"/>
              <w:jc w:val="left"/>
            </w:pPr>
            <w:r>
              <w:t xml:space="preserve">&lt;4.2</w:t>
            </w:r>
          </w:p>
        </w:tc>
        <w:tc>
          <w:tcPr/>
          <w:p>
            <w:pPr>
              <w:pStyle w:val="Compact"/>
              <w:jc w:val="left"/>
            </w:pPr>
            <w:r>
              <w:t xml:space="preserve">&lt;35%</w:t>
            </w:r>
          </w:p>
        </w:tc>
        <w:tc>
          <w:tcPr/>
          <w:p>
            <w:pPr>
              <w:pStyle w:val="Compact"/>
              <w:jc w:val="left"/>
            </w:pPr>
            <w:r>
              <w:t xml:space="preserve">Weak resemblance; novel mechanism or polypharmacology possible</w:t>
            </w:r>
          </w:p>
        </w:tc>
      </w:tr>
    </w:tbl>
    <w:p>
      <w:pPr>
        <w:pStyle w:val="a0"/>
      </w:pPr>
      <w:r>
        <w:t xml:space="preserve">The</w:t>
      </w:r>
      <w:r>
        <w:t xml:space="preserve"> </w:t>
      </w:r>
      <w:r>
        <w:rPr>
          <w:b/>
          <w:bCs/>
        </w:rPr>
        <w:t xml:space="preserve">absolute normalization</w:t>
      </w:r>
      <w:r>
        <w:t xml:space="preserve"> </w:t>
      </w:r>
      <w:r>
        <w:t xml:space="preserve">(score/12) ensures</w:t>
      </w:r>
      <w:r>
        <w:t xml:space="preserve"> </w:t>
      </w:r>
      <w:r>
        <w:rPr>
          <w:b/>
          <w:bCs/>
        </w:rPr>
        <w:t xml:space="preserve">honest signaling</w:t>
      </w:r>
      <w:r>
        <w:t xml:space="preserve">—when no target matches well, all suggestions appropriately display low confidence, preventing false assurance from relative ranking.</w:t>
      </w:r>
    </w:p>
    <w:bookmarkEnd w:id="49"/>
    <w:bookmarkEnd w:id="50"/>
    <w:bookmarkStart w:id="54" w:name="Xd582557f4846d61c85e29f3b5c4e4380856e0d7"/>
    <w:p>
      <w:pPr>
        <w:pStyle w:val="4"/>
      </w:pPr>
      <w:r>
        <w:t xml:space="preserve">3.1.2 Tier 2: ChEMBL Experimental Data Integration</w:t>
      </w:r>
    </w:p>
    <w:p>
      <w:pPr>
        <w:pStyle w:val="FirstParagraph"/>
      </w:pPr>
      <w:r>
        <w:t xml:space="preserve">Operating in parallel with heuristic scoring, the system queries</w:t>
      </w:r>
      <w:r>
        <w:t xml:space="preserve"> </w:t>
      </w:r>
      <w:r>
        <w:rPr>
          <w:b/>
          <w:bCs/>
        </w:rPr>
        <w:t xml:space="preserve">ChEMBL via REST API</w:t>
      </w:r>
      <w:r>
        <w:t xml:space="preserve"> </w:t>
      </w:r>
      <w:r>
        <w:t xml:space="preserve">for known bioactivity data, with</w:t>
      </w:r>
      <w:r>
        <w:t xml:space="preserve"> </w:t>
      </w:r>
      <w:r>
        <w:rPr>
          <w:b/>
          <w:bCs/>
        </w:rPr>
        <w:t xml:space="preserve">experimental measurements receiving absolute priority</w:t>
      </w:r>
      <w:r>
        <w:t xml:space="preserve"> </w:t>
      </w:r>
      <w:r>
        <w:t xml:space="preserve">in final recommendations.</w:t>
      </w:r>
    </w:p>
    <w:bookmarkStart w:id="51" w:name="X2c7c653c76c52c2b461cd6a20725cf03105506a"/>
    <w:p>
      <w:pPr>
        <w:pStyle w:val="5"/>
      </w:pPr>
      <w:r>
        <w:t xml:space="preserve">3.1.2.1 Parallel SMILES Lookup for Known Bioactivity</w:t>
      </w:r>
    </w:p>
    <w:p>
      <w:pPr>
        <w:pStyle w:val="FirstParagraph"/>
      </w:pPr>
      <w:r>
        <w:t xml:space="preserve">The ChEMBL query uses</w:t>
      </w:r>
      <w:r>
        <w:t xml:space="preserve"> </w:t>
      </w:r>
      <w:r>
        <w:rPr>
          <w:b/>
          <w:bCs/>
        </w:rPr>
        <w:t xml:space="preserve">canonical SMILES</w:t>
      </w:r>
      <w:r>
        <w:t xml:space="preserve"> </w:t>
      </w:r>
      <w:r>
        <w:t xml:space="preserve">for exact structure matching with stereochemistry consideration, retrieving:</w:t>
      </w:r>
      <w:r>
        <w:t xml:space="preserve"> </w:t>
      </w:r>
      <w:r>
        <w:t xml:space="preserve">- Compound identifiers and cross-references</w:t>
      </w:r>
      <w:r>
        <w:t xml:space="preserve"> </w:t>
      </w:r>
      <w:r>
        <w:t xml:space="preserve">- Target annotations with UniProt mapping</w:t>
      </w:r>
      <w:r>
        <w:t xml:space="preserve"> </w:t>
      </w:r>
      <w:r>
        <w:t xml:space="preserve">- Quantitative activity measurements (IC50, Ki, Kd, EC50)</w:t>
      </w:r>
      <w:r>
        <w:t xml:space="preserve"> </w:t>
      </w:r>
      <w:r>
        <w:t xml:space="preserve">- Assay metadata and confidence classifications</w:t>
      </w:r>
    </w:p>
    <w:p>
      <w:pPr>
        <w:pStyle w:val="a0"/>
      </w:pPr>
      <w:r>
        <w:rPr>
          <w:b/>
          <w:bCs/>
        </w:rPr>
        <w:t xml:space="preserve">Parallel execution</w:t>
      </w:r>
      <w:r>
        <w:t xml:space="preserve"> </w:t>
      </w:r>
      <w:r>
        <w:t xml:space="preserve">ensures ChEMBL latency does not block heuristic results, with</w:t>
      </w:r>
      <w:r>
        <w:t xml:space="preserve"> </w:t>
      </w:r>
      <w:r>
        <w:rPr>
          <w:b/>
          <w:bCs/>
        </w:rPr>
        <w:t xml:space="preserve">5-second timeout</w:t>
      </w:r>
      <w:r>
        <w:t xml:space="preserve"> </w:t>
      </w:r>
      <w:r>
        <w:t xml:space="preserve">and graceful fallback to heuristic-only output.</w:t>
      </w:r>
    </w:p>
    <w:bookmarkEnd w:id="51"/>
    <w:bookmarkStart w:id="52" w:name="X8cad6b8ba57b2b4cce0492536179b2b200d686f"/>
    <w:p>
      <w:pPr>
        <w:pStyle w:val="5"/>
      </w:pPr>
      <w:r>
        <w:t xml:space="preserve">3.1.2.2 Experimental IC50/Ki/EC50 Values (Highest Confidence Tier)</w:t>
      </w:r>
    </w:p>
    <w:p>
      <w:pPr>
        <w:pStyle w:val="FirstParagraph"/>
      </w:pPr>
      <w:r>
        <w:t xml:space="preserve">Experimental data quality filtering:</w:t>
      </w:r>
      <w:r>
        <w:t xml:space="preserve"> </w:t>
      </w:r>
      <w:r>
        <w:t xml:space="preserve">-</w:t>
      </w:r>
      <w:r>
        <w:t xml:space="preserve"> </w:t>
      </w:r>
      <w:r>
        <w:rPr>
          <w:b/>
          <w:bCs/>
        </w:rPr>
        <w:t xml:space="preserve">Excluded</w:t>
      </w:r>
      <w:r>
        <w:t xml:space="preserve">:</w:t>
      </w:r>
      <w:r>
        <w:t xml:space="preserve"> </w:t>
      </w:r>
      <w:r>
        <w:t xml:space="preserve">“</w:t>
      </w:r>
      <w:r>
        <w:t xml:space="preserve">Unspecified</w:t>
      </w:r>
      <w:r>
        <w:t xml:space="preserve">”</w:t>
      </w:r>
      <w:r>
        <w:t xml:space="preserve"> </w:t>
      </w:r>
      <w:r>
        <w:t xml:space="preserve">or</w:t>
      </w:r>
      <w:r>
        <w:t xml:space="preserve"> </w:t>
      </w:r>
      <w:r>
        <w:t xml:space="preserve">“</w:t>
      </w:r>
      <w:r>
        <w:t xml:space="preserve">Uncertain</w:t>
      </w:r>
      <w:r>
        <w:t xml:space="preserve">”</w:t>
      </w:r>
      <w:r>
        <w:t xml:space="preserve"> </w:t>
      </w:r>
      <w:r>
        <w:t xml:space="preserve">confidence; predicted/calculated values; binary</w:t>
      </w:r>
      <w:r>
        <w:t xml:space="preserve"> </w:t>
      </w:r>
      <w:r>
        <w:t xml:space="preserve">“</w:t>
      </w:r>
      <w:r>
        <w:t xml:space="preserve">Active/Inactive</w:t>
      </w:r>
      <w:r>
        <w:t xml:space="preserve">”</w:t>
      </w:r>
      <w:r>
        <w:t xml:space="preserve"> </w:t>
      </w:r>
      <w:r>
        <w:t xml:space="preserve">without concentration</w:t>
      </w:r>
      <w:r>
        <w:t xml:space="preserve"> </w:t>
      </w:r>
      <w:r>
        <w:t xml:space="preserve">-</w:t>
      </w:r>
      <w:r>
        <w:t xml:space="preserve"> </w:t>
      </w:r>
      <w:r>
        <w:rPr>
          <w:b/>
          <w:bCs/>
        </w:rPr>
        <w:t xml:space="preserve">Retained</w:t>
      </w:r>
      <w:r>
        <w:t xml:space="preserve">: Direct binding or functional assays with quantitative endpoints</w:t>
      </w:r>
      <w:r>
        <w:t xml:space="preserve"> </w:t>
      </w:r>
      <w:r>
        <w:t xml:space="preserve">-</w:t>
      </w:r>
      <w:r>
        <w:t xml:space="preserve"> </w:t>
      </w:r>
      <w:r>
        <w:rPr>
          <w:b/>
          <w:bCs/>
        </w:rPr>
        <w:t xml:space="preserve">Aggregated</w:t>
      </w:r>
      <w:r>
        <w:t xml:space="preserve">: Median of multiple measurements with outlier detection</w:t>
      </w:r>
    </w:p>
    <w:bookmarkEnd w:id="52"/>
    <w:bookmarkStart w:id="53" w:name="Xca0b5ccb4cd9febf091401445ca3f47f747024a"/>
    <w:p>
      <w:pPr>
        <w:pStyle w:val="5"/>
      </w:pPr>
      <w:r>
        <w:t xml:space="preserve">3.1.2.3 Experimental Data Priority Over Computational Predictions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Handling</w:t>
            </w:r>
          </w:p>
        </w:tc>
      </w:tr>
      <w:tr>
        <w:tc>
          <w:tcPr/>
          <w:p>
            <w:pPr>
              <w:pStyle w:val="Compact"/>
              <w:jc w:val="left"/>
            </w:pPr>
            <w:r>
              <w:t xml:space="preserve">ChEMBL returns experimental data for target</w:t>
            </w:r>
          </w:p>
        </w:tc>
        <w:tc>
          <w:tcPr/>
          <w:p>
            <w:pPr>
              <w:pStyle w:val="Compact"/>
              <w:jc w:val="left"/>
            </w:pPr>
            <w:r>
              <w:rPr>
                <w:b/>
                <w:bCs/>
              </w:rPr>
              <w:t xml:space="preserve">“</w:t>
            </w:r>
            <w:r>
              <w:rPr>
                <w:b/>
                <w:bCs/>
              </w:rPr>
              <w:t xml:space="preserve">Experimental</w:t>
            </w:r>
            <w:r>
              <w:rPr>
                <w:b/>
                <w:bCs/>
              </w:rPr>
              <w:t xml:space="preserve">”</w:t>
            </w:r>
            <w:r>
              <w:rPr>
                <w:b/>
                <w:bCs/>
              </w:rPr>
              <w:t xml:space="preserve"> </w:t>
            </w:r>
            <w:r>
              <w:rPr>
                <w:b/>
                <w:bCs/>
              </w:rPr>
              <w:t xml:space="preserve">label</w:t>
            </w:r>
            <w:r>
              <w:t xml:space="preserve">; overrides all predictions; top of suggestion list</w:t>
            </w:r>
          </w:p>
        </w:tc>
      </w:tr>
      <w:tr>
        <w:tc>
          <w:tcPr/>
          <w:p>
            <w:pPr>
              <w:pStyle w:val="Compact"/>
              <w:jc w:val="left"/>
            </w:pPr>
            <w:r>
              <w:t xml:space="preserve">Multiple experimental targets</w:t>
            </w:r>
          </w:p>
        </w:tc>
        <w:tc>
          <w:tcPr/>
          <w:p>
            <w:pPr>
              <w:pStyle w:val="Compact"/>
              <w:jc w:val="left"/>
            </w:pPr>
            <w:r>
              <w:t xml:space="preserve">All presented with measured affinities; polypharmacology explicitly shown</w:t>
            </w:r>
          </w:p>
        </w:tc>
      </w:tr>
      <w:tr>
        <w:tc>
          <w:tcPr/>
          <w:p>
            <w:pPr>
              <w:pStyle w:val="Compact"/>
              <w:jc w:val="left"/>
            </w:pPr>
            <w:r>
              <w:t xml:space="preserve">No ChEMBL data</w:t>
            </w:r>
          </w:p>
        </w:tc>
        <w:tc>
          <w:tcPr/>
          <w:p>
            <w:pPr>
              <w:pStyle w:val="Compact"/>
              <w:jc w:val="left"/>
            </w:pPr>
            <w:r>
              <w:t xml:space="preserve">Heuristic suggestions fill all slots (up to 5)</w:t>
            </w:r>
          </w:p>
        </w:tc>
      </w:tr>
      <w:tr>
        <w:tc>
          <w:tcPr/>
          <w:p>
            <w:pPr>
              <w:pStyle w:val="Compact"/>
              <w:jc w:val="left"/>
            </w:pPr>
            <w:r>
              <w:t xml:space="preserve">Partial ChEMBL coverage</w:t>
            </w:r>
          </w:p>
        </w:tc>
        <w:tc>
          <w:tcPr/>
          <w:p>
            <w:pPr>
              <w:pStyle w:val="Compact"/>
              <w:jc w:val="left"/>
            </w:pPr>
            <w:r>
              <w:t xml:space="preserve">Experimental targets first, then heuristic fill</w:t>
            </w:r>
          </w:p>
        </w:tc>
      </w:tr>
    </w:tbl>
    <w:p>
      <w:pPr>
        <w:pStyle w:val="a0"/>
      </w:pPr>
      <w:r>
        <w:t xml:space="preserve">This</w:t>
      </w:r>
      <w:r>
        <w:t xml:space="preserve"> </w:t>
      </w:r>
      <w:r>
        <w:rPr>
          <w:b/>
          <w:bCs/>
        </w:rPr>
        <w:t xml:space="preserve">experimental supremacy principle</w:t>
      </w:r>
      <w:r>
        <w:t xml:space="preserve"> </w:t>
      </w:r>
      <w:r>
        <w:t xml:space="preserve">ensures researchers are never misled by computational predictions when empirical evidence exists, while heuristic coverage ensures comprehensive suggestions for novel chemical matter.</w:t>
      </w:r>
    </w:p>
    <w:bookmarkEnd w:id="53"/>
    <w:bookmarkEnd w:id="54"/>
    <w:bookmarkEnd w:id="55"/>
    <w:bookmarkStart w:id="60" w:name="auto-configuration-of-target-metadata"/>
    <w:p>
      <w:pPr>
        <w:pStyle w:val="3"/>
      </w:pPr>
      <w:r>
        <w:t xml:space="preserve">3.2 Auto-Configuration of Target Metadata</w:t>
      </w:r>
    </w:p>
    <w:p>
      <w:pPr>
        <w:pStyle w:val="FirstParagraph"/>
      </w:pPr>
      <w:r>
        <w:t xml:space="preserve">Target selection triggers</w:t>
      </w:r>
      <w:r>
        <w:t xml:space="preserve"> </w:t>
      </w:r>
      <w:r>
        <w:rPr>
          <w:b/>
          <w:bCs/>
        </w:rPr>
        <w:t xml:space="preserve">automatic metadata retrieval and configuration</w:t>
      </w:r>
      <w:r>
        <w:t xml:space="preserve">:</w:t>
      </w:r>
    </w:p>
    <w:bookmarkStart w:id="56" w:name="uniprot-id-assignment-api-fetch"/>
    <w:p>
      <w:pPr>
        <w:pStyle w:val="4"/>
      </w:pPr>
      <w:r>
        <w:t xml:space="preserve">3.2.1 UniProt ID Assignment &amp; API Fetch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Retrieved Data</w:t>
            </w:r>
          </w:p>
        </w:tc>
        <w:tc>
          <w:tcPr/>
          <w:p>
            <w:pPr>
              <w:pStyle w:val="Compact"/>
              <w:jc w:val="left"/>
            </w:pPr>
            <w:r>
              <w:t xml:space="preserve">Application</w:t>
            </w:r>
          </w:p>
        </w:tc>
      </w:tr>
      <w:tr>
        <w:tc>
          <w:tcPr/>
          <w:p>
            <w:pPr>
              <w:pStyle w:val="Compact"/>
              <w:jc w:val="left"/>
            </w:pPr>
            <w:r>
              <w:t xml:space="preserve">Official protein name, gene symbol</w:t>
            </w:r>
          </w:p>
        </w:tc>
        <w:tc>
          <w:tcPr/>
          <w:p>
            <w:pPr>
              <w:pStyle w:val="Compact"/>
              <w:jc w:val="left"/>
            </w:pPr>
            <w:r>
              <w:t xml:space="preserve">Display and cross-referencing</w:t>
            </w:r>
          </w:p>
        </w:tc>
      </w:tr>
      <w:tr>
        <w:tc>
          <w:tcPr/>
          <w:p>
            <w:pPr>
              <w:pStyle w:val="Compact"/>
              <w:jc w:val="left"/>
            </w:pPr>
            <w:r>
              <w:t xml:space="preserve">Organism specificity (human default)</w:t>
            </w:r>
          </w:p>
        </w:tc>
        <w:tc>
          <w:tcPr/>
          <w:p>
            <w:pPr>
              <w:pStyle w:val="Compact"/>
              <w:jc w:val="left"/>
            </w:pPr>
            <w:r>
              <w:t xml:space="preserve">Species selection guidance</w:t>
            </w:r>
          </w:p>
        </w:tc>
      </w:tr>
      <w:tr>
        <w:tc>
          <w:tcPr/>
          <w:p>
            <w:pPr>
              <w:pStyle w:val="Compact"/>
              <w:jc w:val="left"/>
            </w:pPr>
            <w:r>
              <w:t xml:space="preserve">Domain architecture</w:t>
            </w:r>
          </w:p>
        </w:tc>
        <w:tc>
          <w:tcPr/>
          <w:p>
            <w:pPr>
              <w:pStyle w:val="Compact"/>
              <w:jc w:val="left"/>
            </w:pPr>
            <w:r>
              <w:t xml:space="preserve">Binding site identification</w:t>
            </w:r>
          </w:p>
        </w:tc>
      </w:tr>
      <w:tr>
        <w:tc>
          <w:tcPr/>
          <w:p>
            <w:pPr>
              <w:pStyle w:val="Compact"/>
              <w:jc w:val="left"/>
            </w:pPr>
            <w:r>
              <w:t xml:space="preserve">Functional annotation</w:t>
            </w:r>
          </w:p>
        </w:tc>
        <w:tc>
          <w:tcPr/>
          <w:p>
            <w:pPr>
              <w:pStyle w:val="Compact"/>
              <w:jc w:val="left"/>
            </w:pPr>
            <w:r>
              <w:t xml:space="preserve">Mechanism-informed modeling</w:t>
            </w:r>
          </w:p>
        </w:tc>
      </w:tr>
      <w:tr>
        <w:tc>
          <w:tcPr/>
          <w:p>
            <w:pPr>
              <w:pStyle w:val="Compact"/>
              <w:jc w:val="left"/>
            </w:pPr>
            <w:r>
              <w:t xml:space="preserve">Post-translational modifications</w:t>
            </w:r>
          </w:p>
        </w:tc>
        <w:tc>
          <w:tcPr/>
          <w:p>
            <w:pPr>
              <w:pStyle w:val="Compact"/>
              <w:jc w:val="left"/>
            </w:pPr>
            <w:r>
              <w:t xml:space="preserve">Activity state consideration</w:t>
            </w:r>
          </w:p>
        </w:tc>
      </w:tr>
    </w:tbl>
    <w:bookmarkEnd w:id="56"/>
    <w:bookmarkStart w:id="57" w:name="alphafold-structure-prediction-retrieval"/>
    <w:p>
      <w:pPr>
        <w:pStyle w:val="4"/>
      </w:pPr>
      <w:r>
        <w:t xml:space="preserve">3.2.2 AlphaFold Structure Prediction Retrieval</w:t>
      </w:r>
    </w:p>
    <w:p>
      <w:pPr>
        <w:pStyle w:val="Compact"/>
        <w:numPr>
          <w:ilvl w:val="0"/>
          <w:numId w:val="1004"/>
        </w:numPr>
      </w:pPr>
      <w:r>
        <w:rPr>
          <w:b/>
          <w:bCs/>
        </w:rPr>
        <w:t xml:space="preserve">Query</w:t>
      </w:r>
      <w:r>
        <w:t xml:space="preserve">: AlphaFold DB API for predicted coordinates</w:t>
      </w:r>
    </w:p>
    <w:p>
      <w:pPr>
        <w:pStyle w:val="Compact"/>
        <w:numPr>
          <w:ilvl w:val="0"/>
          <w:numId w:val="1004"/>
        </w:numPr>
      </w:pPr>
      <w:r>
        <w:rPr>
          <w:b/>
          <w:bCs/>
        </w:rPr>
        <w:t xml:space="preserve">Priority</w:t>
      </w:r>
      <w:r>
        <w:t xml:space="preserve">: High confidence (pLDDT &gt; 70) for binding site analysis</w:t>
      </w:r>
    </w:p>
    <w:p>
      <w:pPr>
        <w:pStyle w:val="Compact"/>
        <w:numPr>
          <w:ilvl w:val="0"/>
          <w:numId w:val="1004"/>
        </w:numPr>
      </w:pPr>
      <w:r>
        <w:rPr>
          <w:b/>
          <w:bCs/>
        </w:rPr>
        <w:t xml:space="preserve">Flagging</w:t>
      </w:r>
      <w:r>
        <w:t xml:space="preserve">: Low-confidence regions for cautious interpretation</w:t>
      </w:r>
    </w:p>
    <w:p>
      <w:pPr>
        <w:pStyle w:val="Compact"/>
        <w:numPr>
          <w:ilvl w:val="0"/>
          <w:numId w:val="1004"/>
        </w:numPr>
      </w:pPr>
      <w:r>
        <w:rPr>
          <w:b/>
          <w:bCs/>
        </w:rPr>
        <w:t xml:space="preserve">Use</w:t>
      </w:r>
      <w:r>
        <w:t xml:space="preserve">: Structure-based validation of pharmacophore hypotheses</w:t>
      </w:r>
    </w:p>
    <w:bookmarkEnd w:id="57"/>
    <w:bookmarkStart w:id="58" w:name="pdb-structure-id-mapping"/>
    <w:p>
      <w:pPr>
        <w:pStyle w:val="4"/>
      </w:pPr>
      <w:r>
        <w:t xml:space="preserve">3.2.3 PDB Structure ID Mapping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Selection Criteria</w:t>
            </w:r>
          </w:p>
        </w:tc>
        <w:tc>
          <w:tcPr/>
          <w:p>
            <w:pPr>
              <w:pStyle w:val="Compact"/>
              <w:jc w:val="left"/>
            </w:pPr>
            <w:r>
              <w:t xml:space="preserve">Priority</w:t>
            </w:r>
          </w:p>
        </w:tc>
      </w:tr>
      <w:tr>
        <w:tc>
          <w:tcPr/>
          <w:p>
            <w:pPr>
              <w:pStyle w:val="Compact"/>
              <w:jc w:val="left"/>
            </w:pPr>
            <w:r>
              <w:t xml:space="preserve">Human protein vs. orthologs</w:t>
            </w:r>
          </w:p>
        </w:tc>
        <w:tc>
          <w:tcPr/>
          <w:p>
            <w:pPr>
              <w:pStyle w:val="Compact"/>
              <w:jc w:val="left"/>
            </w:pPr>
            <w:r>
              <w:t xml:space="preserve">Highest</w:t>
            </w:r>
          </w:p>
        </w:tc>
      </w:tr>
      <w:tr>
        <w:tc>
          <w:tcPr/>
          <w:p>
            <w:pPr>
              <w:pStyle w:val="Compact"/>
              <w:jc w:val="left"/>
            </w:pPr>
            <w:r>
              <w:t xml:space="preserve">Holo (ligand-bound) vs. apo</w:t>
            </w:r>
          </w:p>
        </w:tc>
        <w:tc>
          <w:tcPr/>
          <w:p>
            <w:pPr>
              <w:pStyle w:val="Compact"/>
              <w:jc w:val="left"/>
            </w:pPr>
            <w:r>
              <w:t xml:space="preserve">Preferred for binding site definition</w:t>
            </w:r>
          </w:p>
        </w:tc>
      </w:tr>
      <w:tr>
        <w:tc>
          <w:tcPr/>
          <w:p>
            <w:pPr>
              <w:pStyle w:val="Compact"/>
              <w:jc w:val="left"/>
            </w:pPr>
            <w:r>
              <w:t xml:space="preserve">Resolution &lt; 2.5 Å</w:t>
            </w:r>
          </w:p>
        </w:tc>
        <w:tc>
          <w:tcPr/>
          <w:p>
            <w:pPr>
              <w:pStyle w:val="Compact"/>
              <w:jc w:val="left"/>
            </w:pPr>
            <w:r>
              <w:t xml:space="preserve">Atomic detail reliability</w:t>
            </w:r>
          </w:p>
        </w:tc>
      </w:tr>
      <w:tr>
        <w:tc>
          <w:tcPr/>
          <w:p>
            <w:pPr>
              <w:pStyle w:val="Compact"/>
              <w:jc w:val="left"/>
            </w:pPr>
            <w:r>
              <w:t xml:space="preserve">Recent deposition date</w:t>
            </w:r>
          </w:p>
        </w:tc>
        <w:tc>
          <w:tcPr/>
          <w:p>
            <w:pPr>
              <w:pStyle w:val="Compact"/>
              <w:jc w:val="left"/>
            </w:pPr>
            <w:r>
              <w:t xml:space="preserve">State-of-the-art methods</w:t>
            </w:r>
          </w:p>
        </w:tc>
      </w:tr>
    </w:tbl>
    <w:bookmarkEnd w:id="58"/>
    <w:bookmarkStart w:id="59" w:name="therapeutic-area-preset-selection"/>
    <w:p>
      <w:pPr>
        <w:pStyle w:val="4"/>
      </w:pPr>
      <w:r>
        <w:t xml:space="preserve">3.2.4 Therapeutic Area Preset Selection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Target Classification</w:t>
            </w:r>
          </w:p>
        </w:tc>
        <w:tc>
          <w:tcPr/>
          <w:p>
            <w:pPr>
              <w:pStyle w:val="Compact"/>
              <w:jc w:val="left"/>
            </w:pPr>
            <w:r>
              <w:t xml:space="preserve">Preset Configuration</w:t>
            </w:r>
          </w:p>
        </w:tc>
      </w:tr>
      <w:tr>
        <w:tc>
          <w:tcPr/>
          <w:p>
            <w:pPr>
              <w:pStyle w:val="Compact"/>
              <w:jc w:val="left"/>
            </w:pPr>
            <w:r>
              <w:t xml:space="preserve">Oncology targets</w:t>
            </w:r>
          </w:p>
        </w:tc>
        <w:tc>
          <w:tcPr/>
          <w:p>
            <w:pPr>
              <w:pStyle w:val="Compact"/>
              <w:jc w:val="left"/>
            </w:pPr>
            <w:r>
              <w:t xml:space="preserve">Rodent default species; aggressive monitoring; MTD-seeking design</w:t>
            </w:r>
          </w:p>
        </w:tc>
      </w:tr>
      <w:tr>
        <w:tc>
          <w:tcPr/>
          <w:p>
            <w:pPr>
              <w:pStyle w:val="Compact"/>
              <w:jc w:val="left"/>
            </w:pPr>
            <w:r>
              <w:t xml:space="preserve">CNS targets</w:t>
            </w:r>
          </w:p>
        </w:tc>
        <w:tc>
          <w:tcPr/>
          <w:p>
            <w:pPr>
              <w:pStyle w:val="Compact"/>
              <w:jc w:val="left"/>
            </w:pPr>
            <w:r>
              <w:rPr>
                <w:b/>
                <w:bCs/>
              </w:rPr>
              <w:t xml:space="preserve">Cynomolgus monkey</w:t>
            </w:r>
            <w:r>
              <w:t xml:space="preserve"> </w:t>
            </w:r>
            <w:r>
              <w:t xml:space="preserve">(NHP standard); BBB penetration emphasis; cognitive safety</w:t>
            </w:r>
          </w:p>
        </w:tc>
      </w:tr>
      <w:tr>
        <w:tc>
          <w:tcPr/>
          <w:p>
            <w:pPr>
              <w:pStyle w:val="Compact"/>
              <w:jc w:val="left"/>
            </w:pPr>
            <w:r>
              <w:t xml:space="preserve">Cardiovascular</w:t>
            </w:r>
          </w:p>
        </w:tc>
        <w:tc>
          <w:tcPr/>
          <w:p>
            <w:pPr>
              <w:pStyle w:val="Compact"/>
              <w:jc w:val="left"/>
            </w:pPr>
            <w:r>
              <w:t xml:space="preserve">Large animal models; ECG monitoring; QT liability focus</w:t>
            </w:r>
          </w:p>
        </w:tc>
      </w:tr>
      <w:tr>
        <w:tc>
          <w:tcPr/>
          <w:p>
            <w:pPr>
              <w:pStyle w:val="Compact"/>
              <w:jc w:val="left"/>
            </w:pPr>
            <w:r>
              <w:t xml:space="preserve">Metabolic</w:t>
            </w:r>
          </w:p>
        </w:tc>
        <w:tc>
          <w:tcPr/>
          <w:p>
            <w:pPr>
              <w:pStyle w:val="Compact"/>
              <w:jc w:val="left"/>
            </w:pPr>
            <w:r>
              <w:t xml:space="preserve">Long-term study designs; glucose/lipid monitoring</w:t>
            </w:r>
          </w:p>
        </w:tc>
      </w:tr>
    </w:tbl>
    <w:bookmarkEnd w:id="59"/>
    <w:bookmarkEnd w:id="60"/>
    <w:bookmarkStart w:id="64" w:name="binding-affinity-estimation-step-7"/>
    <w:p>
      <w:pPr>
        <w:pStyle w:val="3"/>
      </w:pPr>
      <w:r>
        <w:t xml:space="preserve">3.3 Binding Affinity Estimation (Step 7)</w:t>
      </w:r>
    </w:p>
    <w:p>
      <w:pPr>
        <w:pStyle w:val="FirstParagraph"/>
      </w:pPr>
      <w:r>
        <w:t xml:space="preserve">For the selected target, Layer 1 generates</w:t>
      </w:r>
      <w:r>
        <w:t xml:space="preserve"> </w:t>
      </w:r>
      <w:r>
        <w:rPr>
          <w:b/>
          <w:bCs/>
        </w:rPr>
        <w:t xml:space="preserve">quantitative binding affinity predictions</w:t>
      </w:r>
      <w:r>
        <w:t xml:space="preserve"> </w:t>
      </w:r>
      <w:r>
        <w:t xml:space="preserve">with explicit uncertainty characterization.</w:t>
      </w:r>
    </w:p>
    <w:bookmarkStart w:id="61" w:name="Xa91167b135f2372c078c1e96472ea86ad197523"/>
    <w:p>
      <w:pPr>
        <w:pStyle w:val="4"/>
      </w:pPr>
      <w:r>
        <w:t xml:space="preserve">3.3.1 Kd, Ki, IC50 Prediction with Target-Specific Potency Ranges</w:t>
      </w:r>
    </w:p>
    <w:tbl>
      <w:tblPr>
        <w:tblStyle w:val="Table"/>
        <w:tblW w:type="pct" w:w="5000"/>
        <w:jc w:val="left"/>
        <w:tblLayout w:type="fixed"/>
        <w:tblLook w:firstRow="1" w:lastRow="0" w:firstColumn="0" w:lastColumn="0" w:noHBand="0" w:noVBand="0" w:val="0020"/>
      </w:tblPr>
      <w:tblGrid>
        <w:gridCol w:w="2292"/>
        <w:gridCol w:w="2292"/>
        <w:gridCol w:w="3334"/>
      </w:tblGrid>
      <w:tr>
        <w:trPr>
          <w:tblHeader w:val="on"/>
        </w:trPr>
        <w:tc>
          <w:tcPr/>
          <w:p>
            <w:pPr>
              <w:pStyle w:val="Compact"/>
              <w:jc w:val="left"/>
            </w:pPr>
            <w:r>
              <w:t xml:space="preserve">Parameter</w:t>
            </w:r>
          </w:p>
        </w:tc>
        <w:tc>
          <w:tcPr/>
          <w:p>
            <w:pPr>
              <w:pStyle w:val="Compact"/>
              <w:jc w:val="left"/>
            </w:pPr>
            <w:r>
              <w:t xml:space="preserve">Definition</w:t>
            </w:r>
          </w:p>
        </w:tc>
        <w:tc>
          <w:tcPr/>
          <w:p>
            <w:pPr>
              <w:pStyle w:val="Compact"/>
              <w:jc w:val="left"/>
            </w:pPr>
            <w:r>
              <w:t xml:space="preserve">Estimation Basis</w:t>
            </w:r>
          </w:p>
        </w:tc>
      </w:tr>
      <w:tr>
        <w:tc>
          <w:tcPr/>
          <w:p>
            <w:pPr>
              <w:pStyle w:val="Compact"/>
              <w:jc w:val="left"/>
            </w:pPr>
            <w:r>
              <w:rPr>
                <w:b/>
                <w:bCs/>
              </w:rPr>
              <w:t xml:space="preserve">Kd</w:t>
            </w:r>
          </w:p>
        </w:tc>
        <w:tc>
          <w:tcPr/>
          <w:p>
            <w:pPr>
              <w:pStyle w:val="Compact"/>
              <w:jc w:val="left"/>
            </w:pPr>
            <w:r>
              <w:t xml:space="preserve">Dissociation constant (equilibrium binding tightness)</w:t>
            </w:r>
          </w:p>
        </w:tc>
        <w:tc>
          <w:tcPr/>
          <w:p>
            <w:pPr>
              <w:pStyle w:val="Compact"/>
              <w:jc w:val="left"/>
            </w:pPr>
            <w:r>
              <w:t xml:space="preserve">Target potency range + QED adjustment + similarity bonus</w:t>
            </w:r>
          </w:p>
        </w:tc>
      </w:tr>
      <w:tr>
        <w:tc>
          <w:tcPr/>
          <w:p>
            <w:pPr>
              <w:pStyle w:val="Compact"/>
              <w:jc w:val="left"/>
            </w:pPr>
            <w:r>
              <w:rPr>
                <w:b/>
                <w:bCs/>
              </w:rPr>
              <w:t xml:space="preserve">Ki</w:t>
            </w:r>
          </w:p>
        </w:tc>
        <w:tc>
          <w:tcPr/>
          <w:p>
            <w:pPr>
              <w:pStyle w:val="Compact"/>
              <w:jc w:val="left"/>
            </w:pPr>
            <w:r>
              <w:t xml:space="preserve">Inhibition constant (competitive binding strength)</w:t>
            </w:r>
          </w:p>
        </w:tc>
        <w:tc>
          <w:tcPr/>
          <w:p>
            <w:pPr>
              <w:pStyle w:val="Compact"/>
              <w:jc w:val="left"/>
            </w:pPr>
            <w:r>
              <w:t xml:space="preserve">Derived from Kd with competitive binding assumptions</w:t>
            </w:r>
          </w:p>
        </w:tc>
      </w:tr>
      <w:tr>
        <w:tc>
          <w:tcPr/>
          <w:p>
            <w:pPr>
              <w:pStyle w:val="Compact"/>
              <w:jc w:val="left"/>
            </w:pPr>
            <w:r>
              <w:rPr>
                <w:b/>
                <w:bCs/>
              </w:rPr>
              <w:t xml:space="preserve">IC50</w:t>
            </w:r>
          </w:p>
        </w:tc>
        <w:tc>
          <w:tcPr/>
          <w:p>
            <w:pPr>
              <w:pStyle w:val="Compact"/>
              <w:jc w:val="left"/>
            </w:pPr>
            <w:r>
              <w:t xml:space="preserve">Half-maximal inhibitory concentration (functional potency)</w:t>
            </w:r>
          </w:p>
        </w:tc>
        <w:tc>
          <w:tcPr/>
          <w:p>
            <w:pPr>
              <w:pStyle w:val="Compact"/>
              <w:jc w:val="left"/>
            </w:pPr>
            <w:r>
              <w:t xml:space="preserve">Kd conversion with substrate/competition corrections</w:t>
            </w:r>
          </w:p>
        </w:tc>
      </w:tr>
    </w:tbl>
    <w:p>
      <w:pPr>
        <w:pStyle w:val="a0"/>
      </w:pPr>
      <w:r>
        <w:rPr>
          <w:b/>
          <w:bCs/>
        </w:rPr>
        <w:t xml:space="preserve">Target potency ranges</w:t>
      </w:r>
      <w:r>
        <w:t xml:space="preserve"> </w:t>
      </w:r>
      <w:r>
        <w:t xml:space="preserve">(e.g., EGFR:</w:t>
      </w:r>
      <w:r>
        <w:t xml:space="preserve"> </w:t>
      </w:r>
      <w:r>
        <w:rPr>
          <w:b/>
          <w:bCs/>
        </w:rPr>
        <w:t xml:space="preserve">1–200 nM</w:t>
      </w:r>
      <w:r>
        <w:t xml:space="preserve">) derived from ChEMBL analysis of known actives, with compound-specific positioning based on quality indicators.</w:t>
      </w:r>
    </w:p>
    <w:bookmarkEnd w:id="61"/>
    <w:bookmarkStart w:id="62" w:name="qed-similarity-adjustments"/>
    <w:p>
      <w:pPr>
        <w:pStyle w:val="4"/>
      </w:pPr>
      <w:r>
        <w:t xml:space="preserve">3.3.2 QED &amp; Similarity Adjustments</w:t>
      </w:r>
    </w:p>
    <w:tbl>
      <w:tblPr>
        <w:tblStyle w:val="Table"/>
        <w:tblW w:type="pct" w:w="5000"/>
        <w:jc w:val="left"/>
        <w:tblLayout w:type="fixed"/>
        <w:tblLook w:firstRow="1" w:lastRow="0" w:firstColumn="0" w:lastColumn="0" w:noHBand="0" w:noVBand="0" w:val="0020"/>
      </w:tblPr>
      <w:tblGrid>
        <w:gridCol w:w="3670"/>
        <w:gridCol w:w="2124"/>
        <w:gridCol w:w="2124"/>
      </w:tblGrid>
      <w:tr>
        <w:trPr>
          <w:tblHeader w:val="on"/>
        </w:trPr>
        <w:tc>
          <w:tcPr/>
          <w:p>
            <w:pPr>
              <w:pStyle w:val="Compact"/>
              <w:jc w:val="left"/>
            </w:pPr>
            <w:r>
              <w:t xml:space="preserve">Adjustment Factor</w:t>
            </w:r>
          </w:p>
        </w:tc>
        <w:tc>
          <w:tcPr/>
          <w:p>
            <w:pPr>
              <w:pStyle w:val="Compact"/>
              <w:jc w:val="left"/>
            </w:pPr>
            <w:r>
              <w:t xml:space="preserve">Direction</w:t>
            </w:r>
          </w:p>
        </w:tc>
        <w:tc>
          <w:tcPr/>
          <w:p>
            <w:pPr>
              <w:pStyle w:val="Compact"/>
              <w:jc w:val="left"/>
            </w:pPr>
            <w:r>
              <w:t xml:space="preserve">Magnitude</w:t>
            </w:r>
          </w:p>
        </w:tc>
      </w:tr>
      <w:tr>
        <w:tc>
          <w:tcPr/>
          <w:p>
            <w:pPr>
              <w:pStyle w:val="Compact"/>
              <w:jc w:val="left"/>
            </w:pPr>
            <w:r>
              <w:t xml:space="preserve">QED &gt; 0.7 (excellent drug-likeness)</w:t>
            </w:r>
          </w:p>
        </w:tc>
        <w:tc>
          <w:tcPr/>
          <w:p>
            <w:pPr>
              <w:pStyle w:val="Compact"/>
              <w:jc w:val="left"/>
            </w:pPr>
            <w:r>
              <w:t xml:space="preserve">Toward potent end of range</w:t>
            </w:r>
          </w:p>
        </w:tc>
        <w:tc>
          <w:tcPr/>
          <w:p>
            <w:pPr>
              <w:pStyle w:val="Compact"/>
              <w:jc w:val="left"/>
            </w:pPr>
            <w:r>
              <w:t xml:space="preserve">Up to 2× improvement</w:t>
            </w:r>
          </w:p>
        </w:tc>
      </w:tr>
      <w:tr>
        <w:tc>
          <w:tcPr/>
          <w:p>
            <w:pPr>
              <w:pStyle w:val="Compact"/>
              <w:jc w:val="left"/>
            </w:pPr>
            <w:r>
              <w:t xml:space="preserve">QED &lt; 0.3 (poor drug-likeness)</w:t>
            </w:r>
          </w:p>
        </w:tc>
        <w:tc>
          <w:tcPr/>
          <w:p>
            <w:pPr>
              <w:pStyle w:val="Compact"/>
              <w:jc w:val="left"/>
            </w:pPr>
            <w:r>
              <w:t xml:space="preserve">Toward weak end of range</w:t>
            </w:r>
          </w:p>
        </w:tc>
        <w:tc>
          <w:tcPr/>
          <w:p>
            <w:pPr>
              <w:pStyle w:val="Compact"/>
              <w:jc w:val="left"/>
            </w:pPr>
            <w:r>
              <w:t xml:space="preserve">Up to 5× reduction</w:t>
            </w:r>
          </w:p>
        </w:tc>
      </w:tr>
      <w:tr>
        <w:tc>
          <w:tcPr/>
          <w:p>
            <w:pPr>
              <w:pStyle w:val="Compact"/>
              <w:jc w:val="left"/>
            </w:pPr>
            <w:r>
              <w:t xml:space="preserve">High similarity to potent inhibitors (Tanimoto &gt; 0.7)</w:t>
            </w:r>
          </w:p>
        </w:tc>
        <w:tc>
          <w:tcPr/>
          <w:p>
            <w:pPr>
              <w:pStyle w:val="Compact"/>
              <w:jc w:val="left"/>
            </w:pPr>
            <w:r>
              <w:t xml:space="preserve">Toward reference potency</w:t>
            </w:r>
          </w:p>
        </w:tc>
        <w:tc>
          <w:tcPr/>
          <w:p>
            <w:pPr>
              <w:pStyle w:val="Compact"/>
              <w:jc w:val="left"/>
            </w:pPr>
            <w:r>
              <w:t xml:space="preserve">Regression-to-mean dampening</w:t>
            </w:r>
          </w:p>
        </w:tc>
      </w:tr>
    </w:tbl>
    <w:p>
      <w:pPr>
        <w:pStyle w:val="a0"/>
      </w:pPr>
      <w:r>
        <w:rPr>
          <w:b/>
          <w:bCs/>
        </w:rPr>
        <w:t xml:space="preserve">Morgan fingerprints</w:t>
      </w:r>
      <w:r>
        <w:t xml:space="preserve"> </w:t>
      </w:r>
      <w:r>
        <w:t xml:space="preserve">(2048-bit, radius 2) enable efficient browser-based similarity calculation.</w:t>
      </w:r>
    </w:p>
    <w:bookmarkEnd w:id="62"/>
    <w:bookmarkStart w:id="63" w:name="Xab7df741ff80eba42d118243e28868a498ec45e"/>
    <w:p>
      <w:pPr>
        <w:pStyle w:val="4"/>
      </w:pPr>
      <w:r>
        <w:t xml:space="preserve">3.3.3 Off-Target Selectivity Panel (e.g., EGFR → HER2, HER3)</w:t>
      </w:r>
    </w:p>
    <w:tbl>
      <w:tblPr>
        <w:tblStyle w:val="Table"/>
        <w:tblW w:type="pct" w:w="5000"/>
        <w:jc w:val="left"/>
        <w:tblLayout w:type="fixed"/>
        <w:tblLook w:firstRow="1" w:lastRow="0" w:firstColumn="0" w:lastColumn="0" w:noHBand="0" w:noVBand="0" w:val="0020"/>
      </w:tblPr>
      <w:tblGrid>
        <w:gridCol w:w="3394"/>
        <w:gridCol w:w="2765"/>
        <w:gridCol w:w="1760"/>
      </w:tblGrid>
      <w:tr>
        <w:trPr>
          <w:tblHeader w:val="on"/>
        </w:trPr>
        <w:tc>
          <w:tcPr/>
          <w:p>
            <w:pPr>
              <w:pStyle w:val="Compact"/>
              <w:jc w:val="left"/>
            </w:pPr>
            <w:r>
              <w:t xml:space="preserve">Selectivity Classification</w:t>
            </w:r>
          </w:p>
        </w:tc>
        <w:tc>
          <w:tcPr/>
          <w:p>
            <w:pPr>
              <w:pStyle w:val="Compact"/>
              <w:jc w:val="left"/>
            </w:pPr>
            <w:r>
              <w:t xml:space="preserve">IC50 Ratio Threshold</w:t>
            </w:r>
          </w:p>
        </w:tc>
        <w:tc>
          <w:tcPr/>
          <w:p>
            <w:pPr>
              <w:pStyle w:val="Compact"/>
              <w:jc w:val="left"/>
            </w:pPr>
            <w:r>
              <w:t xml:space="preserve">Interpretation</w:t>
            </w:r>
          </w:p>
        </w:tc>
      </w:tr>
      <w:tr>
        <w:tc>
          <w:tcPr/>
          <w:p>
            <w:pPr>
              <w:pStyle w:val="Compact"/>
              <w:jc w:val="left"/>
            </w:pPr>
            <w:r>
              <w:rPr>
                <w:b/>
                <w:bCs/>
              </w:rPr>
              <w:t xml:space="preserve">Selective</w:t>
            </w:r>
          </w:p>
        </w:tc>
        <w:tc>
          <w:tcPr/>
          <w:p>
            <w:pPr>
              <w:pStyle w:val="Compact"/>
              <w:jc w:val="left"/>
            </w:pPr>
            <w:r>
              <w:t xml:space="preserve">&gt;100×</w:t>
            </w:r>
          </w:p>
        </w:tc>
        <w:tc>
          <w:tcPr/>
          <w:p>
            <w:pPr>
              <w:pStyle w:val="Compact"/>
              <w:jc w:val="left"/>
            </w:pPr>
            <w:r>
              <w:t xml:space="preserve">Low off-target risk; clean safety profile expected</w:t>
            </w:r>
          </w:p>
        </w:tc>
      </w:tr>
      <w:tr>
        <w:tc>
          <w:tcPr/>
          <w:p>
            <w:pPr>
              <w:pStyle w:val="Compact"/>
              <w:jc w:val="left"/>
            </w:pPr>
            <w:r>
              <w:rPr>
                <w:b/>
                <w:bCs/>
              </w:rPr>
              <w:t xml:space="preserve">Moderately Selective</w:t>
            </w:r>
          </w:p>
        </w:tc>
        <w:tc>
          <w:tcPr/>
          <w:p>
            <w:pPr>
              <w:pStyle w:val="Compact"/>
              <w:jc w:val="left"/>
            </w:pPr>
            <w:r>
              <w:t xml:space="preserve">10–100×</w:t>
            </w:r>
          </w:p>
        </w:tc>
        <w:tc>
          <w:tcPr/>
          <w:p>
            <w:pPr>
              <w:pStyle w:val="Compact"/>
              <w:jc w:val="left"/>
            </w:pPr>
            <w:r>
              <w:t xml:space="preserve">Monitoring warranted; potential polypharmacology</w:t>
            </w:r>
          </w:p>
        </w:tc>
      </w:tr>
      <w:tr>
        <w:tc>
          <w:tcPr/>
          <w:p>
            <w:pPr>
              <w:pStyle w:val="Compact"/>
              <w:jc w:val="left"/>
            </w:pPr>
            <w:r>
              <w:rPr>
                <w:b/>
                <w:bCs/>
              </w:rPr>
              <w:t xml:space="preserve">Non-Selective</w:t>
            </w:r>
          </w:p>
        </w:tc>
        <w:tc>
          <w:tcPr/>
          <w:p>
            <w:pPr>
              <w:pStyle w:val="Compact"/>
              <w:jc w:val="left"/>
            </w:pPr>
            <w:r>
              <w:t xml:space="preserve">&lt;10×</w:t>
            </w:r>
          </w:p>
        </w:tc>
        <w:tc>
          <w:tcPr/>
          <w:p>
            <w:pPr>
              <w:pStyle w:val="Compact"/>
              <w:jc w:val="left"/>
            </w:pPr>
            <w:r>
              <w:t xml:space="preserve">Significant polypharmacology; indication-dependent risk/benefit</w:t>
            </w:r>
          </w:p>
        </w:tc>
      </w:tr>
    </w:tbl>
    <w:p>
      <w:pPr>
        <w:pStyle w:val="a0"/>
      </w:pPr>
      <w:r>
        <w:rPr>
          <w:b/>
          <w:bCs/>
        </w:rPr>
        <w:t xml:space="preserve">EGFR off-target panel</w:t>
      </w:r>
      <w:r>
        <w:t xml:space="preserve">: HER2 (ERBB2), HER3 (ERBB3) — capturing ErbB family cross-reactivity with documented clinical implications.</w:t>
      </w:r>
    </w:p>
    <w:p>
      <w:r>
        <w:pict>
          <v:rect style="width:0;height:1.5pt" o:hralign="center" o:hrstd="t" o:hr="t"/>
        </w:pict>
      </w:r>
    </w:p>
    <w:bookmarkEnd w:id="63"/>
    <w:bookmarkEnd w:id="64"/>
    <w:bookmarkEnd w:id="65"/>
    <w:bookmarkStart w:id="79" w:name="admet-drug-likeness-profiling"/>
    <w:p>
      <w:pPr>
        <w:pStyle w:val="2"/>
      </w:pPr>
      <w:r>
        <w:t xml:space="preserve">4. ADMET &amp; Drug-Likeness Profiling</w:t>
      </w:r>
    </w:p>
    <w:bookmarkStart w:id="71" w:name="five-dimension-admet-scoring-step-4"/>
    <w:p>
      <w:pPr>
        <w:pStyle w:val="3"/>
      </w:pPr>
      <w:r>
        <w:t xml:space="preserve">4.1 Five-Dimension ADMET Scoring (Step 4)</w:t>
      </w:r>
    </w:p>
    <w:p>
      <w:pPr>
        <w:pStyle w:val="FirstParagraph"/>
      </w:pPr>
      <w:r>
        <w:t xml:space="preserve">The</w:t>
      </w:r>
      <w:r>
        <w:t xml:space="preserve"> </w:t>
      </w:r>
      <w:r>
        <w:rPr>
          <w:b/>
          <w:bCs/>
        </w:rPr>
        <w:t xml:space="preserve">ADMET (Absorption, Distribution, Metabolism, Excretion, Toxicity)</w:t>
      </w:r>
      <w:r>
        <w:t xml:space="preserve"> </w:t>
      </w:r>
      <w:r>
        <w:t xml:space="preserve">scoring system translates molecular descriptors into</w:t>
      </w:r>
      <w:r>
        <w:t xml:space="preserve"> </w:t>
      </w:r>
      <w:r>
        <w:rPr>
          <w:b/>
          <w:bCs/>
        </w:rPr>
        <w:t xml:space="preserve">five dimension-specific scores (0–1 scale)</w:t>
      </w:r>
      <w:r>
        <w:t xml:space="preserve">, combined through weighted averaging for overall assessment.</w:t>
      </w:r>
    </w:p>
    <w:bookmarkStart w:id="66" w:name="Xfec5b34b075a36eae64fecbcd9057105c904dae"/>
    <w:p>
      <w:pPr>
        <w:pStyle w:val="4"/>
      </w:pPr>
      <w:r>
        <w:t xml:space="preserve">4.1.1 Absorption: TPSA-Driven Classification (&lt;60 high, 60–140 moderate, &gt;140 low)</w:t>
      </w:r>
    </w:p>
    <w:tbl>
      <w:tblPr>
        <w:tblStyle w:val="Table"/>
        <w:tblW w:type="pct" w:w="5000"/>
        <w:jc w:val="left"/>
        <w:tblLayout w:type="fixed"/>
        <w:tblLook w:firstRow="1" w:lastRow="0" w:firstColumn="0" w:lastColumn="0" w:noHBand="0" w:noVBand="0" w:val="0020"/>
      </w:tblPr>
      <w:tblGrid>
        <w:gridCol w:w="1161"/>
        <w:gridCol w:w="1900"/>
        <w:gridCol w:w="2851"/>
        <w:gridCol w:w="2006"/>
      </w:tblGrid>
      <w:tr>
        <w:trPr>
          <w:tblHeader w:val="on"/>
        </w:trPr>
        <w:tc>
          <w:tcPr/>
          <w:p>
            <w:pPr>
              <w:pStyle w:val="Compact"/>
              <w:jc w:val="left"/>
            </w:pPr>
            <w:r>
              <w:t xml:space="preserve">TPSA Range</w:t>
            </w:r>
          </w:p>
        </w:tc>
        <w:tc>
          <w:tcPr/>
          <w:p>
            <w:pPr>
              <w:pStyle w:val="Compact"/>
              <w:jc w:val="left"/>
            </w:pPr>
            <w:r>
              <w:t xml:space="preserve">Absorption Score</w:t>
            </w:r>
          </w:p>
        </w:tc>
        <w:tc>
          <w:tcPr/>
          <w:p>
            <w:pPr>
              <w:pStyle w:val="Compact"/>
              <w:jc w:val="left"/>
            </w:pPr>
            <w:r>
              <w:t xml:space="preserve">Expected Fraction Absorbed</w:t>
            </w:r>
          </w:p>
        </w:tc>
        <w:tc>
          <w:tcPr/>
          <w:p>
            <w:pPr>
              <w:pStyle w:val="Compact"/>
              <w:jc w:val="left"/>
            </w:pPr>
            <w:r>
              <w:t xml:space="preserve">Typical Applications</w:t>
            </w:r>
          </w:p>
        </w:tc>
      </w:tr>
      <w:tr>
        <w:tc>
          <w:tcPr/>
          <w:p>
            <w:pPr>
              <w:pStyle w:val="Compact"/>
              <w:jc w:val="left"/>
            </w:pPr>
            <w:r>
              <w:t xml:space="preserve">&lt; 60 Å²</w:t>
            </w:r>
          </w:p>
        </w:tc>
        <w:tc>
          <w:tcPr/>
          <w:p>
            <w:pPr>
              <w:pStyle w:val="Compact"/>
              <w:jc w:val="left"/>
            </w:pPr>
            <w:r>
              <w:rPr>
                <w:b/>
                <w:bCs/>
              </w:rPr>
              <w:t xml:space="preserve">0.85–1.0</w:t>
            </w:r>
            <w:r>
              <w:t xml:space="preserve"> </w:t>
            </w:r>
            <w:r>
              <w:t xml:space="preserve">(High)</w:t>
            </w:r>
          </w:p>
        </w:tc>
        <w:tc>
          <w:tcPr/>
          <w:p>
            <w:pPr>
              <w:pStyle w:val="Compact"/>
              <w:jc w:val="left"/>
            </w:pPr>
            <w:r>
              <w:t xml:space="preserve">&gt;90%</w:t>
            </w:r>
          </w:p>
        </w:tc>
        <w:tc>
          <w:tcPr/>
          <w:p>
            <w:pPr>
              <w:pStyle w:val="Compact"/>
              <w:jc w:val="left"/>
            </w:pPr>
            <w:r>
              <w:t xml:space="preserve">CNS drugs, highly permeable compounds</w:t>
            </w:r>
          </w:p>
        </w:tc>
      </w:tr>
      <w:tr>
        <w:tc>
          <w:tcPr/>
          <w:p>
            <w:pPr>
              <w:pStyle w:val="Compact"/>
              <w:jc w:val="left"/>
            </w:pPr>
            <w:r>
              <w:t xml:space="preserve">60–140 Å²</w:t>
            </w:r>
          </w:p>
        </w:tc>
        <w:tc>
          <w:tcPr/>
          <w:p>
            <w:pPr>
              <w:pStyle w:val="Compact"/>
              <w:jc w:val="left"/>
            </w:pPr>
            <w:r>
              <w:rPr>
                <w:b/>
                <w:bCs/>
              </w:rPr>
              <w:t xml:space="preserve">0.5–0.85</w:t>
            </w:r>
            <w:r>
              <w:t xml:space="preserve"> </w:t>
            </w:r>
            <w:r>
              <w:t xml:space="preserve">(Moderate)</w:t>
            </w:r>
          </w:p>
        </w:tc>
        <w:tc>
          <w:tcPr/>
          <w:p>
            <w:pPr>
              <w:pStyle w:val="Compact"/>
              <w:jc w:val="left"/>
            </w:pPr>
            <w:r>
              <w:t xml:space="preserve">30–90%</w:t>
            </w:r>
          </w:p>
        </w:tc>
        <w:tc>
          <w:tcPr/>
          <w:p>
            <w:pPr>
              <w:pStyle w:val="Compact"/>
              <w:jc w:val="left"/>
            </w:pPr>
            <w:r>
              <w:t xml:space="preserve">Most oral drugs; formulation-dependent</w:t>
            </w:r>
          </w:p>
        </w:tc>
      </w:tr>
      <w:tr>
        <w:tc>
          <w:tcPr/>
          <w:p>
            <w:pPr>
              <w:pStyle w:val="Compact"/>
              <w:jc w:val="left"/>
            </w:pPr>
            <w:r>
              <w:t xml:space="preserve">&gt; 140 Å²</w:t>
            </w:r>
          </w:p>
        </w:tc>
        <w:tc>
          <w:tcPr/>
          <w:p>
            <w:pPr>
              <w:pStyle w:val="Compact"/>
              <w:jc w:val="left"/>
            </w:pPr>
            <w:r>
              <w:rPr>
                <w:b/>
                <w:bCs/>
              </w:rPr>
              <w:t xml:space="preserve">&lt;0.5</w:t>
            </w:r>
            <w:r>
              <w:t xml:space="preserve"> </w:t>
            </w:r>
            <w:r>
              <w:t xml:space="preserve">(Low)</w:t>
            </w:r>
          </w:p>
        </w:tc>
        <w:tc>
          <w:tcPr/>
          <w:p>
            <w:pPr>
              <w:pStyle w:val="Compact"/>
              <w:jc w:val="left"/>
            </w:pPr>
            <w:r>
              <w:t xml:space="preserve">&lt;10%</w:t>
            </w:r>
          </w:p>
        </w:tc>
        <w:tc>
          <w:tcPr/>
          <w:p>
            <w:pPr>
              <w:pStyle w:val="Compact"/>
              <w:jc w:val="left"/>
            </w:pPr>
            <w:r>
              <w:t xml:space="preserve">Poor permeability; efflux substrate; requires enabling formulation</w:t>
            </w:r>
          </w:p>
        </w:tc>
      </w:tr>
    </w:tbl>
    <w:p>
      <w:pPr>
        <w:pStyle w:val="a0"/>
      </w:pPr>
      <w:r>
        <w:rPr>
          <w:b/>
          <w:bCs/>
        </w:rPr>
        <w:t xml:space="preserve">Lipinski compliance</w:t>
      </w:r>
      <w:r>
        <w:t xml:space="preserve"> </w:t>
      </w:r>
      <w:r>
        <w:t xml:space="preserve">provides secondary modulation: zero violations → modest bonus; multiple violations → escalating penalties.</w:t>
      </w:r>
    </w:p>
    <w:bookmarkEnd w:id="66"/>
    <w:bookmarkStart w:id="67" w:name="X7db75299e980fb6605fd212bd74a10477731321"/>
    <w:p>
      <w:pPr>
        <w:pStyle w:val="4"/>
      </w:pPr>
      <w:r>
        <w:t xml:space="preserve">4.1.2 Distribution: LogP/MW Optimization (Optimal LogP 1–4)</w:t>
      </w:r>
    </w:p>
    <w:tbl>
      <w:tblPr>
        <w:tblStyle w:val="Table"/>
        <w:tblW w:type="pct" w:w="5000"/>
        <w:jc w:val="left"/>
        <w:tblLayout w:type="fixed"/>
        <w:tblLook w:firstRow="1" w:lastRow="0" w:firstColumn="0" w:lastColumn="0" w:noHBand="0" w:noVBand="0" w:val="0020"/>
      </w:tblPr>
      <w:tblGrid>
        <w:gridCol w:w="2233"/>
        <w:gridCol w:w="3858"/>
        <w:gridCol w:w="1827"/>
      </w:tblGrid>
      <w:tr>
        <w:trPr>
          <w:tblHeader w:val="on"/>
        </w:trPr>
        <w:tc>
          <w:tcPr/>
          <w:p>
            <w:pPr>
              <w:pStyle w:val="Compact"/>
              <w:jc w:val="left"/>
            </w:pPr>
            <w:r>
              <w:t xml:space="preserve">LogP Range</w:t>
            </w:r>
          </w:p>
        </w:tc>
        <w:tc>
          <w:tcPr/>
          <w:p>
            <w:pPr>
              <w:pStyle w:val="Compact"/>
              <w:jc w:val="left"/>
            </w:pPr>
            <w:r>
              <w:t xml:space="preserve">Distribution Score</w:t>
            </w:r>
          </w:p>
        </w:tc>
        <w:tc>
          <w:tcPr/>
          <w:p>
            <w:pPr>
              <w:pStyle w:val="Compact"/>
              <w:jc w:val="left"/>
            </w:pPr>
            <w:r>
              <w:t xml:space="preserve">Concern</w:t>
            </w:r>
          </w:p>
        </w:tc>
      </w:tr>
      <w:tr>
        <w:tc>
          <w:tcPr/>
          <w:p>
            <w:pPr>
              <w:pStyle w:val="Compact"/>
              <w:jc w:val="left"/>
            </w:pPr>
            <w:r>
              <w:t xml:space="preserve">&lt; 0</w:t>
            </w:r>
          </w:p>
        </w:tc>
        <w:tc>
          <w:tcPr/>
          <w:p>
            <w:pPr>
              <w:pStyle w:val="Compact"/>
              <w:jc w:val="left"/>
            </w:pPr>
            <w:r>
              <w:t xml:space="preserve">Reduced</w:t>
            </w:r>
          </w:p>
        </w:tc>
        <w:tc>
          <w:tcPr/>
          <w:p>
            <w:pPr>
              <w:pStyle w:val="Compact"/>
              <w:jc w:val="left"/>
            </w:pPr>
            <w:r>
              <w:t xml:space="preserve">Excessive hydrophilicity; poor membrane permeability; renal clearance dominance</w:t>
            </w:r>
          </w:p>
        </w:tc>
      </w:tr>
      <w:tr>
        <w:tc>
          <w:tcPr/>
          <w:p>
            <w:pPr>
              <w:pStyle w:val="Compact"/>
              <w:jc w:val="left"/>
            </w:pPr>
            <w:r>
              <w:rPr>
                <w:b/>
                <w:bCs/>
              </w:rPr>
              <w:t xml:space="preserve">1–4</w:t>
            </w:r>
          </w:p>
        </w:tc>
        <w:tc>
          <w:tcPr/>
          <w:p>
            <w:pPr>
              <w:pStyle w:val="Compact"/>
              <w:jc w:val="left"/>
            </w:pPr>
            <w:r>
              <w:rPr>
                <w:b/>
                <w:bCs/>
              </w:rPr>
              <w:t xml:space="preserve">Optimal (0.7–1.0)</w:t>
            </w:r>
          </w:p>
        </w:tc>
        <w:tc>
          <w:tcPr/>
          <w:p>
            <w:pPr>
              <w:pStyle w:val="Compact"/>
              <w:jc w:val="left"/>
            </w:pPr>
            <w:r>
              <w:t xml:space="preserve">Balanced tissue distribution; moderate protein binding</w:t>
            </w:r>
          </w:p>
        </w:tc>
      </w:tr>
      <w:tr>
        <w:tc>
          <w:tcPr/>
          <w:p>
            <w:pPr>
              <w:pStyle w:val="Compact"/>
              <w:jc w:val="left"/>
            </w:pPr>
            <w:r>
              <w:t xml:space="preserve">&gt; 5</w:t>
            </w:r>
          </w:p>
        </w:tc>
        <w:tc>
          <w:tcPr/>
          <w:p>
            <w:pPr>
              <w:pStyle w:val="Compact"/>
              <w:jc w:val="left"/>
            </w:pPr>
            <w:r>
              <w:t xml:space="preserve">Reduced</w:t>
            </w:r>
          </w:p>
        </w:tc>
        <w:tc>
          <w:tcPr/>
          <w:p>
            <w:pPr>
              <w:pStyle w:val="Compact"/>
              <w:jc w:val="left"/>
            </w:pPr>
            <w:r>
              <w:t xml:space="preserve">High plasma protein binding; adipose sequestration; metabolic lability; off-target risk</w:t>
            </w:r>
          </w:p>
        </w:tc>
      </w:tr>
    </w:tbl>
    <w:p>
      <w:pPr>
        <w:pStyle w:val="a0"/>
      </w:pPr>
      <w:r>
        <w:rPr>
          <w:b/>
          <w:bCs/>
        </w:rPr>
        <w:t xml:space="preserve">MW contribution</w:t>
      </w:r>
      <w:r>
        <w:t xml:space="preserve">: Very small (&lt;200 Da) → extensive distribution; very large (&gt;700 Da) → restricted extravascular penetration.</w:t>
      </w:r>
    </w:p>
    <w:bookmarkEnd w:id="67"/>
    <w:bookmarkStart w:id="68" w:name="X6bf0a9dc9c57848dcb578923cb20c68867e4c78"/>
    <w:p>
      <w:pPr>
        <w:pStyle w:val="4"/>
      </w:pPr>
      <w:r>
        <w:t xml:space="preserve">4.1.3 Metabolism: Rotatable Bond &amp; HBD Flexibility Assessment</w:t>
      </w:r>
    </w:p>
    <w:tbl>
      <w:tblPr>
        <w:tblStyle w:val="Table"/>
        <w:tblW w:type="pct" w:w="5000"/>
        <w:jc w:val="left"/>
        <w:tblLayout w:type="fixed"/>
        <w:tblLook w:firstRow="1" w:lastRow="0" w:firstColumn="0" w:lastColumn="0" w:noHBand="0" w:noVBand="0" w:val="0020"/>
      </w:tblPr>
      <w:tblGrid>
        <w:gridCol w:w="4052"/>
        <w:gridCol w:w="1289"/>
        <w:gridCol w:w="2578"/>
      </w:tblGrid>
      <w:tr>
        <w:trPr>
          <w:tblHeader w:val="on"/>
        </w:trPr>
        <w:tc>
          <w:tcPr/>
          <w:p>
            <w:pPr>
              <w:pStyle w:val="Compact"/>
              <w:jc w:val="left"/>
            </w:pPr>
            <w:r>
              <w:t xml:space="preserve">Flexibility Indicator</w:t>
            </w:r>
          </w:p>
        </w:tc>
        <w:tc>
          <w:tcPr/>
          <w:p>
            <w:pPr>
              <w:pStyle w:val="Compact"/>
              <w:jc w:val="left"/>
            </w:pPr>
            <w:r>
              <w:t xml:space="preserve">Score</w:t>
            </w:r>
          </w:p>
        </w:tc>
        <w:tc>
          <w:tcPr/>
          <w:p>
            <w:pPr>
              <w:pStyle w:val="Compact"/>
              <w:jc w:val="left"/>
            </w:pPr>
            <w:r>
              <w:t xml:space="preserve">Interpretation</w:t>
            </w:r>
          </w:p>
        </w:tc>
      </w:tr>
      <w:tr>
        <w:tc>
          <w:tcPr/>
          <w:p>
            <w:pPr>
              <w:pStyle w:val="Compact"/>
              <w:jc w:val="left"/>
            </w:pPr>
            <w:r>
              <w:t xml:space="preserve">Rotatable bonds &lt; 5</w:t>
            </w:r>
          </w:p>
        </w:tc>
        <w:tc>
          <w:tcPr/>
          <w:p>
            <w:pPr>
              <w:pStyle w:val="Compact"/>
              <w:jc w:val="left"/>
            </w:pPr>
            <w:r>
              <w:rPr>
                <w:b/>
                <w:bCs/>
              </w:rPr>
              <w:t xml:space="preserve">0.7–1.0</w:t>
            </w:r>
            <w:r>
              <w:t xml:space="preserve"> </w:t>
            </w:r>
            <w:r>
              <w:t xml:space="preserve">(Stable)</w:t>
            </w:r>
          </w:p>
        </w:tc>
        <w:tc>
          <w:tcPr/>
          <w:p>
            <w:pPr>
              <w:pStyle w:val="Compact"/>
              <w:jc w:val="left"/>
            </w:pPr>
            <w:r>
              <w:t xml:space="preserve">Rigid structure; reduced CYP accessibility</w:t>
            </w:r>
          </w:p>
        </w:tc>
      </w:tr>
      <w:tr>
        <w:tc>
          <w:tcPr/>
          <w:p>
            <w:pPr>
              <w:pStyle w:val="Compact"/>
              <w:jc w:val="left"/>
            </w:pPr>
            <w:r>
              <w:t xml:space="preserve">Rotatable bonds 5–10</w:t>
            </w:r>
          </w:p>
        </w:tc>
        <w:tc>
          <w:tcPr/>
          <w:p>
            <w:pPr>
              <w:pStyle w:val="Compact"/>
              <w:jc w:val="left"/>
            </w:pPr>
            <w:r>
              <w:t xml:space="preserve">0.4–0.7 (Moderate)</w:t>
            </w:r>
          </w:p>
        </w:tc>
        <w:tc>
          <w:tcPr/>
          <w:p>
            <w:pPr>
              <w:pStyle w:val="Compact"/>
              <w:jc w:val="left"/>
            </w:pPr>
            <w:r>
              <w:t xml:space="preserve">Typical range; variable stability</w:t>
            </w:r>
          </w:p>
        </w:tc>
      </w:tr>
      <w:tr>
        <w:tc>
          <w:tcPr/>
          <w:p>
            <w:pPr>
              <w:pStyle w:val="Compact"/>
              <w:jc w:val="left"/>
            </w:pPr>
            <w:r>
              <w:t xml:space="preserve">Rotatable bonds &gt; 10</w:t>
            </w:r>
          </w:p>
        </w:tc>
        <w:tc>
          <w:tcPr/>
          <w:p>
            <w:pPr>
              <w:pStyle w:val="Compact"/>
              <w:jc w:val="left"/>
            </w:pPr>
            <w:r>
              <w:rPr>
                <w:b/>
                <w:bCs/>
              </w:rPr>
              <w:t xml:space="preserve">&lt;0.4</w:t>
            </w:r>
            <w:r>
              <w:t xml:space="preserve"> </w:t>
            </w:r>
            <w:r>
              <w:t xml:space="preserve">(Unstable)</w:t>
            </w:r>
          </w:p>
        </w:tc>
        <w:tc>
          <w:tcPr/>
          <w:p>
            <w:pPr>
              <w:pStyle w:val="Compact"/>
              <w:jc w:val="left"/>
            </w:pPr>
            <w:r>
              <w:t xml:space="preserve">High conformational entropy; multiple metabolic soft spots</w:t>
            </w:r>
          </w:p>
        </w:tc>
      </w:tr>
    </w:tbl>
    <w:p>
      <w:pPr>
        <w:pStyle w:val="a0"/>
      </w:pPr>
      <w:r>
        <w:rPr>
          <w:b/>
          <w:bCs/>
        </w:rPr>
        <w:t xml:space="preserve">HBD count</w:t>
      </w:r>
      <w:r>
        <w:t xml:space="preserve"> </w:t>
      </w:r>
      <w:r>
        <w:t xml:space="preserve">provides secondary penalty: &gt;5 HBD → escalating glucuronidation susceptibility.</w:t>
      </w:r>
    </w:p>
    <w:bookmarkEnd w:id="68"/>
    <w:bookmarkStart w:id="69" w:name="excretion-mwlogp-balance-for-clearance"/>
    <w:p>
      <w:pPr>
        <w:pStyle w:val="4"/>
      </w:pPr>
      <w:r>
        <w:t xml:space="preserve">4.1.4 Excretion: MW/LogP Balance for Clearance</w:t>
      </w:r>
    </w:p>
    <w:p>
      <w:pPr>
        <w:pStyle w:val="FirstParagraph"/>
      </w:pPr>
      <w:r>
        <w:t xml:space="preserve">Optimal excretion profile:</w:t>
      </w:r>
      <w:r>
        <w:t xml:space="preserve"> </w:t>
      </w:r>
      <w:r>
        <w:rPr>
          <w:b/>
          <w:bCs/>
        </w:rPr>
        <w:t xml:space="preserve">moderate MW (300–500 Da)</w:t>
      </w:r>
      <w:r>
        <w:t xml:space="preserve"> </w:t>
      </w:r>
      <w:r>
        <w:t xml:space="preserve">and</w:t>
      </w:r>
      <w:r>
        <w:t xml:space="preserve"> </w:t>
      </w:r>
      <w:r>
        <w:rPr>
          <w:b/>
          <w:bCs/>
        </w:rPr>
        <w:t xml:space="preserve">balanced LogP (1–3)</w:t>
      </w:r>
      <w:r>
        <w:t xml:space="preserve"> </w:t>
      </w:r>
      <w:r>
        <w:t xml:space="preserve">enabling predictable mixed clearance with reduced individual variability.</w:t>
      </w:r>
    </w:p>
    <w:tbl>
      <w:tblPr>
        <w:tblStyle w:val="Table"/>
        <w:tblW w:type="pct" w:w="5000"/>
        <w:jc w:val="left"/>
        <w:tblLayout w:type="fixed"/>
        <w:tblLook w:firstRow="1" w:lastRow="0" w:firstColumn="0" w:lastColumn="0" w:noHBand="0" w:noVBand="0" w:val="0020"/>
      </w:tblPr>
      <w:tblGrid>
        <w:gridCol w:w="3205"/>
        <w:gridCol w:w="3582"/>
        <w:gridCol w:w="1131"/>
      </w:tblGrid>
      <w:tr>
        <w:trPr>
          <w:tblHeader w:val="on"/>
        </w:trPr>
        <w:tc>
          <w:tcPr/>
          <w:p>
            <w:pPr>
              <w:pStyle w:val="Compact"/>
              <w:jc w:val="left"/>
            </w:pPr>
            <w:r>
              <w:t xml:space="preserve">Extreme Property</w:t>
            </w:r>
          </w:p>
        </w:tc>
        <w:tc>
          <w:tcPr/>
          <w:p>
            <w:pPr>
              <w:pStyle w:val="Compact"/>
              <w:jc w:val="left"/>
            </w:pPr>
            <w:r>
              <w:t xml:space="preserve">Clearance Pathway</w:t>
            </w:r>
          </w:p>
        </w:tc>
        <w:tc>
          <w:tcPr/>
          <w:p>
            <w:pPr>
              <w:pStyle w:val="Compact"/>
              <w:jc w:val="left"/>
            </w:pPr>
            <w:r>
              <w:t xml:space="preserve">Risk</w:t>
            </w:r>
          </w:p>
        </w:tc>
      </w:tr>
      <w:tr>
        <w:tc>
          <w:tcPr/>
          <w:p>
            <w:pPr>
              <w:pStyle w:val="Compact"/>
              <w:jc w:val="left"/>
            </w:pPr>
            <w:r>
              <w:t xml:space="preserve">Low MW, low LogP</w:t>
            </w:r>
          </w:p>
        </w:tc>
        <w:tc>
          <w:tcPr/>
          <w:p>
            <w:pPr>
              <w:pStyle w:val="Compact"/>
              <w:jc w:val="left"/>
            </w:pPr>
            <w:r>
              <w:t xml:space="preserve">Renal filtration</w:t>
            </w:r>
          </w:p>
        </w:tc>
        <w:tc>
          <w:tcPr/>
          <w:p>
            <w:pPr>
              <w:pStyle w:val="Compact"/>
              <w:jc w:val="left"/>
            </w:pPr>
            <w:r>
              <w:t xml:space="preserve">Vulnerability to renal impairment; dosing adjustment complexity</w:t>
            </w:r>
          </w:p>
        </w:tc>
      </w:tr>
      <w:tr>
        <w:tc>
          <w:tcPr/>
          <w:p>
            <w:pPr>
              <w:pStyle w:val="Compact"/>
              <w:jc w:val="left"/>
            </w:pPr>
            <w:r>
              <w:t xml:space="preserve">High MW, high LogP</w:t>
            </w:r>
          </w:p>
        </w:tc>
        <w:tc>
          <w:tcPr/>
          <w:p>
            <w:pPr>
              <w:pStyle w:val="Compact"/>
              <w:jc w:val="left"/>
            </w:pPr>
            <w:r>
              <w:t xml:space="preserve">Biliary excretion</w:t>
            </w:r>
          </w:p>
        </w:tc>
        <w:tc>
          <w:tcPr/>
          <w:p>
            <w:pPr>
              <w:pStyle w:val="Compact"/>
              <w:jc w:val="left"/>
            </w:pPr>
            <w:r>
              <w:t xml:space="preserve">Enterohepatic recirculation; unpredictable half-life; drug interactions</w:t>
            </w:r>
          </w:p>
        </w:tc>
      </w:tr>
    </w:tbl>
    <w:bookmarkEnd w:id="69"/>
    <w:bookmarkStart w:id="70" w:name="X488d26d44adb456564a01148ef2ec551f8c3211"/>
    <w:p>
      <w:pPr>
        <w:pStyle w:val="4"/>
      </w:pPr>
      <w:r>
        <w:t xml:space="preserve">4.1.5 Toxicity: Structural Alert &amp; Property Risk Integration</w:t>
      </w:r>
    </w:p>
    <w:tbl>
      <w:tblPr>
        <w:tblStyle w:val="Table"/>
        <w:tblW w:type="pct" w:w="5000"/>
        <w:jc w:val="left"/>
        <w:tblLayout w:type="fixed"/>
        <w:tblLook w:firstRow="1" w:lastRow="0" w:firstColumn="0" w:lastColumn="0" w:noHBand="0" w:noVBand="0" w:val="0020"/>
      </w:tblPr>
      <w:tblGrid>
        <w:gridCol w:w="2709"/>
        <w:gridCol w:w="2917"/>
        <w:gridCol w:w="2292"/>
      </w:tblGrid>
      <w:tr>
        <w:trPr>
          <w:tblHeader w:val="on"/>
        </w:trPr>
        <w:tc>
          <w:tcPr/>
          <w:p>
            <w:pPr>
              <w:pStyle w:val="Compact"/>
              <w:jc w:val="left"/>
            </w:pPr>
            <w:r>
              <w:t xml:space="preserve">Risk Factor</w:t>
            </w:r>
          </w:p>
        </w:tc>
        <w:tc>
          <w:tcPr/>
          <w:p>
            <w:pPr>
              <w:pStyle w:val="Compact"/>
              <w:jc w:val="left"/>
            </w:pPr>
            <w:r>
              <w:t xml:space="preserve">Contribution</w:t>
            </w:r>
          </w:p>
        </w:tc>
        <w:tc>
          <w:tcPr/>
          <w:p>
            <w:pPr>
              <w:pStyle w:val="Compact"/>
              <w:jc w:val="left"/>
            </w:pPr>
            <w:r>
              <w:t xml:space="preserve">Mechanism</w:t>
            </w:r>
          </w:p>
        </w:tc>
      </w:tr>
      <w:tr>
        <w:tc>
          <w:tcPr/>
          <w:p>
            <w:pPr>
              <w:pStyle w:val="Compact"/>
              <w:jc w:val="left"/>
            </w:pPr>
            <w:r>
              <w:t xml:space="preserve">High MW (&gt;600) + high LogP (&gt;5)</w:t>
            </w:r>
          </w:p>
        </w:tc>
        <w:tc>
          <w:tcPr/>
          <w:p>
            <w:pPr>
              <w:pStyle w:val="Compact"/>
              <w:jc w:val="left"/>
            </w:pPr>
            <w:r>
              <w:t xml:space="preserve">Multiplicative penalty</w:t>
            </w:r>
          </w:p>
        </w:tc>
        <w:tc>
          <w:tcPr/>
          <w:p>
            <w:pPr>
              <w:pStyle w:val="Compact"/>
              <w:jc w:val="left"/>
            </w:pPr>
            <w:r>
              <w:t xml:space="preserve">Promiscuous binding; mitochondrial toxicity; phospholipidosis</w:t>
            </w:r>
          </w:p>
        </w:tc>
      </w:tr>
      <w:tr>
        <w:tc>
          <w:tcPr/>
          <w:p>
            <w:pPr>
              <w:pStyle w:val="Compact"/>
              <w:jc w:val="left"/>
            </w:pPr>
            <w:r>
              <w:t xml:space="preserve">Structural alerts (Michael acceptor, aniline, nitro)</w:t>
            </w:r>
          </w:p>
        </w:tc>
        <w:tc>
          <w:tcPr/>
          <w:p>
            <w:pPr>
              <w:pStyle w:val="Compact"/>
              <w:jc w:val="left"/>
            </w:pPr>
            <w:r>
              <w:t xml:space="preserve">Severity-weighted addition</w:t>
            </w:r>
          </w:p>
        </w:tc>
        <w:tc>
          <w:tcPr/>
          <w:p>
            <w:pPr>
              <w:pStyle w:val="Compact"/>
              <w:jc w:val="left"/>
            </w:pPr>
            <w:r>
              <w:t xml:space="preserve">Reactive metabolite formation; specific organ toxicity</w:t>
            </w:r>
          </w:p>
        </w:tc>
      </w:tr>
      <w:tr>
        <w:tc>
          <w:tcPr/>
          <w:p>
            <w:pPr>
              <w:pStyle w:val="Compact"/>
              <w:jc w:val="left"/>
            </w:pPr>
            <w:r>
              <w:t xml:space="preserve">Target class-specific liabilities</w:t>
            </w:r>
          </w:p>
        </w:tc>
        <w:tc>
          <w:tcPr/>
          <w:p>
            <w:pPr>
              <w:pStyle w:val="Compact"/>
              <w:jc w:val="left"/>
            </w:pPr>
            <w:r>
              <w:t xml:space="preserve">Contextual adjustment</w:t>
            </w:r>
          </w:p>
        </w:tc>
        <w:tc>
          <w:tcPr/>
          <w:p>
            <w:pPr>
              <w:pStyle w:val="Compact"/>
              <w:jc w:val="left"/>
            </w:pPr>
            <w:r>
              <w:t xml:space="preserve">Known safety issues (e.g., kinase inhibitor cardiotoxicity)</w:t>
            </w:r>
          </w:p>
        </w:tc>
      </w:tr>
    </w:tbl>
    <w:bookmarkEnd w:id="70"/>
    <w:bookmarkEnd w:id="71"/>
    <w:bookmarkStart w:id="75" w:name="lipinski-rule-of-5-analysis-step-5"/>
    <w:p>
      <w:pPr>
        <w:pStyle w:val="3"/>
      </w:pPr>
      <w:r>
        <w:t xml:space="preserve">4.2 Lipinski Rule-of-5 Analysis (Step 5)</w:t>
      </w:r>
    </w:p>
    <w:bookmarkStart w:id="72" w:name="Xf7bf7cf59aa80a11cee71f614f5933b9de1848a"/>
    <w:p>
      <w:pPr>
        <w:pStyle w:val="4"/>
      </w:pPr>
      <w:r>
        <w:t xml:space="preserve">4.2.1 Four Threshold Checks: MW ≤500, LogP ≤5, HBD ≤5, HBA ≤10</w:t>
      </w:r>
    </w:p>
    <w:tbl>
      <w:tblPr>
        <w:tblStyle w:val="Table"/>
        <w:tblW w:type="pct" w:w="5000"/>
        <w:jc w:val="left"/>
        <w:tblLayout w:type="fixed"/>
        <w:tblLook w:firstRow="1" w:lastRow="0" w:firstColumn="0" w:lastColumn="0" w:noHBand="0" w:noVBand="0" w:val="0020"/>
      </w:tblPr>
      <w:tblGrid>
        <w:gridCol w:w="1218"/>
        <w:gridCol w:w="2233"/>
        <w:gridCol w:w="4467"/>
      </w:tblGrid>
      <w:tr>
        <w:trPr>
          <w:tblHeader w:val="on"/>
        </w:trPr>
        <w:tc>
          <w:tcPr/>
          <w:p>
            <w:pPr>
              <w:pStyle w:val="Compact"/>
              <w:jc w:val="left"/>
            </w:pPr>
            <w:r>
              <w:t xml:space="preserve">Rule</w:t>
            </w:r>
          </w:p>
        </w:tc>
        <w:tc>
          <w:tcPr/>
          <w:p>
            <w:pPr>
              <w:pStyle w:val="Compact"/>
              <w:jc w:val="left"/>
            </w:pPr>
            <w:r>
              <w:t xml:space="preserve">Threshold</w:t>
            </w:r>
          </w:p>
        </w:tc>
        <w:tc>
          <w:tcPr/>
          <w:p>
            <w:pPr>
              <w:pStyle w:val="Compact"/>
              <w:jc w:val="left"/>
            </w:pPr>
            <w:r>
              <w:t xml:space="preserve">Violation Implication</w:t>
            </w:r>
          </w:p>
        </w:tc>
      </w:tr>
      <w:tr>
        <w:tc>
          <w:tcPr/>
          <w:p>
            <w:pPr>
              <w:pStyle w:val="Compact"/>
              <w:jc w:val="left"/>
            </w:pPr>
            <w:r>
              <w:t xml:space="preserve">MW ≤ 500 Da</w:t>
            </w:r>
          </w:p>
        </w:tc>
        <w:tc>
          <w:tcPr/>
          <w:p>
            <w:pPr>
              <w:pStyle w:val="Compact"/>
              <w:jc w:val="left"/>
            </w:pPr>
            <w:r>
              <w:t xml:space="preserve">500</w:t>
            </w:r>
          </w:p>
        </w:tc>
        <w:tc>
          <w:tcPr/>
          <w:p>
            <w:pPr>
              <w:pStyle w:val="Compact"/>
              <w:jc w:val="left"/>
            </w:pPr>
            <w:r>
              <w:t xml:space="preserve">Poor permeability; metabolic lability; formulation challenges</w:t>
            </w:r>
          </w:p>
        </w:tc>
      </w:tr>
      <w:tr>
        <w:tc>
          <w:tcPr/>
          <w:p>
            <w:pPr>
              <w:pStyle w:val="Compact"/>
              <w:jc w:val="left"/>
            </w:pPr>
            <w:r>
              <w:t xml:space="preserve">LogP ≤ 5</w:t>
            </w:r>
          </w:p>
        </w:tc>
        <w:tc>
          <w:tcPr/>
          <w:p>
            <w:pPr>
              <w:pStyle w:val="Compact"/>
              <w:jc w:val="left"/>
            </w:pPr>
            <w:r>
              <w:t xml:space="preserve">5</w:t>
            </w:r>
          </w:p>
        </w:tc>
        <w:tc>
          <w:tcPr/>
          <w:p>
            <w:pPr>
              <w:pStyle w:val="Compact"/>
              <w:jc w:val="left"/>
            </w:pPr>
            <w:r>
              <w:t xml:space="preserve">Poor solubility; metabolic instability; off-target binding</w:t>
            </w:r>
          </w:p>
        </w:tc>
      </w:tr>
      <w:tr>
        <w:tc>
          <w:tcPr/>
          <w:p>
            <w:pPr>
              <w:pStyle w:val="Compact"/>
              <w:jc w:val="left"/>
            </w:pPr>
            <w:r>
              <w:t xml:space="preserve">HBD ≤ 5</w:t>
            </w:r>
          </w:p>
        </w:tc>
        <w:tc>
          <w:tcPr/>
          <w:p>
            <w:pPr>
              <w:pStyle w:val="Compact"/>
              <w:jc w:val="left"/>
            </w:pPr>
            <w:r>
              <w:t xml:space="preserve">5</w:t>
            </w:r>
          </w:p>
        </w:tc>
        <w:tc>
          <w:tcPr/>
          <w:p>
            <w:pPr>
              <w:pStyle w:val="Compact"/>
              <w:jc w:val="left"/>
            </w:pPr>
            <w:r>
              <w:t xml:space="preserve">Poor permeability; efflux substrate risk</w:t>
            </w:r>
          </w:p>
        </w:tc>
      </w:tr>
      <w:tr>
        <w:tc>
          <w:tcPr/>
          <w:p>
            <w:pPr>
              <w:pStyle w:val="Compact"/>
              <w:jc w:val="left"/>
            </w:pPr>
            <w:r>
              <w:t xml:space="preserve">HBA ≤ 10</w:t>
            </w:r>
          </w:p>
        </w:tc>
        <w:tc>
          <w:tcPr/>
          <w:p>
            <w:pPr>
              <w:pStyle w:val="Compact"/>
              <w:jc w:val="left"/>
            </w:pPr>
            <w:r>
              <w:t xml:space="preserve">10</w:t>
            </w:r>
          </w:p>
        </w:tc>
        <w:tc>
          <w:tcPr/>
          <w:p>
            <w:pPr>
              <w:pStyle w:val="Compact"/>
              <w:jc w:val="left"/>
            </w:pPr>
            <w:r>
              <w:t xml:space="preserve">Poor permeability; metabolic lability</w:t>
            </w:r>
          </w:p>
        </w:tc>
      </w:tr>
    </w:tbl>
    <w:bookmarkEnd w:id="72"/>
    <w:bookmarkStart w:id="73" w:name="Xf8d9b12716c8d8cb29bf1350d390341d2803db4"/>
    <w:p>
      <w:pPr>
        <w:pStyle w:val="4"/>
      </w:pPr>
      <w:r>
        <w:t xml:space="preserve">4.2.2 Lead-Likeness Stricter Criteria: MW ≤350, LogP ≤3.5</w:t>
      </w:r>
    </w:p>
    <w:p>
      <w:pPr>
        <w:pStyle w:val="FirstParagraph"/>
      </w:pPr>
      <w:r>
        <w:t xml:space="preserve">Stricter bounds appropriate for</w:t>
      </w:r>
      <w:r>
        <w:t xml:space="preserve"> </w:t>
      </w:r>
      <w:r>
        <w:rPr>
          <w:b/>
          <w:bCs/>
        </w:rPr>
        <w:t xml:space="preserve">early optimization stages</w:t>
      </w:r>
      <w:r>
        <w:t xml:space="preserve">, reflecting observation that lead compounds typically</w:t>
      </w:r>
      <w:r>
        <w:t xml:space="preserve"> </w:t>
      </w:r>
      <w:r>
        <w:rPr>
          <w:b/>
          <w:bCs/>
        </w:rPr>
        <w:t xml:space="preserve">increase in size and lipophilicity during optimization</w:t>
      </w:r>
      <w:r>
        <w:t xml:space="preserve">. Starting conservative provides headroom for necessary additions while maintaining drug-like properties.</w:t>
      </w:r>
    </w:p>
    <w:bookmarkEnd w:id="73"/>
    <w:bookmarkStart w:id="74" w:name="X70df94cf76ac286c62265433e6fe7de13302e97"/>
    <w:p>
      <w:pPr>
        <w:pStyle w:val="4"/>
      </w:pPr>
      <w:r>
        <w:t xml:space="preserve">4.2.3 Violation Count Interpretation: 0 excellent, 1 acceptable, 2+ concern, 3+ NO-GO</w:t>
      </w:r>
    </w:p>
    <w:tbl>
      <w:tblPr>
        <w:tblStyle w:val="Table"/>
        <w:tblW w:type="pct" w:w="5000"/>
        <w:jc w:val="left"/>
        <w:tblLayout w:type="fixed"/>
        <w:tblLook w:firstRow="1" w:lastRow="0" w:firstColumn="0" w:lastColumn="0" w:noHBand="0" w:noVBand="0" w:val="0020"/>
      </w:tblPr>
      <w:tblGrid>
        <w:gridCol w:w="2562"/>
        <w:gridCol w:w="3494"/>
        <w:gridCol w:w="1863"/>
      </w:tblGrid>
      <w:tr>
        <w:trPr>
          <w:tblHeader w:val="on"/>
        </w:trPr>
        <w:tc>
          <w:tcPr/>
          <w:p>
            <w:pPr>
              <w:pStyle w:val="Compact"/>
              <w:jc w:val="left"/>
            </w:pPr>
            <w:r>
              <w:t xml:space="preserve">Violations</w:t>
            </w:r>
          </w:p>
        </w:tc>
        <w:tc>
          <w:tcPr/>
          <w:p>
            <w:pPr>
              <w:pStyle w:val="Compact"/>
              <w:jc w:val="left"/>
            </w:pPr>
            <w:r>
              <w:t xml:space="preserve">Classification</w:t>
            </w:r>
          </w:p>
        </w:tc>
        <w:tc>
          <w:tcPr/>
          <w:p>
            <w:pPr>
              <w:pStyle w:val="Compact"/>
              <w:jc w:val="left"/>
            </w:pPr>
            <w:r>
              <w:t xml:space="preserve">Action</w:t>
            </w:r>
          </w:p>
        </w:tc>
      </w:tr>
      <w:tr>
        <w:tc>
          <w:tcPr/>
          <w:p>
            <w:pPr>
              <w:pStyle w:val="Compact"/>
              <w:jc w:val="left"/>
            </w:pPr>
            <w:r>
              <w:t xml:space="preserve">0</w:t>
            </w:r>
          </w:p>
        </w:tc>
        <w:tc>
          <w:tcPr/>
          <w:p>
            <w:pPr>
              <w:pStyle w:val="Compact"/>
              <w:jc w:val="left"/>
            </w:pPr>
            <w:r>
              <w:rPr>
                <w:b/>
                <w:bCs/>
              </w:rPr>
              <w:t xml:space="preserve">Excellent</w:t>
            </w:r>
          </w:p>
        </w:tc>
        <w:tc>
          <w:tcPr/>
          <w:p>
            <w:pPr>
              <w:pStyle w:val="Compact"/>
              <w:jc w:val="left"/>
            </w:pPr>
            <w:r>
              <w:t xml:space="preserve">High confidence in oral bioavailability</w:t>
            </w:r>
          </w:p>
        </w:tc>
      </w:tr>
      <w:tr>
        <w:tc>
          <w:tcPr/>
          <w:p>
            <w:pPr>
              <w:pStyle w:val="Compact"/>
              <w:jc w:val="left"/>
            </w:pPr>
            <w:r>
              <w:t xml:space="preserve">1</w:t>
            </w:r>
          </w:p>
        </w:tc>
        <w:tc>
          <w:tcPr/>
          <w:p>
            <w:pPr>
              <w:pStyle w:val="Compact"/>
              <w:jc w:val="left"/>
            </w:pPr>
            <w:r>
              <w:rPr>
                <w:b/>
                <w:bCs/>
              </w:rPr>
              <w:t xml:space="preserve">Acceptable</w:t>
            </w:r>
          </w:p>
        </w:tc>
        <w:tc>
          <w:tcPr/>
          <w:p>
            <w:pPr>
              <w:pStyle w:val="Compact"/>
              <w:jc w:val="left"/>
            </w:pPr>
            <w:r>
              <w:t xml:space="preserve">Monitor non-compliant parameter; justify if critical</w:t>
            </w:r>
          </w:p>
        </w:tc>
      </w:tr>
      <w:tr>
        <w:tc>
          <w:tcPr/>
          <w:p>
            <w:pPr>
              <w:pStyle w:val="Compact"/>
              <w:jc w:val="left"/>
            </w:pPr>
            <w:r>
              <w:t xml:space="preserve">2</w:t>
            </w:r>
          </w:p>
        </w:tc>
        <w:tc>
          <w:tcPr/>
          <w:p>
            <w:pPr>
              <w:pStyle w:val="Compact"/>
              <w:jc w:val="left"/>
            </w:pPr>
            <w:r>
              <w:rPr>
                <w:b/>
                <w:bCs/>
              </w:rPr>
              <w:t xml:space="preserve">Concern</w:t>
            </w:r>
          </w:p>
        </w:tc>
        <w:tc>
          <w:tcPr/>
          <w:p>
            <w:pPr>
              <w:pStyle w:val="Compact"/>
              <w:jc w:val="left"/>
            </w:pPr>
            <w:r>
              <w:t xml:space="preserve">Explicit mitigation strategy required; enhanced scrutiny</w:t>
            </w:r>
          </w:p>
        </w:tc>
      </w:tr>
      <w:tr>
        <w:tc>
          <w:tcPr/>
          <w:p>
            <w:pPr>
              <w:pStyle w:val="Compact"/>
              <w:jc w:val="left"/>
            </w:pPr>
            <w:r>
              <w:rPr>
                <w:b/>
                <w:bCs/>
              </w:rPr>
              <w:t xml:space="preserve">≥3</w:t>
            </w:r>
          </w:p>
        </w:tc>
        <w:tc>
          <w:tcPr/>
          <w:p>
            <w:pPr>
              <w:pStyle w:val="Compact"/>
              <w:jc w:val="left"/>
            </w:pPr>
            <w:r>
              <w:rPr>
                <w:b/>
                <w:bCs/>
              </w:rPr>
              <w:t xml:space="preserve">Potential NO-GO</w:t>
            </w:r>
          </w:p>
        </w:tc>
        <w:tc>
          <w:tcPr/>
          <w:p>
            <w:pPr>
              <w:pStyle w:val="Compact"/>
              <w:jc w:val="left"/>
            </w:pPr>
            <w:r>
              <w:t xml:space="preserve">Exceptional circumstances needed for progression</w:t>
            </w:r>
          </w:p>
        </w:tc>
      </w:tr>
    </w:tbl>
    <w:bookmarkEnd w:id="74"/>
    <w:bookmarkEnd w:id="75"/>
    <w:bookmarkStart w:id="78" w:name="qed-synthetic-accessibility-step-6"/>
    <w:p>
      <w:pPr>
        <w:pStyle w:val="3"/>
      </w:pPr>
      <w:r>
        <w:t xml:space="preserve">4.3 QED &amp; Synthetic Accessibility (Step 6)</w:t>
      </w:r>
    </w:p>
    <w:bookmarkStart w:id="76" w:name="X90ea6f136e452b572cff5edbeb16266788fc412"/>
    <w:p>
      <w:pPr>
        <w:pStyle w:val="4"/>
      </w:pPr>
      <w:r>
        <w:t xml:space="preserve">4.3.1 QED: 0–1 Weighted Drug-Likeness (&gt;0.5 drug-like, &gt;0.7 excellent)</w:t>
      </w:r>
    </w:p>
    <w:p>
      <w:pPr>
        <w:pStyle w:val="FirstParagraph"/>
      </w:pPr>
      <w:r>
        <w:rPr>
          <w:b/>
          <w:bCs/>
        </w:rPr>
        <w:t xml:space="preserve">QED (Quantitative Estimate of Drug-likeness)</w:t>
      </w:r>
      <w:r>
        <w:t xml:space="preserve"> </w:t>
      </w:r>
      <w:r>
        <w:t xml:space="preserve">combines</w:t>
      </w:r>
      <w:r>
        <w:t xml:space="preserve"> </w:t>
      </w:r>
      <w:r>
        <w:rPr>
          <w:b/>
          <w:bCs/>
        </w:rPr>
        <w:t xml:space="preserve">eight desirability functions</w:t>
      </w:r>
      <w:r>
        <w:t xml:space="preserve"> </w:t>
      </w:r>
      <w:r>
        <w:t xml:space="preserve">through weighted geometric mean: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Property</w:t>
            </w:r>
          </w:p>
        </w:tc>
        <w:tc>
          <w:tcPr/>
          <w:p>
            <w:pPr>
              <w:pStyle w:val="Compact"/>
              <w:jc w:val="left"/>
            </w:pPr>
            <w:r>
              <w:t xml:space="preserve">Weight</w:t>
            </w:r>
          </w:p>
        </w:tc>
        <w:tc>
          <w:tcPr/>
          <w:p>
            <w:pPr>
              <w:pStyle w:val="Compact"/>
              <w:jc w:val="left"/>
            </w:pPr>
            <w:r>
              <w:t xml:space="preserve">Optimal Range</w:t>
            </w:r>
          </w:p>
        </w:tc>
      </w:tr>
      <w:tr>
        <w:tc>
          <w:tcPr/>
          <w:p>
            <w:pPr>
              <w:pStyle w:val="Compact"/>
              <w:jc w:val="left"/>
            </w:pPr>
            <w:r>
              <w:t xml:space="preserve">MW</w:t>
            </w:r>
          </w:p>
        </w:tc>
        <w:tc>
          <w:tcPr/>
          <w:p>
            <w:pPr>
              <w:pStyle w:val="Compact"/>
              <w:jc w:val="left"/>
            </w:pPr>
            <w:r>
              <w:t xml:space="preserve">0.11</w:t>
            </w:r>
          </w:p>
        </w:tc>
        <w:tc>
          <w:tcPr/>
          <w:p>
            <w:pPr>
              <w:pStyle w:val="Compact"/>
              <w:jc w:val="left"/>
            </w:pPr>
            <w:r>
              <w:t xml:space="preserve">~310 Da peak</w:t>
            </w:r>
          </w:p>
        </w:tc>
      </w:tr>
      <w:tr>
        <w:tc>
          <w:tcPr/>
          <w:p>
            <w:pPr>
              <w:pStyle w:val="Compact"/>
              <w:jc w:val="left"/>
            </w:pPr>
            <w:r>
              <w:t xml:space="preserve">LogP</w:t>
            </w:r>
          </w:p>
        </w:tc>
        <w:tc>
          <w:tcPr/>
          <w:p>
            <w:pPr>
              <w:pStyle w:val="Compact"/>
              <w:jc w:val="left"/>
            </w:pPr>
            <w:r>
              <w:t xml:space="preserve">0.11</w:t>
            </w:r>
          </w:p>
        </w:tc>
        <w:tc>
          <w:tcPr/>
          <w:p>
            <w:pPr>
              <w:pStyle w:val="Compact"/>
              <w:jc w:val="left"/>
            </w:pPr>
            <w:r>
              <w:t xml:space="preserve">1–3 optimal</w:t>
            </w:r>
          </w:p>
        </w:tc>
      </w:tr>
      <w:tr>
        <w:tc>
          <w:tcPr/>
          <w:p>
            <w:pPr>
              <w:pStyle w:val="Compact"/>
              <w:jc w:val="left"/>
            </w:pPr>
            <w:r>
              <w:t xml:space="preserve">HBD</w:t>
            </w:r>
          </w:p>
        </w:tc>
        <w:tc>
          <w:tcPr/>
          <w:p>
            <w:pPr>
              <w:pStyle w:val="Compact"/>
              <w:jc w:val="left"/>
            </w:pPr>
            <w:r>
              <w:t xml:space="preserve">0.11</w:t>
            </w:r>
          </w:p>
        </w:tc>
        <w:tc>
          <w:tcPr/>
          <w:p>
            <w:pPr>
              <w:pStyle w:val="Compact"/>
              <w:jc w:val="left"/>
            </w:pPr>
            <w:r>
              <w:t xml:space="preserve">0–2 preferred</w:t>
            </w:r>
          </w:p>
        </w:tc>
      </w:tr>
      <w:tr>
        <w:tc>
          <w:tcPr/>
          <w:p>
            <w:pPr>
              <w:pStyle w:val="Compact"/>
              <w:jc w:val="left"/>
            </w:pPr>
            <w:r>
              <w:t xml:space="preserve">HBA</w:t>
            </w:r>
          </w:p>
        </w:tc>
        <w:tc>
          <w:tcPr/>
          <w:p>
            <w:pPr>
              <w:pStyle w:val="Compact"/>
              <w:jc w:val="left"/>
            </w:pPr>
            <w:r>
              <w:t xml:space="preserve">0.11</w:t>
            </w:r>
          </w:p>
        </w:tc>
        <w:tc>
          <w:tcPr/>
          <w:p>
            <w:pPr>
              <w:pStyle w:val="Compact"/>
              <w:jc w:val="left"/>
            </w:pPr>
            <w:r>
              <w:t xml:space="preserve">2–6 preferred</w:t>
            </w:r>
          </w:p>
        </w:tc>
      </w:tr>
      <w:tr>
        <w:tc>
          <w:tcPr/>
          <w:p>
            <w:pPr>
              <w:pStyle w:val="Compact"/>
              <w:jc w:val="left"/>
            </w:pPr>
            <w:r>
              <w:t xml:space="preserve">TPSA</w:t>
            </w:r>
          </w:p>
        </w:tc>
        <w:tc>
          <w:tcPr/>
          <w:p>
            <w:pPr>
              <w:pStyle w:val="Compact"/>
              <w:jc w:val="left"/>
            </w:pPr>
            <w:r>
              <w:t xml:space="preserve">0.14</w:t>
            </w:r>
          </w:p>
        </w:tc>
        <w:tc>
          <w:tcPr/>
          <w:p>
            <w:pPr>
              <w:pStyle w:val="Compact"/>
              <w:jc w:val="left"/>
            </w:pPr>
            <w:r>
              <w:t xml:space="preserve">40–90 Å²</w:t>
            </w:r>
          </w:p>
        </w:tc>
      </w:tr>
      <w:tr>
        <w:tc>
          <w:tcPr/>
          <w:p>
            <w:pPr>
              <w:pStyle w:val="Compact"/>
              <w:jc w:val="left"/>
            </w:pPr>
            <w:r>
              <w:t xml:space="preserve">Rotatable bonds</w:t>
            </w:r>
          </w:p>
        </w:tc>
        <w:tc>
          <w:tcPr/>
          <w:p>
            <w:pPr>
              <w:pStyle w:val="Compact"/>
              <w:jc w:val="left"/>
            </w:pPr>
            <w:r>
              <w:t xml:space="preserve">0.11</w:t>
            </w:r>
          </w:p>
        </w:tc>
        <w:tc>
          <w:tcPr/>
          <w:p>
            <w:pPr>
              <w:pStyle w:val="Compact"/>
              <w:jc w:val="left"/>
            </w:pPr>
            <w:r>
              <w:t xml:space="preserve">0–8 preferred</w:t>
            </w:r>
          </w:p>
        </w:tc>
      </w:tr>
      <w:tr>
        <w:tc>
          <w:tcPr/>
          <w:p>
            <w:pPr>
              <w:pStyle w:val="Compact"/>
              <w:jc w:val="left"/>
            </w:pPr>
            <w:r>
              <w:t xml:space="preserve">Aromatic rings</w:t>
            </w:r>
          </w:p>
        </w:tc>
        <w:tc>
          <w:tcPr/>
          <w:p>
            <w:pPr>
              <w:pStyle w:val="Compact"/>
              <w:jc w:val="left"/>
            </w:pPr>
            <w:r>
              <w:t xml:space="preserve">0.11</w:t>
            </w:r>
          </w:p>
        </w:tc>
        <w:tc>
          <w:tcPr/>
          <w:p>
            <w:pPr>
              <w:pStyle w:val="Compact"/>
              <w:jc w:val="left"/>
            </w:pPr>
            <w:r>
              <w:t xml:space="preserve">1–4 preferred</w:t>
            </w:r>
          </w:p>
        </w:tc>
      </w:tr>
      <w:tr>
        <w:tc>
          <w:tcPr/>
          <w:p>
            <w:pPr>
              <w:pStyle w:val="Compact"/>
              <w:jc w:val="left"/>
            </w:pPr>
            <w:r>
              <w:rPr>
                <w:b/>
                <w:bCs/>
              </w:rPr>
              <w:t xml:space="preserve">Structural alerts</w:t>
            </w:r>
          </w:p>
        </w:tc>
        <w:tc>
          <w:tcPr/>
          <w:p>
            <w:pPr>
              <w:pStyle w:val="Compact"/>
              <w:jc w:val="left"/>
            </w:pPr>
            <w:r>
              <w:rPr>
                <w:b/>
                <w:bCs/>
              </w:rPr>
              <w:t xml:space="preserve">0.20</w:t>
            </w:r>
          </w:p>
        </w:tc>
        <w:tc>
          <w:tcPr/>
          <w:p>
            <w:pPr>
              <w:pStyle w:val="Compact"/>
              <w:jc w:val="left"/>
            </w:pPr>
            <w:r>
              <w:t xml:space="preserve">None preferred (highest weight)</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QED Score</w:t>
            </w:r>
          </w:p>
        </w:tc>
        <w:tc>
          <w:tcPr/>
          <w:p>
            <w:pPr>
              <w:pStyle w:val="Compact"/>
              <w:jc w:val="left"/>
            </w:pPr>
            <w:r>
              <w:t xml:space="preserve">Interpretation</w:t>
            </w:r>
          </w:p>
        </w:tc>
      </w:tr>
      <w:tr>
        <w:tc>
          <w:tcPr/>
          <w:p>
            <w:pPr>
              <w:pStyle w:val="Compact"/>
              <w:jc w:val="left"/>
            </w:pPr>
            <w:r>
              <w:t xml:space="preserve">&gt; 0.7</w:t>
            </w:r>
          </w:p>
        </w:tc>
        <w:tc>
          <w:tcPr/>
          <w:p>
            <w:pPr>
              <w:pStyle w:val="Compact"/>
              <w:jc w:val="left"/>
            </w:pPr>
            <w:r>
              <w:rPr>
                <w:b/>
                <w:bCs/>
              </w:rPr>
              <w:t xml:space="preserve">Excellent</w:t>
            </w:r>
            <w:r>
              <w:t xml:space="preserve"> </w:t>
            </w:r>
            <w:r>
              <w:t xml:space="preserve">— comparable to successful marketed drugs</w:t>
            </w:r>
          </w:p>
        </w:tc>
      </w:tr>
      <w:tr>
        <w:tc>
          <w:tcPr/>
          <w:p>
            <w:pPr>
              <w:pStyle w:val="Compact"/>
              <w:jc w:val="left"/>
            </w:pPr>
            <w:r>
              <w:t xml:space="preserve">0.5–0.7</w:t>
            </w:r>
          </w:p>
        </w:tc>
        <w:tc>
          <w:tcPr/>
          <w:p>
            <w:pPr>
              <w:pStyle w:val="Compact"/>
              <w:jc w:val="left"/>
            </w:pPr>
            <w:r>
              <w:rPr>
                <w:b/>
                <w:bCs/>
              </w:rPr>
              <w:t xml:space="preserve">Drug-like</w:t>
            </w:r>
            <w:r>
              <w:t xml:space="preserve"> </w:t>
            </w:r>
            <w:r>
              <w:t xml:space="preserve">— reasonable developability prospects</w:t>
            </w:r>
          </w:p>
        </w:tc>
      </w:tr>
      <w:tr>
        <w:tc>
          <w:tcPr/>
          <w:p>
            <w:pPr>
              <w:pStyle w:val="Compact"/>
              <w:jc w:val="left"/>
            </w:pPr>
            <w:r>
              <w:t xml:space="preserve">&lt; 0.3</w:t>
            </w:r>
          </w:p>
        </w:tc>
        <w:tc>
          <w:tcPr/>
          <w:p>
            <w:pPr>
              <w:pStyle w:val="Compact"/>
              <w:jc w:val="left"/>
            </w:pPr>
            <w:r>
              <w:rPr>
                <w:b/>
                <w:bCs/>
              </w:rPr>
              <w:t xml:space="preserve">Poor</w:t>
            </w:r>
            <w:r>
              <w:t xml:space="preserve"> </w:t>
            </w:r>
            <w:r>
              <w:t xml:space="preserve">— substantial optimization challenges</w:t>
            </w:r>
          </w:p>
        </w:tc>
      </w:tr>
    </w:tbl>
    <w:bookmarkEnd w:id="76"/>
    <w:bookmarkStart w:id="77" w:name="Xd267be480f159ce277847cd109473496ac3d316"/>
    <w:p>
      <w:pPr>
        <w:pStyle w:val="4"/>
      </w:pPr>
      <w:r>
        <w:t xml:space="preserve">4.3.2 SA Score: 1–10 Synthetic Difficulty (≤4 straightforward, &gt;6 specialized)</w:t>
      </w:r>
    </w:p>
    <w:tbl>
      <w:tblPr>
        <w:tblStyle w:val="Table"/>
        <w:tblW w:type="pct" w:w="5000"/>
        <w:jc w:val="left"/>
        <w:tblLayout w:type="fixed"/>
        <w:tblLook w:firstRow="1" w:lastRow="0" w:firstColumn="0" w:lastColumn="0" w:noHBand="0" w:noVBand="0" w:val="0020"/>
      </w:tblPr>
      <w:tblGrid>
        <w:gridCol w:w="2084"/>
        <w:gridCol w:w="3126"/>
        <w:gridCol w:w="2709"/>
      </w:tblGrid>
      <w:tr>
        <w:trPr>
          <w:tblHeader w:val="on"/>
        </w:trPr>
        <w:tc>
          <w:tcPr/>
          <w:p>
            <w:pPr>
              <w:pStyle w:val="Compact"/>
              <w:jc w:val="left"/>
            </w:pPr>
            <w:r>
              <w:t xml:space="preserve">SA Score</w:t>
            </w:r>
          </w:p>
        </w:tc>
        <w:tc>
          <w:tcPr/>
          <w:p>
            <w:pPr>
              <w:pStyle w:val="Compact"/>
              <w:jc w:val="left"/>
            </w:pPr>
            <w:r>
              <w:t xml:space="preserve">Classification</w:t>
            </w:r>
          </w:p>
        </w:tc>
        <w:tc>
          <w:tcPr/>
          <w:p>
            <w:pPr>
              <w:pStyle w:val="Compact"/>
              <w:jc w:val="left"/>
            </w:pPr>
            <w:r>
              <w:t xml:space="preserve">Implication</w:t>
            </w:r>
          </w:p>
        </w:tc>
      </w:tr>
      <w:tr>
        <w:tc>
          <w:tcPr/>
          <w:p>
            <w:pPr>
              <w:pStyle w:val="Compact"/>
              <w:jc w:val="left"/>
            </w:pPr>
            <w:r>
              <w:t xml:space="preserve">1–2</w:t>
            </w:r>
          </w:p>
        </w:tc>
        <w:tc>
          <w:tcPr/>
          <w:p>
            <w:pPr>
              <w:pStyle w:val="Compact"/>
              <w:jc w:val="left"/>
            </w:pPr>
            <w:r>
              <w:t xml:space="preserve">Very easy</w:t>
            </w:r>
          </w:p>
        </w:tc>
        <w:tc>
          <w:tcPr/>
          <w:p>
            <w:pPr>
              <w:pStyle w:val="Compact"/>
              <w:jc w:val="left"/>
            </w:pPr>
            <w:r>
              <w:t xml:space="preserve">Readily available building blocks; standard chemistry</w:t>
            </w:r>
          </w:p>
        </w:tc>
      </w:tr>
      <w:tr>
        <w:tc>
          <w:tcPr/>
          <w:p>
            <w:pPr>
              <w:pStyle w:val="Compact"/>
              <w:jc w:val="left"/>
            </w:pPr>
            <w:r>
              <w:rPr>
                <w:b/>
                <w:bCs/>
              </w:rPr>
              <w:t xml:space="preserve">3–4</w:t>
            </w:r>
          </w:p>
        </w:tc>
        <w:tc>
          <w:tcPr/>
          <w:p>
            <w:pPr>
              <w:pStyle w:val="Compact"/>
              <w:jc w:val="left"/>
            </w:pPr>
            <w:r>
              <w:rPr>
                <w:b/>
                <w:bCs/>
              </w:rPr>
              <w:t xml:space="preserve">Straightforward</w:t>
            </w:r>
          </w:p>
        </w:tc>
        <w:tc>
          <w:tcPr/>
          <w:p>
            <w:pPr>
              <w:pStyle w:val="Compact"/>
              <w:jc w:val="left"/>
            </w:pPr>
            <w:r>
              <w:t xml:space="preserve">Accessible to general medicinal chemistry capabilities</w:t>
            </w:r>
          </w:p>
        </w:tc>
      </w:tr>
      <w:tr>
        <w:tc>
          <w:tcPr/>
          <w:p>
            <w:pPr>
              <w:pStyle w:val="Compact"/>
              <w:jc w:val="left"/>
            </w:pPr>
            <w:r>
              <w:t xml:space="preserve">5–6</w:t>
            </w:r>
          </w:p>
        </w:tc>
        <w:tc>
          <w:tcPr/>
          <w:p>
            <w:pPr>
              <w:pStyle w:val="Compact"/>
              <w:jc w:val="left"/>
            </w:pPr>
            <w:r>
              <w:t xml:space="preserve">Moderate</w:t>
            </w:r>
          </w:p>
        </w:tc>
        <w:tc>
          <w:tcPr/>
          <w:p>
            <w:pPr>
              <w:pStyle w:val="Compact"/>
              <w:jc w:val="left"/>
            </w:pPr>
            <w:r>
              <w:t xml:space="preserve">Specialized expertise or route development may be needed</w:t>
            </w:r>
          </w:p>
        </w:tc>
      </w:tr>
      <w:tr>
        <w:tc>
          <w:tcPr/>
          <w:p>
            <w:pPr>
              <w:pStyle w:val="Compact"/>
              <w:jc w:val="left"/>
            </w:pPr>
            <w:r>
              <w:rPr>
                <w:b/>
                <w:bCs/>
              </w:rPr>
              <w:t xml:space="preserve">&gt;6</w:t>
            </w:r>
          </w:p>
        </w:tc>
        <w:tc>
          <w:tcPr/>
          <w:p>
            <w:pPr>
              <w:pStyle w:val="Compact"/>
              <w:jc w:val="left"/>
            </w:pPr>
            <w:r>
              <w:rPr>
                <w:b/>
                <w:bCs/>
              </w:rPr>
              <w:t xml:space="preserve">Specialized</w:t>
            </w:r>
          </w:p>
        </w:tc>
        <w:tc>
          <w:tcPr/>
          <w:p>
            <w:pPr>
              <w:pStyle w:val="Compact"/>
              <w:jc w:val="left"/>
            </w:pPr>
            <w:r>
              <w:t xml:space="preserve">Challenging synthesis; significant timeline/resource impact</w:t>
            </w:r>
          </w:p>
        </w:tc>
      </w:tr>
    </w:tbl>
    <w:p>
      <w:pPr>
        <w:pStyle w:val="a0"/>
      </w:pPr>
      <w:r>
        <w:rPr>
          <w:b/>
          <w:bCs/>
        </w:rPr>
        <w:t xml:space="preserve">Complexity indicators</w:t>
      </w:r>
      <w:r>
        <w:t xml:space="preserve">: MW, rotatable bonds, ring count, aromatic ring count, heteroatom density, stereocenter count.</w:t>
      </w:r>
    </w:p>
    <w:p>
      <w:r>
        <w:pict>
          <v:rect style="width:0;height:1.5pt" o:hralign="center" o:hrstd="t" o:hr="t"/>
        </w:pict>
      </w:r>
    </w:p>
    <w:bookmarkEnd w:id="77"/>
    <w:bookmarkEnd w:id="78"/>
    <w:bookmarkEnd w:id="79"/>
    <w:bookmarkStart w:id="102" w:name="in-vitro-simulation-engine-step-8"/>
    <w:p>
      <w:pPr>
        <w:pStyle w:val="2"/>
      </w:pPr>
      <w:r>
        <w:t xml:space="preserve">5. In Vitro Simulation Engine (Step 8)</w:t>
      </w:r>
    </w:p>
    <w:bookmarkStart w:id="92" w:name="dose-response-modeling"/>
    <w:p>
      <w:pPr>
        <w:pStyle w:val="3"/>
      </w:pPr>
      <w:r>
        <w:t xml:space="preserve">5.1 Dose-Response Modeling</w:t>
      </w:r>
    </w:p>
    <w:p>
      <w:pPr>
        <w:pStyle w:val="FirstParagraph"/>
      </w:pPr>
      <w:r>
        <w:t xml:space="preserve">The dose-response modeling subsystem generates</w:t>
      </w:r>
      <w:r>
        <w:t xml:space="preserve"> </w:t>
      </w:r>
      <w:r>
        <w:rPr>
          <w:b/>
          <w:bCs/>
        </w:rPr>
        <w:t xml:space="preserve">complete concentration-response relationships</w:t>
      </w:r>
      <w:r>
        <w:t xml:space="preserve"> </w:t>
      </w:r>
      <w:r>
        <w:t xml:space="preserve">through multi-parameter optimization, integrating molecular property effects with pharmacophore-specific potency adjustments.</w:t>
      </w:r>
    </w:p>
    <w:bookmarkStart w:id="83" w:name="Xc03b8819fabb9b38e07a75f9edfc3d2a8ab8bec"/>
    <w:p>
      <w:pPr>
        <w:pStyle w:val="4"/>
      </w:pPr>
      <w:r>
        <w:t xml:space="preserve">5.1.1 Baseline pIC50 Calculation (Start 5.2, Clamp 4.0–9.0)</w:t>
      </w:r>
    </w:p>
    <w:bookmarkStart w:id="80" w:name="logp-parabolic-adjustment-optimum-2.5"/>
    <w:p>
      <w:pPr>
        <w:pStyle w:val="5"/>
      </w:pPr>
      <w:r>
        <w:t xml:space="preserve">5.1.1.1 LogP Parabolic Adjustment (Optimum ~2.5)</w:t>
      </w:r>
    </w:p>
    <w:tbl>
      <w:tblPr>
        <w:tblStyle w:val="Table"/>
        <w:tblW w:type="pct" w:w="5000"/>
        <w:jc w:val="left"/>
        <w:tblLayout w:type="fixed"/>
        <w:tblLook w:firstRow="1" w:lastRow="0" w:firstColumn="0" w:lastColumn="0" w:noHBand="0" w:noVBand="0" w:val="0020"/>
      </w:tblPr>
      <w:tblGrid>
        <w:gridCol w:w="1697"/>
        <w:gridCol w:w="3111"/>
        <w:gridCol w:w="3111"/>
      </w:tblGrid>
      <w:tr>
        <w:trPr>
          <w:tblHeader w:val="on"/>
        </w:trPr>
        <w:tc>
          <w:tcPr/>
          <w:p>
            <w:pPr>
              <w:pStyle w:val="Compact"/>
              <w:jc w:val="left"/>
            </w:pPr>
            <w:r>
              <w:t xml:space="preserve">LogP</w:t>
            </w:r>
          </w:p>
        </w:tc>
        <w:tc>
          <w:tcPr/>
          <w:p>
            <w:pPr>
              <w:pStyle w:val="Compact"/>
              <w:jc w:val="left"/>
            </w:pPr>
            <w:r>
              <w:t xml:space="preserve">Adjustment</w:t>
            </w:r>
          </w:p>
        </w:tc>
        <w:tc>
          <w:tcPr/>
          <w:p>
            <w:pPr>
              <w:pStyle w:val="Compact"/>
              <w:jc w:val="left"/>
            </w:pPr>
            <w:r>
              <w:t xml:space="preserve">Rationale</w:t>
            </w:r>
          </w:p>
        </w:tc>
      </w:tr>
      <w:tr>
        <w:tc>
          <w:tcPr/>
          <w:p>
            <w:pPr>
              <w:pStyle w:val="Compact"/>
              <w:jc w:val="left"/>
            </w:pPr>
            <w:r>
              <w:t xml:space="preserve">&lt; 0</w:t>
            </w:r>
          </w:p>
        </w:tc>
        <w:tc>
          <w:tcPr/>
          <w:p>
            <w:pPr>
              <w:pStyle w:val="Compact"/>
              <w:jc w:val="left"/>
            </w:pPr>
            <w:r>
              <w:t xml:space="preserve">Negative</w:t>
            </w:r>
          </w:p>
        </w:tc>
        <w:tc>
          <w:tcPr/>
          <w:p>
            <w:pPr>
              <w:pStyle w:val="Compact"/>
              <w:jc w:val="left"/>
            </w:pPr>
            <w:r>
              <w:t xml:space="preserve">Insufficient lipophilicity; poor desolvation; weak hydrophobic interactions</w:t>
            </w:r>
          </w:p>
        </w:tc>
      </w:tr>
      <w:tr>
        <w:tc>
          <w:tcPr/>
          <w:p>
            <w:pPr>
              <w:pStyle w:val="Compact"/>
              <w:jc w:val="left"/>
            </w:pPr>
            <w:r>
              <w:rPr>
                <w:b/>
                <w:bCs/>
              </w:rPr>
              <w:t xml:space="preserve">~2.5</w:t>
            </w:r>
          </w:p>
        </w:tc>
        <w:tc>
          <w:tcPr/>
          <w:p>
            <w:pPr>
              <w:pStyle w:val="Compact"/>
              <w:jc w:val="left"/>
            </w:pPr>
            <w:r>
              <w:rPr>
                <w:b/>
                <w:bCs/>
              </w:rPr>
              <w:t xml:space="preserve">Maximum</w:t>
            </w:r>
          </w:p>
        </w:tc>
        <w:tc>
          <w:tcPr/>
          <w:p>
            <w:pPr>
              <w:pStyle w:val="Compact"/>
              <w:jc w:val="left"/>
            </w:pPr>
            <w:r>
              <w:t xml:space="preserve">Optimal balance of binding affinity and aqueous solubility</w:t>
            </w:r>
          </w:p>
        </w:tc>
      </w:tr>
      <w:tr>
        <w:tc>
          <w:tcPr/>
          <w:p>
            <w:pPr>
              <w:pStyle w:val="Compact"/>
              <w:jc w:val="left"/>
            </w:pPr>
            <w:r>
              <w:t xml:space="preserve">&gt; 5</w:t>
            </w:r>
          </w:p>
        </w:tc>
        <w:tc>
          <w:tcPr/>
          <w:p>
            <w:pPr>
              <w:pStyle w:val="Compact"/>
              <w:jc w:val="left"/>
            </w:pPr>
            <w:r>
              <w:t xml:space="preserve">Negative</w:t>
            </w:r>
          </w:p>
        </w:tc>
        <w:tc>
          <w:tcPr/>
          <w:p>
            <w:pPr>
              <w:pStyle w:val="Compact"/>
              <w:jc w:val="left"/>
            </w:pPr>
            <w:r>
              <w:t xml:space="preserve">Excessive lipophilicity; entropic penalty; aggregation; non-specific binding</w:t>
            </w:r>
          </w:p>
        </w:tc>
      </w:tr>
    </w:tbl>
    <w:p>
      <w:pPr>
        <w:pStyle w:val="a0"/>
      </w:pPr>
      <w:r>
        <w:rPr>
          <w:b/>
          <w:bCs/>
        </w:rPr>
        <w:t xml:space="preserve">Parabolic function</w:t>
      </w:r>
      <w:r>
        <w:t xml:space="preserve">: contribution up to</w:t>
      </w:r>
      <w:r>
        <w:t xml:space="preserve"> </w:t>
      </w:r>
      <w:r>
        <w:rPr>
          <w:b/>
          <w:bCs/>
        </w:rPr>
        <w:t xml:space="preserve">±1.5 pIC50 units</w:t>
      </w:r>
      <w:r>
        <w:t xml:space="preserve"> </w:t>
      </w:r>
      <w:r>
        <w:t xml:space="preserve">across practical range.</w:t>
      </w:r>
    </w:p>
    <w:bookmarkEnd w:id="80"/>
    <w:bookmarkStart w:id="81" w:name="mw-optimal-range-adjustment-300500-da"/>
    <w:p>
      <w:pPr>
        <w:pStyle w:val="5"/>
      </w:pPr>
      <w:r>
        <w:t xml:space="preserve">5.1.1.2 MW Optimal Range Adjustment (300–500 Da)</w:t>
      </w:r>
    </w:p>
    <w:tbl>
      <w:tblPr>
        <w:tblStyle w:val="Table"/>
        <w:tblW w:type="pct" w:w="5000"/>
        <w:jc w:val="left"/>
        <w:tblLayout w:type="fixed"/>
        <w:tblLook w:firstRow="1" w:lastRow="0" w:firstColumn="0" w:lastColumn="0" w:noHBand="0" w:noVBand="0" w:val="0020"/>
      </w:tblPr>
      <w:tblGrid>
        <w:gridCol w:w="2475"/>
        <w:gridCol w:w="2722"/>
        <w:gridCol w:w="2722"/>
      </w:tblGrid>
      <w:tr>
        <w:trPr>
          <w:tblHeader w:val="on"/>
        </w:trPr>
        <w:tc>
          <w:tcPr/>
          <w:p>
            <w:pPr>
              <w:pStyle w:val="Compact"/>
              <w:jc w:val="left"/>
            </w:pPr>
            <w:r>
              <w:t xml:space="preserve">MW Range</w:t>
            </w:r>
          </w:p>
        </w:tc>
        <w:tc>
          <w:tcPr/>
          <w:p>
            <w:pPr>
              <w:pStyle w:val="Compact"/>
              <w:jc w:val="left"/>
            </w:pPr>
            <w:r>
              <w:t xml:space="preserve">Adjustment</w:t>
            </w:r>
          </w:p>
        </w:tc>
        <w:tc>
          <w:tcPr/>
          <w:p>
            <w:pPr>
              <w:pStyle w:val="Compact"/>
              <w:jc w:val="left"/>
            </w:pPr>
            <w:r>
              <w:t xml:space="preserve">Mechanism</w:t>
            </w:r>
          </w:p>
        </w:tc>
      </w:tr>
      <w:tr>
        <w:tc>
          <w:tcPr/>
          <w:p>
            <w:pPr>
              <w:pStyle w:val="Compact"/>
              <w:jc w:val="left"/>
            </w:pPr>
            <w:r>
              <w:t xml:space="preserve">&lt; 200</w:t>
            </w:r>
          </w:p>
        </w:tc>
        <w:tc>
          <w:tcPr/>
          <w:p>
            <w:pPr>
              <w:pStyle w:val="Compact"/>
              <w:jc w:val="left"/>
            </w:pPr>
            <w:r>
              <w:t xml:space="preserve">Negative</w:t>
            </w:r>
          </w:p>
        </w:tc>
        <w:tc>
          <w:tcPr/>
          <w:p>
            <w:pPr>
              <w:pStyle w:val="Compact"/>
              <w:jc w:val="left"/>
            </w:pPr>
            <w:r>
              <w:t xml:space="preserve">Insufficient interaction surface; weak specific binding</w:t>
            </w:r>
          </w:p>
        </w:tc>
      </w:tr>
      <w:tr>
        <w:tc>
          <w:tcPr/>
          <w:p>
            <w:pPr>
              <w:pStyle w:val="Compact"/>
              <w:jc w:val="left"/>
            </w:pPr>
            <w:r>
              <w:rPr>
                <w:b/>
                <w:bCs/>
              </w:rPr>
              <w:t xml:space="preserve">300–500</w:t>
            </w:r>
          </w:p>
        </w:tc>
        <w:tc>
          <w:tcPr/>
          <w:p>
            <w:pPr>
              <w:pStyle w:val="Compact"/>
              <w:jc w:val="left"/>
            </w:pPr>
            <w:r>
              <w:rPr>
                <w:b/>
                <w:bCs/>
              </w:rPr>
              <w:t xml:space="preserve">Optimal</w:t>
            </w:r>
          </w:p>
        </w:tc>
        <w:tc>
          <w:tcPr/>
          <w:p>
            <w:pPr>
              <w:pStyle w:val="Compact"/>
              <w:jc w:val="left"/>
            </w:pPr>
            <w:r>
              <w:t xml:space="preserve">Complete binding site complementarity</w:t>
            </w:r>
          </w:p>
        </w:tc>
      </w:tr>
      <w:tr>
        <w:tc>
          <w:tcPr/>
          <w:p>
            <w:pPr>
              <w:pStyle w:val="Compact"/>
              <w:jc w:val="left"/>
            </w:pPr>
            <w:r>
              <w:t xml:space="preserve">&gt; 700</w:t>
            </w:r>
          </w:p>
        </w:tc>
        <w:tc>
          <w:tcPr/>
          <w:p>
            <w:pPr>
              <w:pStyle w:val="Compact"/>
              <w:jc w:val="left"/>
            </w:pPr>
            <w:r>
              <w:t xml:space="preserve">Negative</w:t>
            </w:r>
          </w:p>
        </w:tc>
        <w:tc>
          <w:tcPr/>
          <w:p>
            <w:pPr>
              <w:pStyle w:val="Compact"/>
              <w:jc w:val="left"/>
            </w:pPr>
            <w:r>
              <w:t xml:space="preserve">Conformational entropy penalty; incomplete desolvation; steric strain</w:t>
            </w:r>
          </w:p>
        </w:tc>
      </w:tr>
    </w:tbl>
    <w:bookmarkEnd w:id="81"/>
    <w:bookmarkStart w:id="82" w:name="X2fd7e0f5400aa6e37e2fc9d5d2774b0e8a7c1a3"/>
    <w:p>
      <w:pPr>
        <w:pStyle w:val="5"/>
      </w:pPr>
      <w:r>
        <w:t xml:space="preserve">5.1.1.3 TPSA/HBD Penalties &amp; Ligand Efficiency Bonus (LE &gt;0.4)</w:t>
      </w:r>
    </w:p>
    <w:tbl>
      <w:tblPr>
        <w:tblStyle w:val="Table"/>
        <w:tblW w:type="pct" w:w="5000"/>
        <w:jc w:val="left"/>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Factor</w:t>
            </w:r>
          </w:p>
        </w:tc>
        <w:tc>
          <w:tcPr/>
          <w:p>
            <w:pPr>
              <w:pStyle w:val="Compact"/>
              <w:jc w:val="left"/>
            </w:pPr>
            <w:r>
              <w:t xml:space="preserve">Condition</w:t>
            </w:r>
          </w:p>
        </w:tc>
        <w:tc>
          <w:tcPr/>
          <w:p>
            <w:pPr>
              <w:pStyle w:val="Compact"/>
              <w:jc w:val="left"/>
            </w:pPr>
            <w:r>
              <w:t xml:space="preserve">Penalty/Bonus</w:t>
            </w:r>
          </w:p>
        </w:tc>
      </w:tr>
      <w:tr>
        <w:tc>
          <w:tcPr/>
          <w:p>
            <w:pPr>
              <w:pStyle w:val="Compact"/>
              <w:jc w:val="left"/>
            </w:pPr>
            <w:r>
              <w:t xml:space="preserve">TPSA</w:t>
            </w:r>
          </w:p>
        </w:tc>
        <w:tc>
          <w:tcPr/>
          <w:p>
            <w:pPr>
              <w:pStyle w:val="Compact"/>
              <w:jc w:val="left"/>
            </w:pPr>
            <w:r>
              <w:t xml:space="preserve">&gt; 140 Å²</w:t>
            </w:r>
          </w:p>
        </w:tc>
        <w:tc>
          <w:tcPr/>
          <w:p>
            <w:pPr>
              <w:pStyle w:val="Compact"/>
              <w:jc w:val="left"/>
            </w:pPr>
            <w:r>
              <w:rPr>
                <w:b/>
                <w:bCs/>
              </w:rPr>
              <w:t xml:space="preserve">−0.5 pIC50</w:t>
            </w:r>
            <w:r>
              <w:t xml:space="preserve"> </w:t>
            </w:r>
            <w:r>
              <w:t xml:space="preserve">(efflux pump susceptibility; poor cell permeability)</w:t>
            </w:r>
          </w:p>
        </w:tc>
      </w:tr>
      <w:tr>
        <w:tc>
          <w:tcPr/>
          <w:p>
            <w:pPr>
              <w:pStyle w:val="Compact"/>
              <w:jc w:val="left"/>
            </w:pPr>
            <w:r>
              <w:t xml:space="preserve">HBD</w:t>
            </w:r>
          </w:p>
        </w:tc>
        <w:tc>
          <w:tcPr/>
          <w:p>
            <w:pPr>
              <w:pStyle w:val="Compact"/>
              <w:jc w:val="left"/>
            </w:pPr>
            <w:r>
              <w:t xml:space="preserve">&gt; 5</w:t>
            </w:r>
          </w:p>
        </w:tc>
        <w:tc>
          <w:tcPr/>
          <w:p>
            <w:pPr>
              <w:pStyle w:val="Compact"/>
              <w:jc w:val="left"/>
            </w:pPr>
            <w:r>
              <w:rPr>
                <w:b/>
                <w:bCs/>
              </w:rPr>
              <w:t xml:space="preserve">−0.3 per donor</w:t>
            </w:r>
            <w:r>
              <w:t xml:space="preserve"> </w:t>
            </w:r>
            <w:r>
              <w:t xml:space="preserve">(desolvation cost; hydrogen bond disruption)</w:t>
            </w:r>
          </w:p>
        </w:tc>
      </w:tr>
      <w:tr>
        <w:tc>
          <w:tcPr/>
          <w:p>
            <w:pPr>
              <w:pStyle w:val="Compact"/>
              <w:jc w:val="left"/>
            </w:pPr>
            <w:r>
              <w:rPr>
                <w:b/>
                <w:bCs/>
              </w:rPr>
              <w:t xml:space="preserve">Ligand efficiency</w:t>
            </w:r>
          </w:p>
        </w:tc>
        <w:tc>
          <w:tcPr/>
          <w:p>
            <w:pPr>
              <w:pStyle w:val="Compact"/>
              <w:jc w:val="left"/>
            </w:pPr>
            <w:r>
              <w:rPr>
                <w:b/>
                <w:bCs/>
              </w:rPr>
              <w:t xml:space="preserve">LE &gt; 0.4</w:t>
            </w:r>
          </w:p>
        </w:tc>
        <w:tc>
          <w:tcPr/>
          <w:p>
            <w:pPr>
              <w:pStyle w:val="Compact"/>
              <w:jc w:val="left"/>
            </w:pPr>
            <w:r>
              <w:rPr>
                <w:b/>
                <w:bCs/>
              </w:rPr>
              <w:t xml:space="preserve">+0.3 to +0.5</w:t>
            </w:r>
            <w:r>
              <w:t xml:space="preserve"> </w:t>
            </w:r>
            <w:r>
              <w:t xml:space="preserve">(efficient atomic investment; optimization headroom)</w:t>
            </w:r>
          </w:p>
        </w:tc>
      </w:tr>
    </w:tbl>
    <w:bookmarkEnd w:id="82"/>
    <w:bookmarkEnd w:id="83"/>
    <w:bookmarkStart w:id="86" w:name="pharmacophore-bonus-up-to-1.5-pic50"/>
    <w:p>
      <w:pPr>
        <w:pStyle w:val="4"/>
      </w:pPr>
      <w:r>
        <w:t xml:space="preserve">5.1.2 Pharmacophore Bonus (Up to +1.5 pIC50)</w:t>
      </w:r>
    </w:p>
    <w:bookmarkStart w:id="84" w:name="therapeutic-area-specific-boosts"/>
    <w:p>
      <w:pPr>
        <w:pStyle w:val="5"/>
      </w:pPr>
      <w:r>
        <w:t xml:space="preserve">5.1.2.1 Therapeutic Area-Specific Boosts</w:t>
      </w:r>
    </w:p>
    <w:tbl>
      <w:tblPr>
        <w:tblStyle w:val="Table"/>
        <w:tblW w:type="pct" w:w="5000"/>
        <w:jc w:val="left"/>
        <w:tblLayout w:type="fixed"/>
        <w:tblLook w:firstRow="1" w:lastRow="0" w:firstColumn="0" w:lastColumn="0" w:noHBand="0" w:noVBand="0" w:val="0020"/>
      </w:tblPr>
      <w:tblGrid>
        <w:gridCol w:w="2282"/>
        <w:gridCol w:w="3624"/>
        <w:gridCol w:w="2013"/>
      </w:tblGrid>
      <w:tr>
        <w:trPr>
          <w:tblHeader w:val="on"/>
        </w:trPr>
        <w:tc>
          <w:tcPr/>
          <w:p>
            <w:pPr>
              <w:pStyle w:val="Compact"/>
              <w:jc w:val="left"/>
            </w:pPr>
            <w:r>
              <w:t xml:space="preserve">Therapeutic Area</w:t>
            </w:r>
          </w:p>
        </w:tc>
        <w:tc>
          <w:tcPr/>
          <w:p>
            <w:pPr>
              <w:pStyle w:val="Compact"/>
              <w:jc w:val="left"/>
            </w:pPr>
            <w:r>
              <w:t xml:space="preserve">Key Pharmacophore Features</w:t>
            </w:r>
          </w:p>
        </w:tc>
        <w:tc>
          <w:tcPr/>
          <w:p>
            <w:pPr>
              <w:pStyle w:val="Compact"/>
              <w:jc w:val="left"/>
            </w:pPr>
            <w:r>
              <w:t xml:space="preserve">Bonus Magnitude</w:t>
            </w:r>
          </w:p>
        </w:tc>
      </w:tr>
      <w:tr>
        <w:tc>
          <w:tcPr/>
          <w:p>
            <w:pPr>
              <w:pStyle w:val="Compact"/>
              <w:jc w:val="left"/>
            </w:pPr>
            <w:r>
              <w:t xml:space="preserve">Oncology</w:t>
            </w:r>
          </w:p>
        </w:tc>
        <w:tc>
          <w:tcPr/>
          <w:p>
            <w:pPr>
              <w:pStyle w:val="Compact"/>
              <w:jc w:val="left"/>
            </w:pPr>
            <w:r>
              <w:t xml:space="preserve">Hinge-binding N, covalent warheads, ATP mimetics</w:t>
            </w:r>
          </w:p>
        </w:tc>
        <w:tc>
          <w:tcPr/>
          <w:p>
            <w:pPr>
              <w:pStyle w:val="Compact"/>
              <w:jc w:val="left"/>
            </w:pPr>
            <w:r>
              <w:t xml:space="preserve">Up to +1.5</w:t>
            </w:r>
          </w:p>
        </w:tc>
      </w:tr>
      <w:tr>
        <w:tc>
          <w:tcPr/>
          <w:p>
            <w:pPr>
              <w:pStyle w:val="Compact"/>
              <w:jc w:val="left"/>
            </w:pPr>
            <w:r>
              <w:t xml:space="preserve">CNS</w:t>
            </w:r>
          </w:p>
        </w:tc>
        <w:tc>
          <w:tcPr/>
          <w:p>
            <w:pPr>
              <w:pStyle w:val="Compact"/>
              <w:jc w:val="left"/>
            </w:pPr>
            <w:r>
              <w:t xml:space="preserve">Basic amines, BBB-penetrant scaffolds</w:t>
            </w:r>
          </w:p>
        </w:tc>
        <w:tc>
          <w:tcPr/>
          <w:p>
            <w:pPr>
              <w:pStyle w:val="Compact"/>
              <w:jc w:val="left"/>
            </w:pPr>
            <w:r>
              <w:t xml:space="preserve">Up to +1.0</w:t>
            </w:r>
          </w:p>
        </w:tc>
      </w:tr>
      <w:tr>
        <w:tc>
          <w:tcPr/>
          <w:p>
            <w:pPr>
              <w:pStyle w:val="Compact"/>
              <w:jc w:val="left"/>
            </w:pPr>
            <w:r>
              <w:t xml:space="preserve">Cardiovascular</w:t>
            </w:r>
          </w:p>
        </w:tc>
        <w:tc>
          <w:tcPr/>
          <w:p>
            <w:pPr>
              <w:pStyle w:val="Compact"/>
              <w:jc w:val="left"/>
            </w:pPr>
            <w:r>
              <w:t xml:space="preserve">Zinc-binding groups, peptidomimetics</w:t>
            </w:r>
          </w:p>
        </w:tc>
        <w:tc>
          <w:tcPr/>
          <w:p>
            <w:pPr>
              <w:pStyle w:val="Compact"/>
              <w:jc w:val="left"/>
            </w:pPr>
            <w:r>
              <w:t xml:space="preserve">Up to +0.8</w:t>
            </w:r>
          </w:p>
        </w:tc>
      </w:tr>
    </w:tbl>
    <w:bookmarkEnd w:id="84"/>
    <w:bookmarkStart w:id="85" w:name="X250dd79499eb4727700a18ed6da793af7394d09"/>
    <w:p>
      <w:pPr>
        <w:pStyle w:val="5"/>
      </w:pPr>
      <w:r>
        <w:t xml:space="preserve">5.1.2.2 Oncology: Michael Acceptors (+0.35), Aromatic N (+0.4)</w:t>
      </w:r>
    </w:p>
    <w:tbl>
      <w:tblPr>
        <w:tblStyle w:val="Table"/>
        <w:tblW w:type="pct" w:w="5000"/>
        <w:jc w:val="left"/>
        <w:tblLayout w:type="fixed"/>
        <w:tblLook w:firstRow="1" w:lastRow="0" w:firstColumn="0" w:lastColumn="0" w:noHBand="0" w:noVBand="0" w:val="0020"/>
      </w:tblPr>
      <w:tblGrid>
        <w:gridCol w:w="2640"/>
        <w:gridCol w:w="2053"/>
        <w:gridCol w:w="3226"/>
      </w:tblGrid>
      <w:tr>
        <w:trPr>
          <w:tblHeader w:val="on"/>
        </w:trPr>
        <w:tc>
          <w:tcPr/>
          <w:p>
            <w:pPr>
              <w:pStyle w:val="Compact"/>
              <w:jc w:val="left"/>
            </w:pPr>
            <w:r>
              <w:t xml:space="preserve">Feature</w:t>
            </w:r>
          </w:p>
        </w:tc>
        <w:tc>
          <w:tcPr/>
          <w:p>
            <w:pPr>
              <w:pStyle w:val="Compact"/>
              <w:jc w:val="left"/>
            </w:pPr>
            <w:r>
              <w:t xml:space="preserve">Bonus</w:t>
            </w:r>
          </w:p>
        </w:tc>
        <w:tc>
          <w:tcPr/>
          <w:p>
            <w:pPr>
              <w:pStyle w:val="Compact"/>
              <w:jc w:val="left"/>
            </w:pPr>
            <w:r>
              <w:t xml:space="preserve">Mechanism</w:t>
            </w:r>
          </w:p>
        </w:tc>
      </w:tr>
      <w:tr>
        <w:tc>
          <w:tcPr/>
          <w:p>
            <w:pPr>
              <w:pStyle w:val="Compact"/>
              <w:jc w:val="left"/>
            </w:pPr>
            <w:r>
              <w:t xml:space="preserve">Michael acceptor</w:t>
            </w:r>
          </w:p>
        </w:tc>
        <w:tc>
          <w:tcPr/>
          <w:p>
            <w:pPr>
              <w:pStyle w:val="Compact"/>
              <w:jc w:val="left"/>
            </w:pPr>
            <w:r>
              <w:rPr>
                <w:b/>
                <w:bCs/>
              </w:rPr>
              <w:t xml:space="preserve">+0.35</w:t>
            </w:r>
          </w:p>
        </w:tc>
        <w:tc>
          <w:tcPr/>
          <w:p>
            <w:pPr>
              <w:pStyle w:val="Compact"/>
              <w:jc w:val="left"/>
            </w:pPr>
            <w:r>
              <w:t xml:space="preserve">Irreversible binding kinetics; enhanced effective affinity</w:t>
            </w:r>
          </w:p>
        </w:tc>
      </w:tr>
      <w:tr>
        <w:tc>
          <w:tcPr/>
          <w:p>
            <w:pPr>
              <w:pStyle w:val="Compact"/>
              <w:jc w:val="left"/>
            </w:pPr>
            <w:r>
              <w:t xml:space="preserve">Aromatic N (hinge-binding)</w:t>
            </w:r>
          </w:p>
        </w:tc>
        <w:tc>
          <w:tcPr/>
          <w:p>
            <w:pPr>
              <w:pStyle w:val="Compact"/>
              <w:jc w:val="left"/>
            </w:pPr>
            <w:r>
              <w:rPr>
                <w:b/>
                <w:bCs/>
              </w:rPr>
              <w:t xml:space="preserve">+0.40</w:t>
            </w:r>
          </w:p>
        </w:tc>
        <w:tc>
          <w:tcPr/>
          <w:p>
            <w:pPr>
              <w:pStyle w:val="Compact"/>
              <w:jc w:val="left"/>
            </w:pPr>
            <w:r>
              <w:t xml:space="preserve">Conserved kinase pharmacophore; hydrogen bond donation</w:t>
            </w:r>
          </w:p>
        </w:tc>
      </w:tr>
      <w:tr>
        <w:tc>
          <w:tcPr/>
          <w:p>
            <w:pPr>
              <w:pStyle w:val="Compact"/>
              <w:jc w:val="left"/>
            </w:pPr>
            <w:r>
              <w:t xml:space="preserve">Quinazoline scaffold</w:t>
            </w:r>
          </w:p>
        </w:tc>
        <w:tc>
          <w:tcPr/>
          <w:p>
            <w:pPr>
              <w:pStyle w:val="Compact"/>
              <w:jc w:val="left"/>
            </w:pPr>
            <w:r>
              <w:t xml:space="preserve">+0.30</w:t>
            </w:r>
          </w:p>
        </w:tc>
        <w:tc>
          <w:tcPr/>
          <w:p>
            <w:pPr>
              <w:pStyle w:val="Compact"/>
              <w:jc w:val="left"/>
            </w:pPr>
            <w:r>
              <w:t xml:space="preserve">Privileged scaffold enrichment</w:t>
            </w:r>
          </w:p>
        </w:tc>
      </w:tr>
      <w:tr>
        <w:tc>
          <w:tcPr/>
          <w:p>
            <w:pPr>
              <w:pStyle w:val="Compact"/>
              <w:jc w:val="left"/>
            </w:pPr>
            <w:r>
              <w:t xml:space="preserve">Aniline substituent</w:t>
            </w:r>
          </w:p>
        </w:tc>
        <w:tc>
          <w:tcPr/>
          <w:p>
            <w:pPr>
              <w:pStyle w:val="Compact"/>
              <w:jc w:val="left"/>
            </w:pPr>
            <w:r>
              <w:t xml:space="preserve">+0.25</w:t>
            </w:r>
          </w:p>
        </w:tc>
        <w:tc>
          <w:tcPr/>
          <w:p>
            <w:pPr>
              <w:pStyle w:val="Compact"/>
              <w:jc w:val="left"/>
            </w:pPr>
            <w:r>
              <w:t xml:space="preserve">Back pocket occupation; selectivity contribution</w:t>
            </w:r>
          </w:p>
        </w:tc>
      </w:tr>
    </w:tbl>
    <w:bookmarkEnd w:id="85"/>
    <w:bookmarkEnd w:id="86"/>
    <w:bookmarkStart w:id="87" w:name="X60b85ada1e8b6fad3b57175419f0a6040fb0143"/>
    <w:p>
      <w:pPr>
        <w:pStyle w:val="4"/>
      </w:pPr>
      <w:r>
        <w:t xml:space="preserve">5.1.3 Final IC50 Derivation: 10^(9 – pIC50) nM, Clamp 0.3–50,000 nM</w:t>
      </w:r>
    </w:p>
    <w:tbl>
      <w:tblPr>
        <w:tblStyle w:val="Table"/>
        <w:tblW w:type="pct" w:w="5000"/>
        <w:jc w:val="left"/>
        <w:tblLayout w:type="fixed"/>
        <w:tblLook w:firstRow="1" w:lastRow="0" w:firstColumn="0" w:lastColumn="0" w:noHBand="0" w:noVBand="0" w:val="0020"/>
      </w:tblPr>
      <w:tblGrid>
        <w:gridCol w:w="1980"/>
        <w:gridCol w:w="1697"/>
        <w:gridCol w:w="4242"/>
      </w:tblGrid>
      <w:tr>
        <w:trPr>
          <w:tblHeader w:val="on"/>
        </w:trPr>
        <w:tc>
          <w:tcPr/>
          <w:p>
            <w:pPr>
              <w:pStyle w:val="Compact"/>
              <w:jc w:val="left"/>
            </w:pPr>
            <w:r>
              <w:t xml:space="preserve">pIC50</w:t>
            </w:r>
          </w:p>
        </w:tc>
        <w:tc>
          <w:tcPr/>
          <w:p>
            <w:pPr>
              <w:pStyle w:val="Compact"/>
              <w:jc w:val="left"/>
            </w:pPr>
            <w:r>
              <w:t xml:space="preserve">IC50</w:t>
            </w:r>
          </w:p>
        </w:tc>
        <w:tc>
          <w:tcPr/>
          <w:p>
            <w:pPr>
              <w:pStyle w:val="Compact"/>
              <w:jc w:val="left"/>
            </w:pPr>
            <w:r>
              <w:t xml:space="preserve">Interpretation</w:t>
            </w:r>
          </w:p>
        </w:tc>
      </w:tr>
      <w:tr>
        <w:tc>
          <w:tcPr/>
          <w:p>
            <w:pPr>
              <w:pStyle w:val="Compact"/>
              <w:jc w:val="left"/>
            </w:pPr>
            <w:r>
              <w:t xml:space="preserve">9.0</w:t>
            </w:r>
          </w:p>
        </w:tc>
        <w:tc>
          <w:tcPr/>
          <w:p>
            <w:pPr>
              <w:pStyle w:val="Compact"/>
              <w:jc w:val="left"/>
            </w:pPr>
            <w:r>
              <w:rPr>
                <w:b/>
                <w:bCs/>
              </w:rPr>
              <w:t xml:space="preserve">0.3 nM</w:t>
            </w:r>
          </w:p>
        </w:tc>
        <w:tc>
          <w:tcPr/>
          <w:p>
            <w:pPr>
              <w:pStyle w:val="Compact"/>
              <w:jc w:val="left"/>
            </w:pPr>
            <w:r>
              <w:t xml:space="preserve">Exceptional potency; potential selectivity concerns</w:t>
            </w:r>
          </w:p>
        </w:tc>
      </w:tr>
      <w:tr>
        <w:tc>
          <w:tcPr/>
          <w:p>
            <w:pPr>
              <w:pStyle w:val="Compact"/>
              <w:jc w:val="left"/>
            </w:pPr>
            <w:r>
              <w:t xml:space="preserve">7.0</w:t>
            </w:r>
          </w:p>
        </w:tc>
        <w:tc>
          <w:tcPr/>
          <w:p>
            <w:pPr>
              <w:pStyle w:val="Compact"/>
              <w:jc w:val="left"/>
            </w:pPr>
            <w:r>
              <w:t xml:space="preserve">10 nM</w:t>
            </w:r>
          </w:p>
        </w:tc>
        <w:tc>
          <w:tcPr/>
          <w:p>
            <w:pPr>
              <w:pStyle w:val="Compact"/>
              <w:jc w:val="left"/>
            </w:pPr>
            <w:r>
              <w:t xml:space="preserve">Strong potency; typical optimized inhibitor</w:t>
            </w:r>
          </w:p>
        </w:tc>
      </w:tr>
      <w:tr>
        <w:tc>
          <w:tcPr/>
          <w:p>
            <w:pPr>
              <w:pStyle w:val="Compact"/>
              <w:jc w:val="left"/>
            </w:pPr>
            <w:r>
              <w:t xml:space="preserve">5.2 (baseline)</w:t>
            </w:r>
          </w:p>
        </w:tc>
        <w:tc>
          <w:tcPr/>
          <w:p>
            <w:pPr>
              <w:pStyle w:val="Compact"/>
              <w:jc w:val="left"/>
            </w:pPr>
            <w:r>
              <w:t xml:space="preserve">~630 nM</w:t>
            </w:r>
          </w:p>
        </w:tc>
        <w:tc>
          <w:tcPr/>
          <w:p>
            <w:pPr>
              <w:pStyle w:val="Compact"/>
              <w:jc w:val="left"/>
            </w:pPr>
            <w:r>
              <w:t xml:space="preserve">Modest activity; screening hit level</w:t>
            </w:r>
          </w:p>
        </w:tc>
      </w:tr>
      <w:tr>
        <w:tc>
          <w:tcPr/>
          <w:p>
            <w:pPr>
              <w:pStyle w:val="Compact"/>
              <w:jc w:val="left"/>
            </w:pPr>
            <w:r>
              <w:t xml:space="preserve">4.0</w:t>
            </w:r>
          </w:p>
        </w:tc>
        <w:tc>
          <w:tcPr/>
          <w:p>
            <w:pPr>
              <w:pStyle w:val="Compact"/>
              <w:jc w:val="left"/>
            </w:pPr>
            <w:r>
              <w:rPr>
                <w:b/>
                <w:bCs/>
              </w:rPr>
              <w:t xml:space="preserve">100,000 nM → clamped to 50,000</w:t>
            </w:r>
          </w:p>
        </w:tc>
        <w:tc>
          <w:tcPr/>
          <w:p>
            <w:pPr>
              <w:pStyle w:val="Compact"/>
              <w:jc w:val="left"/>
            </w:pPr>
            <w:r>
              <w:t xml:space="preserve">Weak activity; minimal specific binding</w:t>
            </w:r>
          </w:p>
        </w:tc>
      </w:tr>
    </w:tbl>
    <w:p>
      <w:pPr>
        <w:pStyle w:val="a0"/>
      </w:pPr>
      <w:r>
        <w:rPr>
          <w:b/>
          <w:bCs/>
        </w:rPr>
        <w:t xml:space="preserve">Logarithmic transformation</w:t>
      </w:r>
      <w:r>
        <w:t xml:space="preserve"> </w:t>
      </w:r>
      <w:r>
        <w:t xml:space="preserve">reflects multiplicative nature of binding free energy contributions; each 1-unit pIC50 increase corresponds to</w:t>
      </w:r>
      <w:r>
        <w:t xml:space="preserve"> </w:t>
      </w:r>
      <w:r>
        <w:rPr>
          <w:b/>
          <w:bCs/>
        </w:rPr>
        <w:t xml:space="preserve">10-fold potency improvement</w:t>
      </w:r>
      <w:r>
        <w:t xml:space="preserve">.</w:t>
      </w:r>
    </w:p>
    <w:bookmarkEnd w:id="87"/>
    <w:bookmarkStart w:id="90" w:name="hill-coefficient-emax-determination"/>
    <w:p>
      <w:pPr>
        <w:pStyle w:val="4"/>
      </w:pPr>
      <w:r>
        <w:t xml:space="preserve">5.1.4 Hill Coefficient &amp; Emax Determination</w:t>
      </w:r>
    </w:p>
    <w:bookmarkStart w:id="88" w:name="X6a98f1d82f58d652a5c123fa5714beac110b025"/>
    <w:p>
      <w:pPr>
        <w:pStyle w:val="5"/>
      </w:pPr>
      <w:r>
        <w:t xml:space="preserve">5.1.4.1 Hill: Baseline 1.0, ±Adjustments for Rings, FSP3, Michael Acceptors, Flexibility (Clamp 0.7–3.0)</w:t>
      </w:r>
    </w:p>
    <w:tbl>
      <w:tblPr>
        <w:tblStyle w:val="Table"/>
        <w:tblW w:type="pct" w:w="5000"/>
        <w:jc w:val="left"/>
        <w:tblLayout w:type="fixed"/>
        <w:tblLook w:firstRow="1" w:lastRow="0" w:firstColumn="0" w:lastColumn="0" w:noHBand="0" w:noVBand="0" w:val="0020"/>
      </w:tblPr>
      <w:tblGrid>
        <w:gridCol w:w="2112"/>
        <w:gridCol w:w="2904"/>
        <w:gridCol w:w="2904"/>
      </w:tblGrid>
      <w:tr>
        <w:trPr>
          <w:tblHeader w:val="on"/>
        </w:trPr>
        <w:tc>
          <w:tcPr/>
          <w:p>
            <w:pPr>
              <w:pStyle w:val="Compact"/>
              <w:jc w:val="left"/>
            </w:pPr>
            <w:r>
              <w:t xml:space="preserve">Factor</w:t>
            </w:r>
          </w:p>
        </w:tc>
        <w:tc>
          <w:tcPr/>
          <w:p>
            <w:pPr>
              <w:pStyle w:val="Compact"/>
              <w:jc w:val="left"/>
            </w:pPr>
            <w:r>
              <w:t xml:space="preserve">Adjustment</w:t>
            </w:r>
          </w:p>
        </w:tc>
        <w:tc>
          <w:tcPr/>
          <w:p>
            <w:pPr>
              <w:pStyle w:val="Compact"/>
              <w:jc w:val="left"/>
            </w:pPr>
            <w:r>
              <w:t xml:space="preserve">Mechanism</w:t>
            </w:r>
          </w:p>
        </w:tc>
      </w:tr>
      <w:tr>
        <w:tc>
          <w:tcPr/>
          <w:p>
            <w:pPr>
              <w:pStyle w:val="Compact"/>
              <w:jc w:val="left"/>
            </w:pPr>
            <w:r>
              <w:t xml:space="preserve">≥2 aromatic rings</w:t>
            </w:r>
          </w:p>
        </w:tc>
        <w:tc>
          <w:tcPr/>
          <w:p>
            <w:pPr>
              <w:pStyle w:val="Compact"/>
              <w:jc w:val="left"/>
            </w:pPr>
            <w:r>
              <w:t xml:space="preserve">+0.15</w:t>
            </w:r>
          </w:p>
        </w:tc>
        <w:tc>
          <w:tcPr/>
          <w:p>
            <w:pPr>
              <w:pStyle w:val="Compact"/>
              <w:jc w:val="left"/>
            </w:pPr>
            <w:r>
              <w:t xml:space="preserve">Cooperative binding; distributed interaction surface</w:t>
            </w:r>
          </w:p>
        </w:tc>
      </w:tr>
      <w:tr>
        <w:tc>
          <w:tcPr/>
          <w:p>
            <w:pPr>
              <w:pStyle w:val="Compact"/>
              <w:jc w:val="left"/>
            </w:pPr>
            <w:r>
              <w:t xml:space="preserve">FractionCSP3 &gt; 0.4</w:t>
            </w:r>
          </w:p>
        </w:tc>
        <w:tc>
          <w:tcPr/>
          <w:p>
            <w:pPr>
              <w:pStyle w:val="Compact"/>
              <w:jc w:val="left"/>
            </w:pPr>
            <w:r>
              <w:t xml:space="preserve">+0.10</w:t>
            </w:r>
          </w:p>
        </w:tc>
        <w:tc>
          <w:tcPr/>
          <w:p>
            <w:pPr>
              <w:pStyle w:val="Compact"/>
              <w:jc w:val="left"/>
            </w:pPr>
            <w:r>
              <w:t xml:space="preserve">Conformational restriction; entropic contribution</w:t>
            </w:r>
          </w:p>
        </w:tc>
      </w:tr>
      <w:tr>
        <w:tc>
          <w:tcPr/>
          <w:p>
            <w:pPr>
              <w:pStyle w:val="Compact"/>
              <w:jc w:val="left"/>
            </w:pPr>
            <w:r>
              <w:rPr>
                <w:b/>
                <w:bCs/>
              </w:rPr>
              <w:t xml:space="preserve">Michael acceptor</w:t>
            </w:r>
          </w:p>
        </w:tc>
        <w:tc>
          <w:tcPr/>
          <w:p>
            <w:pPr>
              <w:pStyle w:val="Compact"/>
              <w:jc w:val="left"/>
            </w:pPr>
            <w:r>
              <w:rPr>
                <w:b/>
                <w:bCs/>
              </w:rPr>
              <w:t xml:space="preserve">+0.30</w:t>
            </w:r>
          </w:p>
        </w:tc>
        <w:tc>
          <w:tcPr/>
          <w:p>
            <w:pPr>
              <w:pStyle w:val="Compact"/>
              <w:jc w:val="left"/>
            </w:pPr>
            <w:r>
              <w:rPr>
                <w:b/>
                <w:bCs/>
              </w:rPr>
              <w:t xml:space="preserve">Irreversible binding kinetics</w:t>
            </w:r>
          </w:p>
        </w:tc>
      </w:tr>
      <w:tr>
        <w:tc>
          <w:tcPr/>
          <w:p>
            <w:pPr>
              <w:pStyle w:val="Compact"/>
              <w:jc w:val="left"/>
            </w:pPr>
            <w:r>
              <w:t xml:space="preserve">Rotatable bonds &gt; 8</w:t>
            </w:r>
          </w:p>
        </w:tc>
        <w:tc>
          <w:tcPr/>
          <w:p>
            <w:pPr>
              <w:pStyle w:val="Compact"/>
              <w:jc w:val="left"/>
            </w:pPr>
            <w:r>
              <w:t xml:space="preserve">−0.10</w:t>
            </w:r>
          </w:p>
        </w:tc>
        <w:tc>
          <w:tcPr/>
          <w:p>
            <w:pPr>
              <w:pStyle w:val="Compact"/>
              <w:jc w:val="left"/>
            </w:pPr>
            <w:r>
              <w:t xml:space="preserve">Conformational heterogeneity; reduced apparent cooperativity</w:t>
            </w:r>
          </w:p>
        </w:tc>
      </w:tr>
    </w:tbl>
    <w:p/>
    <w:tbl>
      <w:tblPr>
        <w:tblStyle w:val="Table"/>
        <w:tblW w:type="pct" w:w="5000"/>
        <w:jc w:val="left"/>
        <w:tblLayout w:type="fixed"/>
        <w:tblLook w:firstRow="1" w:lastRow="0" w:firstColumn="0" w:lastColumn="0" w:noHBand="0" w:noVBand="0" w:val="0020"/>
      </w:tblPr>
      <w:tblGrid>
        <w:gridCol w:w="4207"/>
        <w:gridCol w:w="3712"/>
      </w:tblGrid>
      <w:tr>
        <w:trPr>
          <w:tblHeader w:val="on"/>
        </w:trPr>
        <w:tc>
          <w:tcPr/>
          <w:p>
            <w:pPr>
              <w:pStyle w:val="Compact"/>
              <w:jc w:val="left"/>
            </w:pPr>
            <w:r>
              <w:t xml:space="preserve">Hill Coefficient</w:t>
            </w:r>
          </w:p>
        </w:tc>
        <w:tc>
          <w:tcPr/>
          <w:p>
            <w:pPr>
              <w:pStyle w:val="Compact"/>
              <w:jc w:val="left"/>
            </w:pPr>
            <w:r>
              <w:t xml:space="preserve">Interpretation</w:t>
            </w:r>
          </w:p>
        </w:tc>
      </w:tr>
      <w:tr>
        <w:tc>
          <w:tcPr/>
          <w:p>
            <w:pPr>
              <w:pStyle w:val="Compact"/>
              <w:jc w:val="left"/>
            </w:pPr>
            <w:r>
              <w:t xml:space="preserve">&lt; 1.0</w:t>
            </w:r>
          </w:p>
        </w:tc>
        <w:tc>
          <w:tcPr/>
          <w:p>
            <w:pPr>
              <w:pStyle w:val="Compact"/>
              <w:jc w:val="left"/>
            </w:pPr>
            <w:r>
              <w:t xml:space="preserve">Negative cooperativity; heterogeneous binding sites</w:t>
            </w:r>
          </w:p>
        </w:tc>
      </w:tr>
      <w:tr>
        <w:tc>
          <w:tcPr/>
          <w:p>
            <w:pPr>
              <w:pStyle w:val="Compact"/>
              <w:jc w:val="left"/>
            </w:pPr>
            <w:r>
              <w:rPr>
                <w:b/>
                <w:bCs/>
              </w:rPr>
              <w:t xml:space="preserve">1.0</w:t>
            </w:r>
          </w:p>
        </w:tc>
        <w:tc>
          <w:tcPr/>
          <w:p>
            <w:pPr>
              <w:pStyle w:val="Compact"/>
              <w:jc w:val="left"/>
            </w:pPr>
            <w:r>
              <w:rPr>
                <w:b/>
                <w:bCs/>
              </w:rPr>
              <w:t xml:space="preserve">Simple Michaelis-Menten</w:t>
            </w:r>
            <w:r>
              <w:t xml:space="preserve"> </w:t>
            </w:r>
            <w:r>
              <w:t xml:space="preserve">(baseline)</w:t>
            </w:r>
          </w:p>
        </w:tc>
      </w:tr>
      <w:tr>
        <w:tc>
          <w:tcPr/>
          <w:p>
            <w:pPr>
              <w:pStyle w:val="Compact"/>
              <w:jc w:val="left"/>
            </w:pPr>
            <w:r>
              <w:t xml:space="preserve">&gt; 1.0</w:t>
            </w:r>
          </w:p>
        </w:tc>
        <w:tc>
          <w:tcPr/>
          <w:p>
            <w:pPr>
              <w:pStyle w:val="Compact"/>
              <w:jc w:val="left"/>
            </w:pPr>
            <w:r>
              <w:t xml:space="preserve">Positive cooperativity; multiple binding sites; covalent mechanism</w:t>
            </w:r>
          </w:p>
        </w:tc>
      </w:tr>
      <w:tr>
        <w:tc>
          <w:tcPr/>
          <w:p>
            <w:pPr>
              <w:pStyle w:val="Compact"/>
              <w:jc w:val="left"/>
            </w:pPr>
            <w:r>
              <w:t xml:space="preserve">&gt; 2.5</w:t>
            </w:r>
          </w:p>
        </w:tc>
        <w:tc>
          <w:tcPr/>
          <w:p>
            <w:pPr>
              <w:pStyle w:val="Compact"/>
              <w:jc w:val="left"/>
            </w:pPr>
            <w:r>
              <w:t xml:space="preserve">Very steep; potential assay artifact or complex mechanism</w:t>
            </w:r>
          </w:p>
        </w:tc>
      </w:tr>
    </w:tbl>
    <w:bookmarkEnd w:id="88"/>
    <w:bookmarkStart w:id="89" w:name="X14eb4d3854e7b88c88ff98e5fbfd1e1481af704"/>
    <w:p>
      <w:pPr>
        <w:pStyle w:val="5"/>
      </w:pPr>
      <w:r>
        <w:t xml:space="preserve">5.1.4.2 Emax: Baseline 90%, ±Adjustments for Potency, Michael Acceptors, Lipophilicity (Clamp 60–100%)</w:t>
      </w:r>
    </w:p>
    <w:tbl>
      <w:tblPr>
        <w:tblStyle w:val="Table"/>
        <w:tblW w:type="pct" w:w="5000"/>
        <w:jc w:val="left"/>
        <w:tblLayout w:type="fixed"/>
        <w:tblLook w:firstRow="1" w:lastRow="0" w:firstColumn="0" w:lastColumn="0" w:noHBand="0" w:noVBand="0" w:val="0020"/>
      </w:tblPr>
      <w:tblGrid>
        <w:gridCol w:w="2112"/>
        <w:gridCol w:w="2904"/>
        <w:gridCol w:w="2904"/>
      </w:tblGrid>
      <w:tr>
        <w:trPr>
          <w:tblHeader w:val="on"/>
        </w:trPr>
        <w:tc>
          <w:tcPr/>
          <w:p>
            <w:pPr>
              <w:pStyle w:val="Compact"/>
              <w:jc w:val="left"/>
            </w:pPr>
            <w:r>
              <w:t xml:space="preserve">Factor</w:t>
            </w:r>
          </w:p>
        </w:tc>
        <w:tc>
          <w:tcPr/>
          <w:p>
            <w:pPr>
              <w:pStyle w:val="Compact"/>
              <w:jc w:val="left"/>
            </w:pPr>
            <w:r>
              <w:t xml:space="preserve">Adjustment</w:t>
            </w:r>
          </w:p>
        </w:tc>
        <w:tc>
          <w:tcPr/>
          <w:p>
            <w:pPr>
              <w:pStyle w:val="Compact"/>
              <w:jc w:val="left"/>
            </w:pPr>
            <w:r>
              <w:t xml:space="preserve">Rationale</w:t>
            </w:r>
          </w:p>
        </w:tc>
      </w:tr>
      <w:tr>
        <w:tc>
          <w:tcPr/>
          <w:p>
            <w:pPr>
              <w:pStyle w:val="Compact"/>
              <w:jc w:val="left"/>
            </w:pPr>
            <w:r>
              <w:t xml:space="preserve">pIC50 &gt; 7</w:t>
            </w:r>
          </w:p>
        </w:tc>
        <w:tc>
          <w:tcPr/>
          <w:p>
            <w:pPr>
              <w:pStyle w:val="Compact"/>
              <w:jc w:val="left"/>
            </w:pPr>
            <w:r>
              <w:t xml:space="preserve">+5%</w:t>
            </w:r>
          </w:p>
        </w:tc>
        <w:tc>
          <w:tcPr/>
          <w:p>
            <w:pPr>
              <w:pStyle w:val="Compact"/>
              <w:jc w:val="left"/>
            </w:pPr>
            <w:r>
              <w:t xml:space="preserve">Complete target engagement at achievable concentrations</w:t>
            </w:r>
          </w:p>
        </w:tc>
      </w:tr>
      <w:tr>
        <w:tc>
          <w:tcPr/>
          <w:p>
            <w:pPr>
              <w:pStyle w:val="Compact"/>
              <w:jc w:val="left"/>
            </w:pPr>
            <w:r>
              <w:t xml:space="preserve">Michael acceptor</w:t>
            </w:r>
          </w:p>
        </w:tc>
        <w:tc>
          <w:tcPr/>
          <w:p>
            <w:pPr>
              <w:pStyle w:val="Compact"/>
              <w:jc w:val="left"/>
            </w:pPr>
            <w:r>
              <w:t xml:space="preserve">+3%</w:t>
            </w:r>
          </w:p>
        </w:tc>
        <w:tc>
          <w:tcPr/>
          <w:p>
            <w:pPr>
              <w:pStyle w:val="Compact"/>
              <w:jc w:val="left"/>
            </w:pPr>
            <w:r>
              <w:t xml:space="preserve">Irreversible inhibition ensures sustained effect</w:t>
            </w:r>
          </w:p>
        </w:tc>
      </w:tr>
      <w:tr>
        <w:tc>
          <w:tcPr/>
          <w:p>
            <w:pPr>
              <w:pStyle w:val="Compact"/>
              <w:jc w:val="left"/>
            </w:pPr>
            <w:r>
              <w:t xml:space="preserve">LogP &gt; 5</w:t>
            </w:r>
          </w:p>
        </w:tc>
        <w:tc>
          <w:tcPr/>
          <w:p>
            <w:pPr>
              <w:pStyle w:val="Compact"/>
              <w:jc w:val="left"/>
            </w:pPr>
            <w:r>
              <w:rPr>
                <w:b/>
                <w:bCs/>
              </w:rPr>
              <w:t xml:space="preserve">−5%</w:t>
            </w:r>
          </w:p>
        </w:tc>
        <w:tc>
          <w:tcPr/>
          <w:p>
            <w:pPr>
              <w:pStyle w:val="Compact"/>
              <w:jc w:val="left"/>
            </w:pPr>
            <w:r>
              <w:t xml:space="preserve">Non-specific binding competition; reduced fractional occupancy</w:t>
            </w:r>
          </w:p>
        </w:tc>
      </w:tr>
    </w:tbl>
    <w:bookmarkEnd w:id="89"/>
    <w:bookmarkEnd w:id="90"/>
    <w:bookmarkStart w:id="91" w:name="X302ea810ac4de4e842b41ff31271bee48950bdb"/>
    <w:p>
      <w:pPr>
        <w:pStyle w:val="4"/>
      </w:pPr>
      <w:r>
        <w:t xml:space="preserve">5.1.5 15-Point Dose-Response Curve Generation (Hill Equation with Seeded Noise)</w:t>
      </w:r>
    </w:p>
    <w:p>
      <w:pPr>
        <w:pStyle w:val="FirstParagraph"/>
      </w:pPr>
      <w:r>
        <w:rPr>
          <w:b/>
          <w:bCs/>
        </w:rPr>
        <w:t xml:space="preserve">Hill equation</w:t>
      </w:r>
      <w:r>
        <w:t xml:space="preserve">: Response = Emax / (1 + (IC50/[C])^HillCoeff)</w:t>
      </w:r>
    </w:p>
    <w:tbl>
      <w:tblPr>
        <w:tblStyle w:val="Table"/>
        <w:tblW w:type="pct" w:w="5000"/>
        <w:jc w:val="left"/>
        <w:tblLayout w:type="fixed"/>
        <w:tblLook w:firstRow="1" w:lastRow="0" w:firstColumn="0" w:lastColumn="0" w:noHBand="0" w:noVBand="0" w:val="0020"/>
      </w:tblPr>
      <w:tblGrid>
        <w:gridCol w:w="4168"/>
        <w:gridCol w:w="1875"/>
        <w:gridCol w:w="1875"/>
      </w:tblGrid>
      <w:tr>
        <w:trPr>
          <w:tblHeader w:val="on"/>
        </w:trPr>
        <w:tc>
          <w:tcPr/>
          <w:p>
            <w:pPr>
              <w:pStyle w:val="Compact"/>
              <w:jc w:val="left"/>
            </w:pPr>
            <w:r>
              <w:t xml:space="preserve">Concentration Range</w:t>
            </w:r>
          </w:p>
        </w:tc>
        <w:tc>
          <w:tcPr/>
          <w:p>
            <w:pPr>
              <w:pStyle w:val="Compact"/>
              <w:jc w:val="left"/>
            </w:pPr>
            <w:r>
              <w:t xml:space="preserve">Spacing</w:t>
            </w:r>
          </w:p>
        </w:tc>
        <w:tc>
          <w:tcPr/>
          <w:p>
            <w:pPr>
              <w:pStyle w:val="Compact"/>
              <w:jc w:val="left"/>
            </w:pPr>
            <w:r>
              <w:t xml:space="preserve">Purpose</w:t>
            </w:r>
          </w:p>
        </w:tc>
      </w:tr>
      <w:tr>
        <w:tc>
          <w:tcPr/>
          <w:p>
            <w:pPr>
              <w:pStyle w:val="Compact"/>
              <w:jc w:val="left"/>
            </w:pPr>
            <w:r>
              <w:t xml:space="preserve">4–6 logs centered on IC50</w:t>
            </w:r>
          </w:p>
        </w:tc>
        <w:tc>
          <w:tcPr/>
          <w:p>
            <w:pPr>
              <w:pStyle w:val="Compact"/>
              <w:jc w:val="left"/>
            </w:pPr>
            <w:r>
              <w:t xml:space="preserve">Geometric</w:t>
            </w:r>
          </w:p>
        </w:tc>
        <w:tc>
          <w:tcPr/>
          <w:p>
            <w:pPr>
              <w:pStyle w:val="Compact"/>
              <w:jc w:val="left"/>
            </w:pPr>
            <w:r>
              <w:t xml:space="preserve">Uniform sigmoid curve coverage</w:t>
            </w:r>
          </w:p>
        </w:tc>
      </w:tr>
      <w:tr>
        <w:tc>
          <w:tcPr/>
          <w:p>
            <w:pPr>
              <w:pStyle w:val="Compact"/>
              <w:jc w:val="left"/>
            </w:pPr>
            <w:r>
              <w:t xml:space="preserve">15 points</w:t>
            </w:r>
          </w:p>
        </w:tc>
        <w:tc>
          <w:tcPr/>
          <w:p>
            <w:pPr>
              <w:pStyle w:val="Compact"/>
              <w:jc w:val="left"/>
            </w:pPr>
            <w:r>
              <w:t xml:space="preserve">—</w:t>
            </w:r>
          </w:p>
        </w:tc>
        <w:tc>
          <w:tcPr/>
          <w:p>
            <w:pPr>
              <w:pStyle w:val="Compact"/>
              <w:jc w:val="left"/>
            </w:pPr>
            <w:r>
              <w:t xml:space="preserve">Robust curve fitting; parameter precision</w:t>
            </w:r>
          </w:p>
        </w:tc>
      </w:tr>
    </w:tbl>
    <w:p>
      <w:pPr>
        <w:pStyle w:val="a0"/>
      </w:pPr>
      <w:r>
        <w:rPr>
          <w:b/>
          <w:bCs/>
        </w:rPr>
        <w:t xml:space="preserve">Seeded noise</w:t>
      </w:r>
      <w:r>
        <w:t xml:space="preserve">: Normally distributed, σ = 3–5% of Emax, heteroscedastic at extremes; enables realistic assay simulation while preserving reproducibility.</w:t>
      </w:r>
    </w:p>
    <w:bookmarkEnd w:id="91"/>
    <w:bookmarkEnd w:id="92"/>
    <w:bookmarkStart w:id="95" w:name="permeability-assessment"/>
    <w:p>
      <w:pPr>
        <w:pStyle w:val="3"/>
      </w:pPr>
      <w:r>
        <w:t xml:space="preserve">5.2 Permeability Assessment</w:t>
      </w:r>
    </w:p>
    <w:bookmarkStart w:id="93" w:name="Xa2de41a336fa0ca6791a23a072b6bf91351c7c3"/>
    <w:p>
      <w:pPr>
        <w:pStyle w:val="4"/>
      </w:pPr>
      <w:r>
        <w:t xml:space="preserve">5.2.1 Caco-2 Prediction from LogP/TPSA (Papp Classification: High/Moderate/Low)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Papp (×10⁻⁶ cm/s)</w:t>
            </w:r>
          </w:p>
        </w:tc>
        <w:tc>
          <w:tcPr/>
          <w:p>
            <w:pPr>
              <w:pStyle w:val="Compact"/>
              <w:jc w:val="left"/>
            </w:pPr>
            <w:r>
              <w:t xml:space="preserve">Classification</w:t>
            </w:r>
          </w:p>
        </w:tc>
        <w:tc>
          <w:tcPr/>
          <w:p>
            <w:pPr>
              <w:pStyle w:val="Compact"/>
              <w:jc w:val="left"/>
            </w:pPr>
            <w:r>
              <w:t xml:space="preserve">Expected Fraction Absorbed</w:t>
            </w:r>
          </w:p>
        </w:tc>
      </w:tr>
      <w:tr>
        <w:tc>
          <w:tcPr/>
          <w:p>
            <w:pPr>
              <w:pStyle w:val="Compact"/>
              <w:jc w:val="left"/>
            </w:pPr>
            <w:r>
              <w:t xml:space="preserve">&gt; 10</w:t>
            </w:r>
          </w:p>
        </w:tc>
        <w:tc>
          <w:tcPr/>
          <w:p>
            <w:pPr>
              <w:pStyle w:val="Compact"/>
              <w:jc w:val="left"/>
            </w:pPr>
            <w:r>
              <w:rPr>
                <w:b/>
                <w:bCs/>
              </w:rPr>
              <w:t xml:space="preserve">High</w:t>
            </w:r>
          </w:p>
        </w:tc>
        <w:tc>
          <w:tcPr/>
          <w:p>
            <w:pPr>
              <w:pStyle w:val="Compact"/>
              <w:jc w:val="left"/>
            </w:pPr>
            <w:r>
              <w:t xml:space="preserve">&gt; 90%</w:t>
            </w:r>
          </w:p>
        </w:tc>
      </w:tr>
      <w:tr>
        <w:tc>
          <w:tcPr/>
          <w:p>
            <w:pPr>
              <w:pStyle w:val="Compact"/>
              <w:jc w:val="left"/>
            </w:pPr>
            <w:r>
              <w:t xml:space="preserve">1–10</w:t>
            </w:r>
          </w:p>
        </w:tc>
        <w:tc>
          <w:tcPr/>
          <w:p>
            <w:pPr>
              <w:pStyle w:val="Compact"/>
              <w:jc w:val="left"/>
            </w:pPr>
            <w:r>
              <w:rPr>
                <w:b/>
                <w:bCs/>
              </w:rPr>
              <w:t xml:space="preserve">Moderate</w:t>
            </w:r>
          </w:p>
        </w:tc>
        <w:tc>
          <w:tcPr/>
          <w:p>
            <w:pPr>
              <w:pStyle w:val="Compact"/>
              <w:jc w:val="left"/>
            </w:pPr>
            <w:r>
              <w:t xml:space="preserve">50–90%</w:t>
            </w:r>
          </w:p>
        </w:tc>
      </w:tr>
      <w:tr>
        <w:tc>
          <w:tcPr/>
          <w:p>
            <w:pPr>
              <w:pStyle w:val="Compact"/>
              <w:jc w:val="left"/>
            </w:pPr>
            <w:r>
              <w:t xml:space="preserve">&lt; 1</w:t>
            </w:r>
          </w:p>
        </w:tc>
        <w:tc>
          <w:tcPr/>
          <w:p>
            <w:pPr>
              <w:pStyle w:val="Compact"/>
              <w:jc w:val="left"/>
            </w:pPr>
            <w:r>
              <w:rPr>
                <w:b/>
                <w:bCs/>
              </w:rPr>
              <w:t xml:space="preserve">Low</w:t>
            </w:r>
          </w:p>
        </w:tc>
        <w:tc>
          <w:tcPr/>
          <w:p>
            <w:pPr>
              <w:pStyle w:val="Compact"/>
              <w:jc w:val="left"/>
            </w:pPr>
            <w:r>
              <w:t xml:space="preserve">&lt; 50%</w:t>
            </w:r>
          </w:p>
        </w:tc>
      </w:tr>
    </w:tbl>
    <w:p>
      <w:pPr>
        <w:pStyle w:val="a0"/>
      </w:pPr>
      <w:r>
        <w:rPr>
          <w:b/>
          <w:bCs/>
        </w:rPr>
        <w:t xml:space="preserve">Empirical correlation</w:t>
      </w:r>
      <w:r>
        <w:t xml:space="preserve">: Multiple linear regression of LogP and TPSA against Caco-2 training data.</w:t>
      </w:r>
    </w:p>
    <w:bookmarkEnd w:id="93"/>
    <w:bookmarkStart w:id="94" w:name="pampa-complementary-assessment"/>
    <w:p>
      <w:pPr>
        <w:pStyle w:val="4"/>
      </w:pPr>
      <w:r>
        <w:t xml:space="preserve">5.2.2 PAMPA Complementary Assessment</w:t>
      </w:r>
    </w:p>
    <w:p>
      <w:pPr>
        <w:pStyle w:val="FirstParagraph"/>
      </w:pPr>
      <w:r>
        <w:t xml:space="preserve">Parallel Artificial Membrane Permeability Assay prediction provides</w:t>
      </w:r>
      <w:r>
        <w:t xml:space="preserve"> </w:t>
      </w:r>
      <w:r>
        <w:rPr>
          <w:b/>
          <w:bCs/>
        </w:rPr>
        <w:t xml:space="preserve">simpler passive diffusion measure</w:t>
      </w:r>
      <w:r>
        <w:t xml:space="preserve"> </w:t>
      </w:r>
      <w:r>
        <w:t xml:space="preserve">without cellular transporter complications, enabling distinction of:</w:t>
      </w:r>
      <w:r>
        <w:t xml:space="preserve"> </w:t>
      </w:r>
      <w:r>
        <w:t xml:space="preserve">-</w:t>
      </w:r>
      <w:r>
        <w:t xml:space="preserve"> </w:t>
      </w:r>
      <w:r>
        <w:rPr>
          <w:b/>
          <w:bCs/>
        </w:rPr>
        <w:t xml:space="preserve">Caco-2 &lt;&lt; PAMPA</w:t>
      </w:r>
      <w:r>
        <w:t xml:space="preserve">: Active efflux (e.g., P-glycoprotein substrate)</w:t>
      </w:r>
      <w:r>
        <w:t xml:space="preserve"> </w:t>
      </w:r>
      <w:r>
        <w:t xml:space="preserve">-</w:t>
      </w:r>
      <w:r>
        <w:t xml:space="preserve"> </w:t>
      </w:r>
      <w:r>
        <w:rPr>
          <w:b/>
          <w:bCs/>
        </w:rPr>
        <w:t xml:space="preserve">Caco-2 &gt;&gt; PAMPA</w:t>
      </w:r>
      <w:r>
        <w:t xml:space="preserve">: Active uptake mechanism</w:t>
      </w:r>
    </w:p>
    <w:bookmarkEnd w:id="94"/>
    <w:bookmarkEnd w:id="95"/>
    <w:bookmarkStart w:id="98" w:name="metabolic-stability"/>
    <w:p>
      <w:pPr>
        <w:pStyle w:val="3"/>
      </w:pPr>
      <w:r>
        <w:t xml:space="preserve">5.3 Metabolic Stability</w:t>
      </w:r>
    </w:p>
    <w:bookmarkStart w:id="96" w:name="Xbe1a388443cf84e01a2d6f43c739020f3a05445"/>
    <w:p>
      <w:pPr>
        <w:pStyle w:val="4"/>
      </w:pPr>
      <w:r>
        <w:t xml:space="preserve">5.3.1 Microsomal CLint (Stable/Moderate/Unstable Classification)</w:t>
      </w:r>
    </w:p>
    <w:tbl>
      <w:tblPr>
        <w:tblStyle w:val="Table"/>
        <w:tblW w:type="pct" w:w="5000"/>
        <w:jc w:val="left"/>
        <w:tblLayout w:type="fixed"/>
        <w:tblLook w:firstRow="1" w:lastRow="0" w:firstColumn="0" w:lastColumn="0" w:noHBand="0" w:noVBand="0" w:val="0020"/>
      </w:tblPr>
      <w:tblGrid>
        <w:gridCol w:w="2212"/>
        <w:gridCol w:w="1747"/>
        <w:gridCol w:w="2445"/>
        <w:gridCol w:w="1514"/>
      </w:tblGrid>
      <w:tr>
        <w:trPr>
          <w:tblHeader w:val="on"/>
        </w:trPr>
        <w:tc>
          <w:tcPr/>
          <w:p>
            <w:pPr>
              <w:pStyle w:val="Compact"/>
              <w:jc w:val="left"/>
            </w:pPr>
            <w:r>
              <w:t xml:space="preserve">CLint (µL/min/mg)</w:t>
            </w:r>
          </w:p>
        </w:tc>
        <w:tc>
          <w:tcPr/>
          <w:p>
            <w:pPr>
              <w:pStyle w:val="Compact"/>
              <w:jc w:val="left"/>
            </w:pPr>
            <w:r>
              <w:t xml:space="preserve">Classification</w:t>
            </w:r>
          </w:p>
        </w:tc>
        <w:tc>
          <w:tcPr/>
          <w:p>
            <w:pPr>
              <w:pStyle w:val="Compact"/>
              <w:jc w:val="left"/>
            </w:pPr>
            <w:r>
              <w:t xml:space="preserve">Predicted Half-life</w:t>
            </w:r>
          </w:p>
        </w:tc>
        <w:tc>
          <w:tcPr/>
          <w:p>
            <w:pPr>
              <w:pStyle w:val="Compact"/>
              <w:jc w:val="left"/>
            </w:pPr>
            <w:r>
              <w:t xml:space="preserve">Implication</w:t>
            </w:r>
          </w:p>
        </w:tc>
      </w:tr>
      <w:tr>
        <w:tc>
          <w:tcPr/>
          <w:p>
            <w:pPr>
              <w:pStyle w:val="Compact"/>
              <w:jc w:val="left"/>
            </w:pPr>
            <w:r>
              <w:t xml:space="preserve">&lt; 20</w:t>
            </w:r>
          </w:p>
        </w:tc>
        <w:tc>
          <w:tcPr/>
          <w:p>
            <w:pPr>
              <w:pStyle w:val="Compact"/>
              <w:jc w:val="left"/>
            </w:pPr>
            <w:r>
              <w:rPr>
                <w:b/>
                <w:bCs/>
              </w:rPr>
              <w:t xml:space="preserve">Stable</w:t>
            </w:r>
          </w:p>
        </w:tc>
        <w:tc>
          <w:tcPr/>
          <w:p>
            <w:pPr>
              <w:pStyle w:val="Compact"/>
              <w:jc w:val="left"/>
            </w:pPr>
            <w:r>
              <w:t xml:space="preserve">&gt; 60 min</w:t>
            </w:r>
          </w:p>
        </w:tc>
        <w:tc>
          <w:tcPr/>
          <w:p>
            <w:pPr>
              <w:pStyle w:val="Compact"/>
              <w:jc w:val="left"/>
            </w:pPr>
            <w:r>
              <w:t xml:space="preserve">Suitable for QD or BID dosing</w:t>
            </w:r>
          </w:p>
        </w:tc>
      </w:tr>
      <w:tr>
        <w:tc>
          <w:tcPr/>
          <w:p>
            <w:pPr>
              <w:pStyle w:val="Compact"/>
              <w:jc w:val="left"/>
            </w:pPr>
            <w:r>
              <w:t xml:space="preserve">20–100</w:t>
            </w:r>
          </w:p>
        </w:tc>
        <w:tc>
          <w:tcPr/>
          <w:p>
            <w:pPr>
              <w:pStyle w:val="Compact"/>
              <w:jc w:val="left"/>
            </w:pPr>
            <w:r>
              <w:rPr>
                <w:b/>
                <w:bCs/>
              </w:rPr>
              <w:t xml:space="preserve">Moderate</w:t>
            </w:r>
          </w:p>
        </w:tc>
        <w:tc>
          <w:tcPr/>
          <w:p>
            <w:pPr>
              <w:pStyle w:val="Compact"/>
              <w:jc w:val="left"/>
            </w:pPr>
            <w:r>
              <w:t xml:space="preserve">15–60 min</w:t>
            </w:r>
          </w:p>
        </w:tc>
        <w:tc>
          <w:tcPr/>
          <w:p>
            <w:pPr>
              <w:pStyle w:val="Compact"/>
              <w:jc w:val="left"/>
            </w:pPr>
            <w:r>
              <w:t xml:space="preserve">BID or TID dosing; potential DDI risk</w:t>
            </w:r>
          </w:p>
        </w:tc>
      </w:tr>
      <w:tr>
        <w:tc>
          <w:tcPr/>
          <w:p>
            <w:pPr>
              <w:pStyle w:val="Compact"/>
              <w:jc w:val="left"/>
            </w:pPr>
            <w:r>
              <w:t xml:space="preserve">&gt; 100</w:t>
            </w:r>
          </w:p>
        </w:tc>
        <w:tc>
          <w:tcPr/>
          <w:p>
            <w:pPr>
              <w:pStyle w:val="Compact"/>
              <w:jc w:val="left"/>
            </w:pPr>
            <w:r>
              <w:rPr>
                <w:b/>
                <w:bCs/>
              </w:rPr>
              <w:t xml:space="preserve">Unstable</w:t>
            </w:r>
          </w:p>
        </w:tc>
        <w:tc>
          <w:tcPr/>
          <w:p>
            <w:pPr>
              <w:pStyle w:val="Compact"/>
              <w:jc w:val="left"/>
            </w:pPr>
            <w:r>
              <w:t xml:space="preserve">&lt; 15 min</w:t>
            </w:r>
          </w:p>
        </w:tc>
        <w:tc>
          <w:tcPr/>
          <w:p>
            <w:pPr>
              <w:pStyle w:val="Compact"/>
              <w:jc w:val="left"/>
            </w:pPr>
            <w:r>
              <w:t xml:space="preserve">Requires metabolic blocking or prodrug strategy</w:t>
            </w:r>
          </w:p>
        </w:tc>
      </w:tr>
    </w:tbl>
    <w:bookmarkEnd w:id="96"/>
    <w:bookmarkStart w:id="97" w:name="hepatocyte-clint-whole-cell-estimate"/>
    <w:p>
      <w:pPr>
        <w:pStyle w:val="4"/>
      </w:pPr>
      <w:r>
        <w:t xml:space="preserve">5.3.2 Hepatocyte CLint Whole-Cell Estimate</w:t>
      </w:r>
    </w:p>
    <w:p>
      <w:pPr>
        <w:pStyle w:val="FirstParagraph"/>
      </w:pPr>
      <w:r>
        <w:t xml:space="preserve">Extends microsomal prediction to</w:t>
      </w:r>
      <w:r>
        <w:t xml:space="preserve"> </w:t>
      </w:r>
      <w:r>
        <w:rPr>
          <w:b/>
          <w:bCs/>
        </w:rPr>
        <w:t xml:space="preserve">intact hepatocytes</w:t>
      </w:r>
      <w:r>
        <w:t xml:space="preserve">, incorporating:</w:t>
      </w:r>
      <w:r>
        <w:t xml:space="preserve"> </w:t>
      </w:r>
      <w:r>
        <w:t xml:space="preserve">- Cytosolic enzyme contributions</w:t>
      </w:r>
      <w:r>
        <w:t xml:space="preserve"> </w:t>
      </w:r>
      <w:r>
        <w:t xml:space="preserve">- Transporter-mediated uptake/efflux</w:t>
      </w:r>
      <w:r>
        <w:t xml:space="preserve"> </w:t>
      </w:r>
      <w:r>
        <w:t xml:space="preserve">- Phase II conjugation pathways</w:t>
      </w:r>
    </w:p>
    <w:bookmarkEnd w:id="97"/>
    <w:bookmarkEnd w:id="98"/>
    <w:bookmarkStart w:id="101" w:name="selectivity-panel"/>
    <w:p>
      <w:pPr>
        <w:pStyle w:val="3"/>
      </w:pPr>
      <w:r>
        <w:t xml:space="preserve">5.4 Selectivity Panel</w:t>
      </w:r>
    </w:p>
    <w:bookmarkStart w:id="99" w:name="X10d6f11df7102fdb513eda03abe328aed7a2970"/>
    <w:p>
      <w:pPr>
        <w:pStyle w:val="4"/>
      </w:pPr>
      <w:r>
        <w:t xml:space="preserve">5.4.1 Kinase Selectivity Score (&lt;100× Primary IC50 Threshold)</w:t>
      </w:r>
    </w:p>
    <w:p>
      <w:pPr>
        <w:pStyle w:val="FirstParagraph"/>
      </w:pPr>
      <w:r>
        <w:rPr>
          <w:b/>
          <w:bCs/>
        </w:rPr>
        <w:t xml:space="preserve">Fraction of tested kinases</w:t>
      </w:r>
      <w:r>
        <w:t xml:space="preserve"> </w:t>
      </w:r>
      <w:r>
        <w:t xml:space="preserve">with IC50 &gt; 100× primary target IC50 — capturing therapeutically relevant selectivity margin.</w:t>
      </w:r>
    </w:p>
    <w:bookmarkEnd w:id="99"/>
    <w:bookmarkStart w:id="100" w:name="Xcdc53983059da398706ce6e21e03b55efc0e9e1"/>
    <w:p>
      <w:pPr>
        <w:pStyle w:val="4"/>
      </w:pPr>
      <w:r>
        <w:t xml:space="preserve">5.4.2 Classification: Selective / Moderately Selective / Non-Selective</w:t>
      </w:r>
    </w:p>
    <w:tbl>
      <w:tblPr>
        <w:tblStyle w:val="Table"/>
        <w:tblW w:type="pct" w:w="5000"/>
        <w:jc w:val="left"/>
        <w:tblLayout w:type="fixed"/>
        <w:tblLook w:firstRow="1" w:lastRow="0" w:firstColumn="0" w:lastColumn="0" w:noHBand="0" w:noVBand="0" w:val="0020"/>
      </w:tblPr>
      <w:tblGrid>
        <w:gridCol w:w="2200"/>
        <w:gridCol w:w="2493"/>
        <w:gridCol w:w="3226"/>
      </w:tblGrid>
      <w:tr>
        <w:trPr>
          <w:tblHeader w:val="on"/>
        </w:trPr>
        <w:tc>
          <w:tcPr/>
          <w:p>
            <w:pPr>
              <w:pStyle w:val="Compact"/>
              <w:jc w:val="left"/>
            </w:pPr>
            <w:r>
              <w:t xml:space="preserve">Classification</w:t>
            </w:r>
          </w:p>
        </w:tc>
        <w:tc>
          <w:tcPr/>
          <w:p>
            <w:pPr>
              <w:pStyle w:val="Compact"/>
              <w:jc w:val="left"/>
            </w:pPr>
            <w:r>
              <w:t xml:space="preserve">Kinase Fraction</w:t>
            </w:r>
          </w:p>
        </w:tc>
        <w:tc>
          <w:tcPr/>
          <w:p>
            <w:pPr>
              <w:pStyle w:val="Compact"/>
              <w:jc w:val="left"/>
            </w:pPr>
            <w:r>
              <w:t xml:space="preserve">Clinical Implication</w:t>
            </w:r>
          </w:p>
        </w:tc>
      </w:tr>
      <w:tr>
        <w:tc>
          <w:tcPr/>
          <w:p>
            <w:pPr>
              <w:pStyle w:val="Compact"/>
              <w:jc w:val="left"/>
            </w:pPr>
            <w:r>
              <w:rPr>
                <w:b/>
                <w:bCs/>
              </w:rPr>
              <w:t xml:space="preserve">Selective</w:t>
            </w:r>
          </w:p>
        </w:tc>
        <w:tc>
          <w:tcPr/>
          <w:p>
            <w:pPr>
              <w:pStyle w:val="Compact"/>
              <w:jc w:val="left"/>
            </w:pPr>
            <w:r>
              <w:t xml:space="preserve">&gt; 90%</w:t>
            </w:r>
          </w:p>
        </w:tc>
        <w:tc>
          <w:tcPr/>
          <w:p>
            <w:pPr>
              <w:pStyle w:val="Compact"/>
              <w:jc w:val="left"/>
            </w:pPr>
            <w:r>
              <w:t xml:space="preserve">Low off-target risk; clean safety profile</w:t>
            </w:r>
          </w:p>
        </w:tc>
      </w:tr>
      <w:tr>
        <w:tc>
          <w:tcPr/>
          <w:p>
            <w:pPr>
              <w:pStyle w:val="Compact"/>
              <w:jc w:val="left"/>
            </w:pPr>
            <w:r>
              <w:rPr>
                <w:b/>
                <w:bCs/>
              </w:rPr>
              <w:t xml:space="preserve">Moderately Selective</w:t>
            </w:r>
          </w:p>
        </w:tc>
        <w:tc>
          <w:tcPr/>
          <w:p>
            <w:pPr>
              <w:pStyle w:val="Compact"/>
              <w:jc w:val="left"/>
            </w:pPr>
            <w:r>
              <w:t xml:space="preserve">70–90%</w:t>
            </w:r>
          </w:p>
        </w:tc>
        <w:tc>
          <w:tcPr/>
          <w:p>
            <w:pPr>
              <w:pStyle w:val="Compact"/>
              <w:jc w:val="left"/>
            </w:pPr>
            <w:r>
              <w:t xml:space="preserve">Monitoring warranted; potential polypharmacology benefits/risks</w:t>
            </w:r>
          </w:p>
        </w:tc>
      </w:tr>
      <w:tr>
        <w:tc>
          <w:tcPr/>
          <w:p>
            <w:pPr>
              <w:pStyle w:val="Compact"/>
              <w:jc w:val="left"/>
            </w:pPr>
            <w:r>
              <w:rPr>
                <w:b/>
                <w:bCs/>
              </w:rPr>
              <w:t xml:space="preserve">Non-Selective</w:t>
            </w:r>
          </w:p>
        </w:tc>
        <w:tc>
          <w:tcPr/>
          <w:p>
            <w:pPr>
              <w:pStyle w:val="Compact"/>
              <w:jc w:val="left"/>
            </w:pPr>
            <w:r>
              <w:t xml:space="preserve">&lt; 70%</w:t>
            </w:r>
          </w:p>
        </w:tc>
        <w:tc>
          <w:tcPr/>
          <w:p>
            <w:pPr>
              <w:pStyle w:val="Compact"/>
              <w:jc w:val="left"/>
            </w:pPr>
            <w:r>
              <w:t xml:space="preserve">Significant polypharmacology; indication-dependent risk/benefit</w:t>
            </w:r>
          </w:p>
        </w:tc>
      </w:tr>
    </w:tbl>
    <w:p>
      <w:r>
        <w:pict>
          <v:rect style="width:0;height:1.5pt" o:hralign="center" o:hrstd="t" o:hr="t"/>
        </w:pict>
      </w:r>
    </w:p>
    <w:bookmarkEnd w:id="100"/>
    <w:bookmarkEnd w:id="101"/>
    <w:bookmarkEnd w:id="102"/>
    <w:bookmarkStart w:id="135" w:name="safety-toxicity-assessment"/>
    <w:p>
      <w:pPr>
        <w:pStyle w:val="2"/>
      </w:pPr>
      <w:r>
        <w:t xml:space="preserve">6. Safety &amp; Toxicity Assessment</w:t>
      </w:r>
    </w:p>
    <w:bookmarkStart w:id="112" w:name="bioactivation-assessment-step-9"/>
    <w:p>
      <w:pPr>
        <w:pStyle w:val="3"/>
      </w:pPr>
      <w:r>
        <w:t xml:space="preserve">6.1 Bioactivation Assessment (Step 9)</w:t>
      </w:r>
    </w:p>
    <w:p>
      <w:pPr>
        <w:pStyle w:val="FirstParagraph"/>
      </w:pPr>
      <w:r>
        <w:t xml:space="preserve">The</w:t>
      </w:r>
      <w:r>
        <w:t xml:space="preserve"> </w:t>
      </w:r>
      <w:r>
        <w:rPr>
          <w:b/>
          <w:bCs/>
        </w:rPr>
        <w:t xml:space="preserve">bioactivation engine</w:t>
      </w:r>
      <w:r>
        <w:t xml:space="preserve"> </w:t>
      </w:r>
      <w:r>
        <w:t xml:space="preserve">scans for</w:t>
      </w:r>
      <w:r>
        <w:t xml:space="preserve"> </w:t>
      </w:r>
      <w:r>
        <w:rPr>
          <w:b/>
          <w:bCs/>
        </w:rPr>
        <w:t xml:space="preserve">structural motifs forming reactive metabolites</w:t>
      </w:r>
      <w:r>
        <w:t xml:space="preserve"> </w:t>
      </w:r>
      <w:r>
        <w:t xml:space="preserve">— a major cause of idiosyncratic adverse drug reactions not predicted by standard safety pharmacology.</w:t>
      </w:r>
    </w:p>
    <w:bookmarkStart w:id="109" w:name="Xeb499cea217bae2dcd404288a17f416fa319742"/>
    <w:p>
      <w:pPr>
        <w:pStyle w:val="4"/>
      </w:pPr>
      <w:r>
        <w:t xml:space="preserve">6.1.1 Reactive Metabolite Structural Alert Scanning</w:t>
      </w:r>
    </w:p>
    <w:bookmarkStart w:id="103" w:name="thiophene-s-oxidation-hepatotoxicity"/>
    <w:p>
      <w:pPr>
        <w:pStyle w:val="5"/>
      </w:pPr>
      <w:r>
        <w:t xml:space="preserve">6.1.1.1 Thiophene S-Oxidation → Hepatotoxicity</w:t>
      </w:r>
    </w:p>
    <w:tbl>
      <w:tblPr>
        <w:tblStyle w:val="Table"/>
        <w:tblW w:type="pct" w:w="5000"/>
        <w:jc w:val="left"/>
        <w:tblLayout w:type="fixed"/>
        <w:tblLook w:firstRow="1" w:lastRow="0" w:firstColumn="0" w:lastColumn="0" w:noHBand="0" w:noVBand="0" w:val="0020"/>
      </w:tblPr>
      <w:tblGrid>
        <w:gridCol w:w="1697"/>
        <w:gridCol w:w="2074"/>
        <w:gridCol w:w="4148"/>
      </w:tblGrid>
      <w:tr>
        <w:trPr>
          <w:tblHeader w:val="on"/>
        </w:trPr>
        <w:tc>
          <w:tcPr/>
          <w:p>
            <w:pPr>
              <w:pStyle w:val="Compact"/>
              <w:jc w:val="left"/>
            </w:pPr>
            <w:r>
              <w:t xml:space="preserve">Feature</w:t>
            </w:r>
          </w:p>
        </w:tc>
        <w:tc>
          <w:tcPr/>
          <w:p>
            <w:pPr>
              <w:pStyle w:val="Compact"/>
              <w:jc w:val="left"/>
            </w:pPr>
            <w:r>
              <w:t xml:space="preserve">Mechanism</w:t>
            </w:r>
          </w:p>
        </w:tc>
        <w:tc>
          <w:tcPr/>
          <w:p>
            <w:pPr>
              <w:pStyle w:val="Compact"/>
              <w:jc w:val="left"/>
            </w:pPr>
            <w:r>
              <w:t xml:space="preserve">Toxicological Outcome</w:t>
            </w:r>
          </w:p>
        </w:tc>
      </w:tr>
      <w:tr>
        <w:tc>
          <w:tcPr/>
          <w:p>
            <w:pPr>
              <w:pStyle w:val="Compact"/>
              <w:jc w:val="left"/>
            </w:pPr>
            <w:r>
              <w:t xml:space="preserve">Thiophene rings</w:t>
            </w:r>
          </w:p>
        </w:tc>
        <w:tc>
          <w:tcPr/>
          <w:p>
            <w:pPr>
              <w:pStyle w:val="Compact"/>
              <w:jc w:val="left"/>
            </w:pPr>
            <w:r>
              <w:t xml:space="preserve">CYP450-mediated S-oxidation to reactive sulfoxide</w:t>
            </w:r>
          </w:p>
        </w:tc>
        <w:tc>
          <w:tcPr/>
          <w:p>
            <w:pPr>
              <w:pStyle w:val="Compact"/>
              <w:jc w:val="left"/>
            </w:pPr>
            <w:r>
              <w:t xml:space="preserve">Hepatocellular necrosis; immune-mediated injury</w:t>
            </w:r>
          </w:p>
        </w:tc>
      </w:tr>
    </w:tbl>
    <w:bookmarkEnd w:id="103"/>
    <w:bookmarkStart w:id="104" w:name="X9d1a87dbaef534f50173f019746dac43a0ee579"/>
    <w:p>
      <w:pPr>
        <w:pStyle w:val="5"/>
      </w:pPr>
      <w:r>
        <w:t xml:space="preserve">6.1.1.2 Quinone Formation → Oxidative Stress, DNA Adducts</w:t>
      </w:r>
    </w:p>
    <w:tbl>
      <w:tblPr>
        <w:tblStyle w:val="Table"/>
        <w:tblW w:type="pct" w:w="5000"/>
        <w:jc w:val="left"/>
        <w:tblLayout w:type="fixed"/>
        <w:tblLook w:firstRow="1" w:lastRow="0" w:firstColumn="0" w:lastColumn="0" w:noHBand="0" w:noVBand="0" w:val="0020"/>
      </w:tblPr>
      <w:tblGrid>
        <w:gridCol w:w="1697"/>
        <w:gridCol w:w="2074"/>
        <w:gridCol w:w="4148"/>
      </w:tblGrid>
      <w:tr>
        <w:trPr>
          <w:tblHeader w:val="on"/>
        </w:trPr>
        <w:tc>
          <w:tcPr/>
          <w:p>
            <w:pPr>
              <w:pStyle w:val="Compact"/>
              <w:jc w:val="left"/>
            </w:pPr>
            <w:r>
              <w:t xml:space="preserve">Feature</w:t>
            </w:r>
          </w:p>
        </w:tc>
        <w:tc>
          <w:tcPr/>
          <w:p>
            <w:pPr>
              <w:pStyle w:val="Compact"/>
              <w:jc w:val="left"/>
            </w:pPr>
            <w:r>
              <w:t xml:space="preserve">Mechanism</w:t>
            </w:r>
          </w:p>
        </w:tc>
        <w:tc>
          <w:tcPr/>
          <w:p>
            <w:pPr>
              <w:pStyle w:val="Compact"/>
              <w:jc w:val="left"/>
            </w:pPr>
            <w:r>
              <w:t xml:space="preserve">Toxicological Outcome</w:t>
            </w:r>
          </w:p>
        </w:tc>
      </w:tr>
      <w:tr>
        <w:tc>
          <w:tcPr/>
          <w:p>
            <w:pPr>
              <w:pStyle w:val="Compact"/>
              <w:jc w:val="left"/>
            </w:pPr>
            <w:r>
              <w:t xml:space="preserve">Para-substituted phenols</w:t>
            </w:r>
          </w:p>
        </w:tc>
        <w:tc>
          <w:tcPr/>
          <w:p>
            <w:pPr>
              <w:pStyle w:val="Compact"/>
              <w:jc w:val="left"/>
            </w:pPr>
            <w:r>
              <w:t xml:space="preserve">Two-electron oxidation to electrophilic quinone/quinone methide</w:t>
            </w:r>
          </w:p>
        </w:tc>
        <w:tc>
          <w:tcPr/>
          <w:p>
            <w:pPr>
              <w:pStyle w:val="Compact"/>
              <w:jc w:val="left"/>
            </w:pPr>
            <w:r>
              <w:t xml:space="preserve">Oxidative stress; protein/DNA adducts; cell death</w:t>
            </w:r>
          </w:p>
        </w:tc>
      </w:tr>
    </w:tbl>
    <w:bookmarkEnd w:id="104"/>
    <w:bookmarkStart w:id="105" w:name="epoxide-intermediates-genotoxicity"/>
    <w:p>
      <w:pPr>
        <w:pStyle w:val="5"/>
      </w:pPr>
      <w:r>
        <w:t xml:space="preserve">6.1.1.3 Epoxide Intermediates → Genotoxicity</w:t>
      </w:r>
    </w:p>
    <w:tbl>
      <w:tblPr>
        <w:tblStyle w:val="Table"/>
        <w:tblW w:type="pct" w:w="5000"/>
        <w:jc w:val="left"/>
        <w:tblLayout w:type="fixed"/>
        <w:tblLook w:firstRow="1" w:lastRow="0" w:firstColumn="0" w:lastColumn="0" w:noHBand="0" w:noVBand="0" w:val="0020"/>
      </w:tblPr>
      <w:tblGrid>
        <w:gridCol w:w="1697"/>
        <w:gridCol w:w="2074"/>
        <w:gridCol w:w="4148"/>
      </w:tblGrid>
      <w:tr>
        <w:trPr>
          <w:tblHeader w:val="on"/>
        </w:trPr>
        <w:tc>
          <w:tcPr/>
          <w:p>
            <w:pPr>
              <w:pStyle w:val="Compact"/>
              <w:jc w:val="left"/>
            </w:pPr>
            <w:r>
              <w:t xml:space="preserve">Feature</w:t>
            </w:r>
          </w:p>
        </w:tc>
        <w:tc>
          <w:tcPr/>
          <w:p>
            <w:pPr>
              <w:pStyle w:val="Compact"/>
              <w:jc w:val="left"/>
            </w:pPr>
            <w:r>
              <w:t xml:space="preserve">Mechanism</w:t>
            </w:r>
          </w:p>
        </w:tc>
        <w:tc>
          <w:tcPr/>
          <w:p>
            <w:pPr>
              <w:pStyle w:val="Compact"/>
              <w:jc w:val="left"/>
            </w:pPr>
            <w:r>
              <w:t xml:space="preserve">Toxicological Outcome</w:t>
            </w:r>
          </w:p>
        </w:tc>
      </w:tr>
      <w:tr>
        <w:tc>
          <w:tcPr/>
          <w:p>
            <w:pPr>
              <w:pStyle w:val="Compact"/>
              <w:jc w:val="left"/>
            </w:pPr>
            <w:r>
              <w:t xml:space="preserve">Strained alkenes near aromatics</w:t>
            </w:r>
          </w:p>
        </w:tc>
        <w:tc>
          <w:tcPr/>
          <w:p>
            <w:pPr>
              <w:pStyle w:val="Compact"/>
              <w:jc w:val="left"/>
            </w:pPr>
            <w:r>
              <w:t xml:space="preserve">Epoxidation by CYP450</w:t>
            </w:r>
          </w:p>
        </w:tc>
        <w:tc>
          <w:tcPr/>
          <w:p>
            <w:pPr>
              <w:pStyle w:val="Compact"/>
              <w:jc w:val="left"/>
            </w:pPr>
            <w:r>
              <w:t xml:space="preserve">Electrophilic epoxide; DNA alkylation; mutagenesis</w:t>
            </w:r>
          </w:p>
        </w:tc>
      </w:tr>
    </w:tbl>
    <w:bookmarkEnd w:id="105"/>
    <w:bookmarkStart w:id="106" w:name="aniline-oxidation-methemoglobinemia"/>
    <w:p>
      <w:pPr>
        <w:pStyle w:val="5"/>
      </w:pPr>
      <w:r>
        <w:t xml:space="preserve">6.1.1.4 Aniline Oxidation → Methemoglobinemia</w:t>
      </w:r>
    </w:p>
    <w:tbl>
      <w:tblPr>
        <w:tblStyle w:val="Table"/>
        <w:tblW w:type="pct" w:w="5000"/>
        <w:jc w:val="left"/>
        <w:tblLayout w:type="fixed"/>
        <w:tblLook w:firstRow="1" w:lastRow="0" w:firstColumn="0" w:lastColumn="0" w:noHBand="0" w:noVBand="0" w:val="0020"/>
      </w:tblPr>
      <w:tblGrid>
        <w:gridCol w:w="1697"/>
        <w:gridCol w:w="2074"/>
        <w:gridCol w:w="4148"/>
      </w:tblGrid>
      <w:tr>
        <w:trPr>
          <w:tblHeader w:val="on"/>
        </w:trPr>
        <w:tc>
          <w:tcPr/>
          <w:p>
            <w:pPr>
              <w:pStyle w:val="Compact"/>
              <w:jc w:val="left"/>
            </w:pPr>
            <w:r>
              <w:t xml:space="preserve">Feature</w:t>
            </w:r>
          </w:p>
        </w:tc>
        <w:tc>
          <w:tcPr/>
          <w:p>
            <w:pPr>
              <w:pStyle w:val="Compact"/>
              <w:jc w:val="left"/>
            </w:pPr>
            <w:r>
              <w:t xml:space="preserve">Mechanism</w:t>
            </w:r>
          </w:p>
        </w:tc>
        <w:tc>
          <w:tcPr/>
          <w:p>
            <w:pPr>
              <w:pStyle w:val="Compact"/>
              <w:jc w:val="left"/>
            </w:pPr>
            <w:r>
              <w:t xml:space="preserve">Toxicological Outcome</w:t>
            </w:r>
          </w:p>
        </w:tc>
      </w:tr>
      <w:tr>
        <w:tc>
          <w:tcPr/>
          <w:p>
            <w:pPr>
              <w:pStyle w:val="Compact"/>
              <w:jc w:val="left"/>
            </w:pPr>
            <w:r>
              <w:t xml:space="preserve">Aromatic amines</w:t>
            </w:r>
          </w:p>
        </w:tc>
        <w:tc>
          <w:tcPr/>
          <w:p>
            <w:pPr>
              <w:pStyle w:val="Compact"/>
              <w:jc w:val="left"/>
            </w:pPr>
            <w:r>
              <w:t xml:space="preserve">N-oxidation to hydroxylamine/nitroso intermediates</w:t>
            </w:r>
          </w:p>
        </w:tc>
        <w:tc>
          <w:tcPr/>
          <w:p>
            <w:pPr>
              <w:pStyle w:val="Compact"/>
              <w:jc w:val="left"/>
            </w:pPr>
            <w:r>
              <w:t xml:space="preserve">Methemoglobinemia; hepatotoxicity; carcinogenicity</w:t>
            </w:r>
          </w:p>
        </w:tc>
      </w:tr>
    </w:tbl>
    <w:bookmarkEnd w:id="106"/>
    <w:bookmarkStart w:id="107" w:name="acyl-glucuronide-protein-adducts"/>
    <w:p>
      <w:pPr>
        <w:pStyle w:val="5"/>
      </w:pPr>
      <w:r>
        <w:t xml:space="preserve">6.1.1.5 Acyl Glucuronide → Protein Adducts</w:t>
      </w:r>
    </w:p>
    <w:tbl>
      <w:tblPr>
        <w:tblStyle w:val="Table"/>
        <w:tblW w:type="pct" w:w="5000"/>
        <w:jc w:val="left"/>
        <w:tblLayout w:type="fixed"/>
        <w:tblLook w:firstRow="1" w:lastRow="0" w:firstColumn="0" w:lastColumn="0" w:noHBand="0" w:noVBand="0" w:val="0020"/>
      </w:tblPr>
      <w:tblGrid>
        <w:gridCol w:w="1697"/>
        <w:gridCol w:w="2074"/>
        <w:gridCol w:w="4148"/>
      </w:tblGrid>
      <w:tr>
        <w:trPr>
          <w:tblHeader w:val="on"/>
        </w:trPr>
        <w:tc>
          <w:tcPr/>
          <w:p>
            <w:pPr>
              <w:pStyle w:val="Compact"/>
              <w:jc w:val="left"/>
            </w:pPr>
            <w:r>
              <w:t xml:space="preserve">Feature</w:t>
            </w:r>
          </w:p>
        </w:tc>
        <w:tc>
          <w:tcPr/>
          <w:p>
            <w:pPr>
              <w:pStyle w:val="Compact"/>
              <w:jc w:val="left"/>
            </w:pPr>
            <w:r>
              <w:t xml:space="preserve">Mechanism</w:t>
            </w:r>
          </w:p>
        </w:tc>
        <w:tc>
          <w:tcPr/>
          <w:p>
            <w:pPr>
              <w:pStyle w:val="Compact"/>
              <w:jc w:val="left"/>
            </w:pPr>
            <w:r>
              <w:t xml:space="preserve">Toxicological Outcome</w:t>
            </w:r>
          </w:p>
        </w:tc>
      </w:tr>
      <w:tr>
        <w:tc>
          <w:tcPr/>
          <w:p>
            <w:pPr>
              <w:pStyle w:val="Compact"/>
              <w:jc w:val="left"/>
            </w:pPr>
            <w:r>
              <w:t xml:space="preserve">Carboxylic acids</w:t>
            </w:r>
          </w:p>
        </w:tc>
        <w:tc>
          <w:tcPr/>
          <w:p>
            <w:pPr>
              <w:pStyle w:val="Compact"/>
              <w:jc w:val="left"/>
            </w:pPr>
            <w:r>
              <w:t xml:space="preserve">UDP-glucuronosyltransferase conjugation to reactive acyl glucuronide</w:t>
            </w:r>
          </w:p>
        </w:tc>
        <w:tc>
          <w:tcPr/>
          <w:p>
            <w:pPr>
              <w:pStyle w:val="Compact"/>
              <w:jc w:val="left"/>
            </w:pPr>
            <w:r>
              <w:t xml:space="preserve">Protein adducts; immune-mediated hepatotoxicity</w:t>
            </w:r>
          </w:p>
        </w:tc>
      </w:tr>
    </w:tbl>
    <w:bookmarkEnd w:id="107"/>
    <w:bookmarkStart w:id="108" w:name="nitro-reduction-mutagenicity"/>
    <w:p>
      <w:pPr>
        <w:pStyle w:val="5"/>
      </w:pPr>
      <w:r>
        <w:t xml:space="preserve">6.1.1.6 Nitro Reduction → Mutagenicity</w:t>
      </w:r>
    </w:p>
    <w:tbl>
      <w:tblPr>
        <w:tblStyle w:val="Table"/>
        <w:tblW w:type="pct" w:w="5000"/>
        <w:jc w:val="left"/>
        <w:tblLayout w:type="fixed"/>
        <w:tblLook w:firstRow="1" w:lastRow="0" w:firstColumn="0" w:lastColumn="0" w:noHBand="0" w:noVBand="0" w:val="0020"/>
      </w:tblPr>
      <w:tblGrid>
        <w:gridCol w:w="1697"/>
        <w:gridCol w:w="2074"/>
        <w:gridCol w:w="4148"/>
      </w:tblGrid>
      <w:tr>
        <w:trPr>
          <w:tblHeader w:val="on"/>
        </w:trPr>
        <w:tc>
          <w:tcPr/>
          <w:p>
            <w:pPr>
              <w:pStyle w:val="Compact"/>
              <w:jc w:val="left"/>
            </w:pPr>
            <w:r>
              <w:t xml:space="preserve">Feature</w:t>
            </w:r>
          </w:p>
        </w:tc>
        <w:tc>
          <w:tcPr/>
          <w:p>
            <w:pPr>
              <w:pStyle w:val="Compact"/>
              <w:jc w:val="left"/>
            </w:pPr>
            <w:r>
              <w:t xml:space="preserve">Mechanism</w:t>
            </w:r>
          </w:p>
        </w:tc>
        <w:tc>
          <w:tcPr/>
          <w:p>
            <w:pPr>
              <w:pStyle w:val="Compact"/>
              <w:jc w:val="left"/>
            </w:pPr>
            <w:r>
              <w:t xml:space="preserve">Toxicological Outcome</w:t>
            </w:r>
          </w:p>
        </w:tc>
      </w:tr>
      <w:tr>
        <w:tc>
          <w:tcPr/>
          <w:p>
            <w:pPr>
              <w:pStyle w:val="Compact"/>
              <w:jc w:val="left"/>
            </w:pPr>
            <w:r>
              <w:t xml:space="preserve">Aromatic nitro groups</w:t>
            </w:r>
          </w:p>
        </w:tc>
        <w:tc>
          <w:tcPr/>
          <w:p>
            <w:pPr>
              <w:pStyle w:val="Compact"/>
              <w:jc w:val="left"/>
            </w:pPr>
            <w:r>
              <w:t xml:space="preserve">Nitroreductase-mediated reduction to nitroso/hydroxylamine</w:t>
            </w:r>
          </w:p>
        </w:tc>
        <w:tc>
          <w:tcPr/>
          <w:p>
            <w:pPr>
              <w:pStyle w:val="Compact"/>
              <w:jc w:val="left"/>
            </w:pPr>
            <w:r>
              <w:t xml:space="preserve">Mutagenicity; carcinogenicity; hematotoxicity</w:t>
            </w:r>
          </w:p>
        </w:tc>
      </w:tr>
    </w:tbl>
    <w:bookmarkEnd w:id="108"/>
    <w:bookmarkEnd w:id="109"/>
    <w:bookmarkStart w:id="110" w:name="adverse-outcome-pathway-aop-linkage"/>
    <w:p>
      <w:pPr>
        <w:pStyle w:val="4"/>
      </w:pPr>
      <w:r>
        <w:t xml:space="preserve">6.1.2 Adverse Outcome Pathway (AOP) Linkage</w:t>
      </w:r>
    </w:p>
    <w:p>
      <w:pPr>
        <w:pStyle w:val="FirstParagraph"/>
      </w:pPr>
      <w:r>
        <w:t xml:space="preserve">Each alert links to</w:t>
      </w:r>
      <w:r>
        <w:t xml:space="preserve"> </w:t>
      </w:r>
      <w:r>
        <w:rPr>
          <w:b/>
          <w:bCs/>
        </w:rPr>
        <w:t xml:space="preserve">structured causal pathways</w:t>
      </w:r>
      <w:r>
        <w:t xml:space="preserve">: Molecular Initiating Event → Key Events → Adverse Outcome, supporting mechanistic risk assessment and regulatory communication.</w:t>
      </w:r>
    </w:p>
    <w:bookmarkEnd w:id="110"/>
    <w:bookmarkStart w:id="111" w:name="ich-reference-guideline-mapping"/>
    <w:p>
      <w:pPr>
        <w:pStyle w:val="4"/>
      </w:pPr>
      <w:r>
        <w:t xml:space="preserve">6.1.3 ICH Reference Guideline Mapping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Alert Category</w:t>
            </w:r>
          </w:p>
        </w:tc>
        <w:tc>
          <w:tcPr/>
          <w:p>
            <w:pPr>
              <w:pStyle w:val="Compact"/>
              <w:jc w:val="left"/>
            </w:pPr>
            <w:r>
              <w:t xml:space="preserve">ICH Reference</w:t>
            </w:r>
          </w:p>
        </w:tc>
      </w:tr>
      <w:tr>
        <w:tc>
          <w:tcPr/>
          <w:p>
            <w:pPr>
              <w:pStyle w:val="Compact"/>
              <w:jc w:val="left"/>
            </w:pPr>
            <w:r>
              <w:t xml:space="preserve">Genotoxicity alerts</w:t>
            </w:r>
          </w:p>
        </w:tc>
        <w:tc>
          <w:tcPr/>
          <w:p>
            <w:pPr>
              <w:pStyle w:val="Compact"/>
              <w:jc w:val="left"/>
            </w:pPr>
            <w:r>
              <w:t xml:space="preserve">ICH S2(R1)</w:t>
            </w:r>
          </w:p>
        </w:tc>
      </w:tr>
      <w:tr>
        <w:tc>
          <w:tcPr/>
          <w:p>
            <w:pPr>
              <w:pStyle w:val="Compact"/>
              <w:jc w:val="left"/>
            </w:pPr>
            <w:r>
              <w:t xml:space="preserve">Hepatotoxicity alerts</w:t>
            </w:r>
          </w:p>
        </w:tc>
        <w:tc>
          <w:tcPr/>
          <w:p>
            <w:pPr>
              <w:pStyle w:val="Compact"/>
              <w:jc w:val="left"/>
            </w:pPr>
            <w:r>
              <w:t xml:space="preserve">ICH M3(R2)</w:t>
            </w:r>
          </w:p>
        </w:tc>
      </w:tr>
      <w:tr>
        <w:tc>
          <w:tcPr/>
          <w:p>
            <w:pPr>
              <w:pStyle w:val="Compact"/>
              <w:jc w:val="left"/>
            </w:pPr>
            <w:r>
              <w:t xml:space="preserve">Cardiac safety</w:t>
            </w:r>
          </w:p>
        </w:tc>
        <w:tc>
          <w:tcPr/>
          <w:p>
            <w:pPr>
              <w:pStyle w:val="Compact"/>
              <w:jc w:val="left"/>
            </w:pPr>
            <w:r>
              <w:t xml:space="preserve">ICH S7B</w:t>
            </w:r>
          </w:p>
        </w:tc>
      </w:tr>
      <w:tr>
        <w:tc>
          <w:tcPr/>
          <w:p>
            <w:pPr>
              <w:pStyle w:val="Compact"/>
              <w:jc w:val="left"/>
            </w:pPr>
            <w:r>
              <w:t xml:space="preserve">CNS safety pharmacology</w:t>
            </w:r>
          </w:p>
        </w:tc>
        <w:tc>
          <w:tcPr/>
          <w:p>
            <w:pPr>
              <w:pStyle w:val="Compact"/>
              <w:jc w:val="left"/>
            </w:pPr>
            <w:r>
              <w:t xml:space="preserve">ICH S7A</w:t>
            </w:r>
          </w:p>
        </w:tc>
      </w:tr>
    </w:tbl>
    <w:bookmarkEnd w:id="111"/>
    <w:bookmarkEnd w:id="112"/>
    <w:bookmarkStart w:id="125" w:name="X34915aeab70f7963254bcf136d28de7412857e9"/>
    <w:p>
      <w:pPr>
        <w:pStyle w:val="3"/>
      </w:pPr>
      <w:r>
        <w:t xml:space="preserve">6.2 Toxicity Alerts &amp; Organ Risk Scoring (Step 10)</w:t>
      </w:r>
    </w:p>
    <w:bookmarkStart w:id="117" w:name="regulatory-aligned-alert-triggers"/>
    <w:p>
      <w:pPr>
        <w:pStyle w:val="4"/>
      </w:pPr>
      <w:r>
        <w:t xml:space="preserve">6.2.1 Regulatory-Aligned Alert Triggers</w:t>
      </w:r>
    </w:p>
    <w:bookmarkStart w:id="113" w:name="herg-cardiac-ic50-10-µm-ich-s7b"/>
    <w:p>
      <w:pPr>
        <w:pStyle w:val="5"/>
      </w:pPr>
      <w:r>
        <w:t xml:space="preserve">6.2.1.1 hERG Cardiac: IC50 &lt;10 µM (ICH S7B)</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Trigger</w:t>
            </w:r>
          </w:p>
        </w:tc>
        <w:tc>
          <w:tcPr/>
          <w:p>
            <w:pPr>
              <w:pStyle w:val="Compact"/>
              <w:jc w:val="left"/>
            </w:pPr>
            <w:r>
              <w:t xml:space="preserve">Action</w:t>
            </w:r>
          </w:p>
        </w:tc>
      </w:tr>
      <w:tr>
        <w:tc>
          <w:tcPr/>
          <w:p>
            <w:pPr>
              <w:pStyle w:val="Compact"/>
              <w:jc w:val="left"/>
            </w:pPr>
            <w:r>
              <w:t xml:space="preserve">Predicted hERG IC50 &lt; 10 µM</w:t>
            </w:r>
          </w:p>
        </w:tc>
        <w:tc>
          <w:tcPr/>
          <w:p>
            <w:pPr>
              <w:pStyle w:val="Compact"/>
              <w:jc w:val="left"/>
            </w:pPr>
            <w:r>
              <w:rPr>
                <w:b/>
                <w:bCs/>
              </w:rPr>
              <w:t xml:space="preserve">Critical/Major flag</w:t>
            </w:r>
            <w:r>
              <w:t xml:space="preserve">; QT prolongation risk; torsades de pointes potential</w:t>
            </w:r>
          </w:p>
        </w:tc>
      </w:tr>
    </w:tbl>
    <w:bookmarkEnd w:id="113"/>
    <w:bookmarkStart w:id="114" w:name="Xe34e776163574be38eba512140b1c6418464ece"/>
    <w:p>
      <w:pPr>
        <w:pStyle w:val="5"/>
      </w:pPr>
      <w:r>
        <w:t xml:space="preserve">6.2.1.2 Hepatotoxicity: Alerts + LogP &gt;3 + MW &gt;400 (ICH M3(R2))</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Trigger</w:t>
            </w:r>
          </w:p>
        </w:tc>
        <w:tc>
          <w:tcPr/>
          <w:p>
            <w:pPr>
              <w:pStyle w:val="Compact"/>
              <w:jc w:val="left"/>
            </w:pPr>
            <w:r>
              <w:t xml:space="preserve">Action</w:t>
            </w:r>
          </w:p>
        </w:tc>
      </w:tr>
      <w:tr>
        <w:tc>
          <w:tcPr/>
          <w:p>
            <w:pPr>
              <w:pStyle w:val="Compact"/>
              <w:jc w:val="left"/>
            </w:pPr>
            <w:r>
              <w:t xml:space="preserve">Structural alert &gt;70% confidence + unfavorable properties</w:t>
            </w:r>
          </w:p>
        </w:tc>
        <w:tc>
          <w:tcPr/>
          <w:p>
            <w:pPr>
              <w:pStyle w:val="Compact"/>
              <w:jc w:val="left"/>
            </w:pPr>
            <w:r>
              <w:rPr>
                <w:b/>
                <w:bCs/>
              </w:rPr>
              <w:t xml:space="preserve">Critical/Major flag</w:t>
            </w:r>
            <w:r>
              <w:t xml:space="preserve">; enhanced monitoring; potential study modification</w:t>
            </w:r>
          </w:p>
        </w:tc>
      </w:tr>
    </w:tbl>
    <w:bookmarkEnd w:id="114"/>
    <w:bookmarkStart w:id="115" w:name="Xd141e8c73e6c568818cde956e3eed56311d3499"/>
    <w:p>
      <w:pPr>
        <w:pStyle w:val="5"/>
      </w:pPr>
      <w:r>
        <w:t xml:space="preserve">6.2.1.3 Genotoxicity (Ames): Nitro, Epoxides, Alkylators (ICH S2(R1))</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Trigger</w:t>
            </w:r>
          </w:p>
        </w:tc>
        <w:tc>
          <w:tcPr/>
          <w:p>
            <w:pPr>
              <w:pStyle w:val="Compact"/>
              <w:jc w:val="left"/>
            </w:pPr>
            <w:r>
              <w:t xml:space="preserve">Action</w:t>
            </w:r>
          </w:p>
        </w:tc>
      </w:tr>
      <w:tr>
        <w:tc>
          <w:tcPr/>
          <w:p>
            <w:pPr>
              <w:pStyle w:val="Compact"/>
              <w:jc w:val="left"/>
            </w:pPr>
            <w:r>
              <w:t xml:space="preserve">Nitro, epoxide, or alkylating group detection</w:t>
            </w:r>
          </w:p>
        </w:tc>
        <w:tc>
          <w:tcPr/>
          <w:p>
            <w:pPr>
              <w:pStyle w:val="Compact"/>
              <w:jc w:val="left"/>
            </w:pPr>
            <w:r>
              <w:t xml:space="preserve">Genotoxicity alert; Ames testing priority; carcinogenicity assessment</w:t>
            </w:r>
          </w:p>
        </w:tc>
      </w:tr>
    </w:tbl>
    <w:bookmarkEnd w:id="115"/>
    <w:bookmarkStart w:id="116" w:name="X2741beec2d0cd7b26eafab90cf40ec9be9bcb77"/>
    <w:p>
      <w:pPr>
        <w:pStyle w:val="5"/>
      </w:pPr>
      <w:r>
        <w:t xml:space="preserve">6.2.1.4 CNS Penetration: BBB Permeability Risk (ICH S7A)</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Trigger</w:t>
            </w:r>
          </w:p>
        </w:tc>
        <w:tc>
          <w:tcPr/>
          <w:p>
            <w:pPr>
              <w:pStyle w:val="Compact"/>
              <w:jc w:val="left"/>
            </w:pPr>
            <w:r>
              <w:t xml:space="preserve">Action</w:t>
            </w:r>
          </w:p>
        </w:tc>
      </w:tr>
      <w:tr>
        <w:tc>
          <w:tcPr/>
          <w:p>
            <w:pPr>
              <w:pStyle w:val="Compact"/>
              <w:jc w:val="left"/>
            </w:pPr>
            <w:r>
              <w:t xml:space="preserve">TPSA &lt; 90 + MW &lt; 450 + LogP &gt; 0.5</w:t>
            </w:r>
          </w:p>
        </w:tc>
        <w:tc>
          <w:tcPr/>
          <w:p>
            <w:pPr>
              <w:pStyle w:val="Compact"/>
              <w:jc w:val="left"/>
            </w:pPr>
            <w:r>
              <w:t xml:space="preserve">CNS penetration alert; off-target neuropharmacology risk for non-CNS indications</w:t>
            </w:r>
          </w:p>
        </w:tc>
      </w:tr>
    </w:tbl>
    <w:bookmarkEnd w:id="116"/>
    <w:bookmarkEnd w:id="117"/>
    <w:bookmarkStart w:id="123" w:name="five-organ-risk-quantification-01-scale"/>
    <w:p>
      <w:pPr>
        <w:pStyle w:val="4"/>
      </w:pPr>
      <w:r>
        <w:t xml:space="preserve">6.2.2 Five-Organ Risk Quantification (0–1 Scale)</w:t>
      </w:r>
    </w:p>
    <w:bookmarkStart w:id="118" w:name="X0e9122e292aeacb90f4d1ff66fdecf26c2fef2e"/>
    <w:p>
      <w:pPr>
        <w:pStyle w:val="5"/>
      </w:pPr>
      <w:r>
        <w:t xml:space="preserve">6.2.2.1 Liver: Hepatotoxicity Alerts, CYP Inhibition, Reactive Metabolites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Drivers</w:t>
            </w:r>
          </w:p>
        </w:tc>
        <w:tc>
          <w:tcPr/>
          <w:p>
            <w:pPr>
              <w:pStyle w:val="Compact"/>
              <w:jc w:val="left"/>
            </w:pPr>
            <w:r>
              <w:t xml:space="preserve">Weighting</w:t>
            </w:r>
          </w:p>
        </w:tc>
      </w:tr>
      <w:tr>
        <w:tc>
          <w:tcPr/>
          <w:p>
            <w:pPr>
              <w:pStyle w:val="Compact"/>
              <w:jc w:val="left"/>
            </w:pPr>
            <w:r>
              <w:t xml:space="preserve">Hepatotoxicity structural alerts</w:t>
            </w:r>
          </w:p>
        </w:tc>
        <w:tc>
          <w:tcPr/>
          <w:p>
            <w:pPr>
              <w:pStyle w:val="Compact"/>
              <w:jc w:val="left"/>
            </w:pPr>
            <w:r>
              <w:t xml:space="preserve">Primary</w:t>
            </w:r>
          </w:p>
        </w:tc>
      </w:tr>
      <w:tr>
        <w:tc>
          <w:tcPr/>
          <w:p>
            <w:pPr>
              <w:pStyle w:val="Compact"/>
              <w:jc w:val="left"/>
            </w:pPr>
            <w:r>
              <w:t xml:space="preserve">Predicted CYP3A4 inhibition</w:t>
            </w:r>
          </w:p>
        </w:tc>
        <w:tc>
          <w:tcPr/>
          <w:p>
            <w:pPr>
              <w:pStyle w:val="Compact"/>
              <w:jc w:val="left"/>
            </w:pPr>
            <w:r>
              <w:t xml:space="preserve">Secondary</w:t>
            </w:r>
          </w:p>
        </w:tc>
      </w:tr>
      <w:tr>
        <w:tc>
          <w:tcPr/>
          <w:p>
            <w:pPr>
              <w:pStyle w:val="Compact"/>
              <w:jc w:val="left"/>
            </w:pPr>
            <w:r>
              <w:t xml:space="preserve">Reactive metabolite formation potential</w:t>
            </w:r>
          </w:p>
        </w:tc>
        <w:tc>
          <w:tcPr/>
          <w:p>
            <w:pPr>
              <w:pStyle w:val="Compact"/>
              <w:jc w:val="left"/>
            </w:pPr>
            <w:r>
              <w:t xml:space="preserve">Primary</w:t>
            </w:r>
          </w:p>
        </w:tc>
      </w:tr>
    </w:tbl>
    <w:bookmarkEnd w:id="118"/>
    <w:bookmarkStart w:id="119" w:name="heart-herg-risk-qt-prolongation"/>
    <w:p>
      <w:pPr>
        <w:pStyle w:val="5"/>
      </w:pPr>
      <w:r>
        <w:t xml:space="preserve">6.2.2.2 Heart: hERG Risk, QT Prolongation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Drivers</w:t>
            </w:r>
          </w:p>
        </w:tc>
        <w:tc>
          <w:tcPr/>
          <w:p>
            <w:pPr>
              <w:pStyle w:val="Compact"/>
              <w:jc w:val="left"/>
            </w:pPr>
            <w:r>
              <w:t xml:space="preserve">Weighting</w:t>
            </w:r>
          </w:p>
        </w:tc>
      </w:tr>
      <w:tr>
        <w:tc>
          <w:tcPr/>
          <w:p>
            <w:pPr>
              <w:pStyle w:val="Compact"/>
              <w:jc w:val="left"/>
            </w:pPr>
            <w:r>
              <w:t xml:space="preserve">hERG IC50 prediction</w:t>
            </w:r>
          </w:p>
        </w:tc>
        <w:tc>
          <w:tcPr/>
          <w:p>
            <w:pPr>
              <w:pStyle w:val="Compact"/>
              <w:jc w:val="left"/>
            </w:pPr>
            <w:r>
              <w:t xml:space="preserve">Primary</w:t>
            </w:r>
          </w:p>
        </w:tc>
      </w:tr>
      <w:tr>
        <w:tc>
          <w:tcPr/>
          <w:p>
            <w:pPr>
              <w:pStyle w:val="Compact"/>
              <w:jc w:val="left"/>
            </w:pPr>
            <w:r>
              <w:t xml:space="preserve">QT prolongation structural alerts</w:t>
            </w:r>
          </w:p>
        </w:tc>
        <w:tc>
          <w:tcPr/>
          <w:p>
            <w:pPr>
              <w:pStyle w:val="Compact"/>
              <w:jc w:val="left"/>
            </w:pPr>
            <w:r>
              <w:t xml:space="preserve">Secondary</w:t>
            </w:r>
          </w:p>
        </w:tc>
      </w:tr>
    </w:tbl>
    <w:bookmarkEnd w:id="119"/>
    <w:bookmarkStart w:id="120" w:name="kidney-high-logp-renal-clearance-issues"/>
    <w:p>
      <w:pPr>
        <w:pStyle w:val="5"/>
      </w:pPr>
      <w:r>
        <w:t xml:space="preserve">6.2.2.3 Kidney: High LogP, Renal Clearance Issues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Drivers</w:t>
            </w:r>
          </w:p>
        </w:tc>
        <w:tc>
          <w:tcPr/>
          <w:p>
            <w:pPr>
              <w:pStyle w:val="Compact"/>
              <w:jc w:val="left"/>
            </w:pPr>
            <w:r>
              <w:t xml:space="preserve">Weighting</w:t>
            </w:r>
          </w:p>
        </w:tc>
      </w:tr>
      <w:tr>
        <w:tc>
          <w:tcPr/>
          <w:p>
            <w:pPr>
              <w:pStyle w:val="Compact"/>
              <w:jc w:val="left"/>
            </w:pPr>
            <w:r>
              <w:t xml:space="preserve">Extreme LogP (&gt;5)</w:t>
            </w:r>
          </w:p>
        </w:tc>
        <w:tc>
          <w:tcPr/>
          <w:p>
            <w:pPr>
              <w:pStyle w:val="Compact"/>
              <w:jc w:val="left"/>
            </w:pPr>
            <w:r>
              <w:t xml:space="preserve">Primary</w:t>
            </w:r>
          </w:p>
        </w:tc>
      </w:tr>
      <w:tr>
        <w:tc>
          <w:tcPr/>
          <w:p>
            <w:pPr>
              <w:pStyle w:val="Compact"/>
              <w:jc w:val="left"/>
            </w:pPr>
            <w:r>
              <w:t xml:space="preserve">Crystallization risk (low solubility, high dose)</w:t>
            </w:r>
          </w:p>
        </w:tc>
        <w:tc>
          <w:tcPr/>
          <w:p>
            <w:pPr>
              <w:pStyle w:val="Compact"/>
              <w:jc w:val="left"/>
            </w:pPr>
            <w:r>
              <w:t xml:space="preserve">Secondary</w:t>
            </w:r>
          </w:p>
        </w:tc>
      </w:tr>
    </w:tbl>
    <w:bookmarkEnd w:id="120"/>
    <w:bookmarkStart w:id="121" w:name="X55064f23cfbb6d8848c4b5b4d03ac2227568096"/>
    <w:p>
      <w:pPr>
        <w:pStyle w:val="5"/>
      </w:pPr>
      <w:r>
        <w:t xml:space="preserve">6.2.2.4 CNS: BBB Permeability, Off-Target Neuro Activity</w:t>
      </w:r>
    </w:p>
    <w:tbl>
      <w:tblPr>
        <w:tblStyle w:val="Table"/>
        <w:tblW w:type="pct" w:w="5000"/>
        <w:jc w:val="left"/>
        <w:tblLayout w:type="fixed"/>
        <w:tblLook w:firstRow="1" w:lastRow="0" w:firstColumn="0" w:lastColumn="0" w:noHBand="0" w:noVBand="0" w:val="0020"/>
      </w:tblPr>
      <w:tblGrid>
        <w:gridCol w:w="4290"/>
        <w:gridCol w:w="3630"/>
      </w:tblGrid>
      <w:tr>
        <w:trPr>
          <w:tblHeader w:val="on"/>
        </w:trPr>
        <w:tc>
          <w:tcPr/>
          <w:p>
            <w:pPr>
              <w:pStyle w:val="Compact"/>
              <w:jc w:val="left"/>
            </w:pPr>
            <w:r>
              <w:t xml:space="preserve">Risk Drivers</w:t>
            </w:r>
          </w:p>
        </w:tc>
        <w:tc>
          <w:tcPr/>
          <w:p>
            <w:pPr>
              <w:pStyle w:val="Compact"/>
              <w:jc w:val="left"/>
            </w:pPr>
            <w:r>
              <w:t xml:space="preserve">Weighting</w:t>
            </w:r>
          </w:p>
        </w:tc>
      </w:tr>
      <w:tr>
        <w:tc>
          <w:tcPr/>
          <w:p>
            <w:pPr>
              <w:pStyle w:val="Compact"/>
              <w:jc w:val="left"/>
            </w:pPr>
            <w:r>
              <w:t xml:space="preserve">BBB permeability prediction</w:t>
            </w:r>
          </w:p>
        </w:tc>
        <w:tc>
          <w:tcPr/>
          <w:p>
            <w:pPr>
              <w:pStyle w:val="Compact"/>
              <w:jc w:val="left"/>
            </w:pPr>
            <w:r>
              <w:t xml:space="preserve">Primary</w:t>
            </w:r>
          </w:p>
        </w:tc>
      </w:tr>
      <w:tr>
        <w:tc>
          <w:tcPr/>
          <w:p>
            <w:pPr>
              <w:pStyle w:val="Compact"/>
              <w:jc w:val="left"/>
            </w:pPr>
            <w:r>
              <w:t xml:space="preserve">GPCR promiscuity (basic amine count, similarity to known CNS drugs)</w:t>
            </w:r>
          </w:p>
        </w:tc>
        <w:tc>
          <w:tcPr/>
          <w:p>
            <w:pPr>
              <w:pStyle w:val="Compact"/>
              <w:jc w:val="left"/>
            </w:pPr>
            <w:r>
              <w:t xml:space="preserve">Secondary</w:t>
            </w:r>
          </w:p>
        </w:tc>
      </w:tr>
    </w:tbl>
    <w:bookmarkEnd w:id="121"/>
    <w:bookmarkStart w:id="122" w:name="Xa67906d2827d59be4bdd0a93643c2013b22af49"/>
    <w:p>
      <w:pPr>
        <w:pStyle w:val="5"/>
      </w:pPr>
      <w:r>
        <w:t xml:space="preserve">6.2.2.5 GI Tract: Low Absorption, Enteric Irritation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Drivers</w:t>
            </w:r>
          </w:p>
        </w:tc>
        <w:tc>
          <w:tcPr/>
          <w:p>
            <w:pPr>
              <w:pStyle w:val="Compact"/>
              <w:jc w:val="left"/>
            </w:pPr>
            <w:r>
              <w:t xml:space="preserve">Weighting</w:t>
            </w:r>
          </w:p>
        </w:tc>
      </w:tr>
      <w:tr>
        <w:tc>
          <w:tcPr/>
          <w:p>
            <w:pPr>
              <w:pStyle w:val="Compact"/>
              <w:jc w:val="left"/>
            </w:pPr>
            <w:r>
              <w:t xml:space="preserve">Absorption score inverse</w:t>
            </w:r>
          </w:p>
        </w:tc>
        <w:tc>
          <w:tcPr/>
          <w:p>
            <w:pPr>
              <w:pStyle w:val="Compact"/>
              <w:jc w:val="left"/>
            </w:pPr>
            <w:r>
              <w:t xml:space="preserve">Primary</w:t>
            </w:r>
          </w:p>
        </w:tc>
      </w:tr>
      <w:tr>
        <w:tc>
          <w:tcPr/>
          <w:p>
            <w:pPr>
              <w:pStyle w:val="Compact"/>
              <w:jc w:val="left"/>
            </w:pPr>
            <w:r>
              <w:t xml:space="preserve">Acid stability (ester, lactam lability)</w:t>
            </w:r>
          </w:p>
        </w:tc>
        <w:tc>
          <w:tcPr/>
          <w:p>
            <w:pPr>
              <w:pStyle w:val="Compact"/>
              <w:jc w:val="left"/>
            </w:pPr>
            <w:r>
              <w:t xml:space="preserve">Secondary</w:t>
            </w:r>
          </w:p>
        </w:tc>
      </w:tr>
    </w:tbl>
    <w:bookmarkEnd w:id="122"/>
    <w:bookmarkEnd w:id="123"/>
    <w:bookmarkStart w:id="124" w:name="Xb33224c83aa32feb52be2b273d12d00d0096b9b"/>
    <w:p>
      <w:pPr>
        <w:pStyle w:val="4"/>
      </w:pPr>
      <w:r>
        <w:t xml:space="preserve">6.2.3 Color-Coded Risk Visualization: Green &lt;15%, Yellow 15–30%, Red &gt;30%</w:t>
      </w:r>
    </w:p>
    <w:tbl>
      <w:tblPr>
        <w:tblStyle w:val="Table"/>
        <w:tblW w:type="pct" w:w="5000"/>
        <w:jc w:val="left"/>
        <w:tblLayout w:type="fixed"/>
        <w:tblLook w:firstRow="1" w:lastRow="0" w:firstColumn="0" w:lastColumn="0" w:noHBand="0" w:noVBand="0" w:val="0020"/>
      </w:tblPr>
      <w:tblGrid>
        <w:gridCol w:w="1680"/>
        <w:gridCol w:w="2640"/>
        <w:gridCol w:w="3600"/>
      </w:tblGrid>
      <w:tr>
        <w:trPr>
          <w:tblHeader w:val="on"/>
        </w:trPr>
        <w:tc>
          <w:tcPr/>
          <w:p>
            <w:pPr>
              <w:pStyle w:val="Compact"/>
              <w:jc w:val="left"/>
            </w:pPr>
            <w:r>
              <w:t xml:space="preserve">Color</w:t>
            </w:r>
          </w:p>
        </w:tc>
        <w:tc>
          <w:tcPr/>
          <w:p>
            <w:pPr>
              <w:pStyle w:val="Compact"/>
              <w:jc w:val="left"/>
            </w:pPr>
            <w:r>
              <w:t xml:space="preserve">Risk Range</w:t>
            </w:r>
          </w:p>
        </w:tc>
        <w:tc>
          <w:tcPr/>
          <w:p>
            <w:pPr>
              <w:pStyle w:val="Compact"/>
              <w:jc w:val="left"/>
            </w:pPr>
            <w:r>
              <w:t xml:space="preserve">Interpretation</w:t>
            </w:r>
          </w:p>
        </w:tc>
      </w:tr>
      <w:tr>
        <w:tc>
          <w:tcPr/>
          <w:p>
            <w:pPr>
              <w:pStyle w:val="Compact"/>
              <w:jc w:val="left"/>
            </w:pPr>
            <w:r>
              <w:rPr>
                <w:b/>
                <w:bCs/>
              </w:rPr>
              <w:t xml:space="preserve">Green</w:t>
            </w:r>
          </w:p>
        </w:tc>
        <w:tc>
          <w:tcPr/>
          <w:p>
            <w:pPr>
              <w:pStyle w:val="Compact"/>
              <w:jc w:val="left"/>
            </w:pPr>
            <w:r>
              <w:t xml:space="preserve">&lt; 15%</w:t>
            </w:r>
          </w:p>
        </w:tc>
        <w:tc>
          <w:tcPr/>
          <w:p>
            <w:pPr>
              <w:pStyle w:val="Compact"/>
              <w:jc w:val="left"/>
            </w:pPr>
            <w:r>
              <w:t xml:space="preserve">Generally acceptable; routine monitoring</w:t>
            </w:r>
          </w:p>
        </w:tc>
      </w:tr>
      <w:tr>
        <w:tc>
          <w:tcPr/>
          <w:p>
            <w:pPr>
              <w:pStyle w:val="Compact"/>
              <w:jc w:val="left"/>
            </w:pPr>
            <w:r>
              <w:rPr>
                <w:b/>
                <w:bCs/>
              </w:rPr>
              <w:t xml:space="preserve">Yellow</w:t>
            </w:r>
          </w:p>
        </w:tc>
        <w:tc>
          <w:tcPr/>
          <w:p>
            <w:pPr>
              <w:pStyle w:val="Compact"/>
              <w:jc w:val="left"/>
            </w:pPr>
            <w:r>
              <w:t xml:space="preserve">15–30%</w:t>
            </w:r>
          </w:p>
        </w:tc>
        <w:tc>
          <w:tcPr/>
          <w:p>
            <w:pPr>
              <w:pStyle w:val="Compact"/>
              <w:jc w:val="left"/>
            </w:pPr>
            <w:r>
              <w:t xml:space="preserve">Elevated concern; enhanced monitoring; mitigation consideration</w:t>
            </w:r>
          </w:p>
        </w:tc>
      </w:tr>
      <w:tr>
        <w:tc>
          <w:tcPr/>
          <w:p>
            <w:pPr>
              <w:pStyle w:val="Compact"/>
              <w:jc w:val="left"/>
            </w:pPr>
            <w:r>
              <w:rPr>
                <w:b/>
                <w:bCs/>
              </w:rPr>
              <w:t xml:space="preserve">Red</w:t>
            </w:r>
          </w:p>
        </w:tc>
        <w:tc>
          <w:tcPr/>
          <w:p>
            <w:pPr>
              <w:pStyle w:val="Compact"/>
              <w:jc w:val="left"/>
            </w:pPr>
            <w:r>
              <w:t xml:space="preserve">&gt; 30%</w:t>
            </w:r>
          </w:p>
        </w:tc>
        <w:tc>
          <w:tcPr/>
          <w:p>
            <w:pPr>
              <w:pStyle w:val="Compact"/>
              <w:jc w:val="left"/>
            </w:pPr>
            <w:r>
              <w:rPr>
                <w:b/>
                <w:bCs/>
              </w:rPr>
              <w:t xml:space="preserve">Significant risk</w:t>
            </w:r>
            <w:r>
              <w:t xml:space="preserve">; major mitigation required; potential NO-GO trigger</w:t>
            </w:r>
          </w:p>
        </w:tc>
      </w:tr>
    </w:tbl>
    <w:bookmarkEnd w:id="124"/>
    <w:bookmarkEnd w:id="125"/>
    <w:bookmarkStart w:id="134" w:name="safety-flag-computation-step-11"/>
    <w:p>
      <w:pPr>
        <w:pStyle w:val="3"/>
      </w:pPr>
      <w:r>
        <w:t xml:space="preserve">6.3 Safety Flag Computation (Step 11)</w:t>
      </w:r>
    </w:p>
    <w:bookmarkStart w:id="129" w:name="ichfda-guided-flag-generation"/>
    <w:p>
      <w:pPr>
        <w:pStyle w:val="4"/>
      </w:pPr>
      <w:r>
        <w:t xml:space="preserve">6.3.1 ICH/FDA-Guided Flag Generation</w:t>
      </w:r>
    </w:p>
    <w:bookmarkStart w:id="126" w:name="Xc6ba093192286989a96e62787a9e2187e7e2823"/>
    <w:p>
      <w:pPr>
        <w:pStyle w:val="5"/>
      </w:pPr>
      <w:r>
        <w:t xml:space="preserve">6.3.1.1 Cardiac Safety (Critical/Major): hERG IC50 &lt;10 µM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Trigger</w:t>
            </w:r>
          </w:p>
        </w:tc>
        <w:tc>
          <w:tcPr/>
          <w:p>
            <w:pPr>
              <w:pStyle w:val="Compact"/>
              <w:jc w:val="left"/>
            </w:pPr>
            <w:r>
              <w:t xml:space="preserve">Regulatory Basis</w:t>
            </w:r>
          </w:p>
        </w:tc>
      </w:tr>
      <w:tr>
        <w:tc>
          <w:tcPr/>
          <w:p>
            <w:pPr>
              <w:pStyle w:val="Compact"/>
              <w:jc w:val="left"/>
            </w:pPr>
            <w:r>
              <w:t xml:space="preserve">Critical/Major</w:t>
            </w:r>
          </w:p>
        </w:tc>
        <w:tc>
          <w:tcPr/>
          <w:p>
            <w:pPr>
              <w:pStyle w:val="Compact"/>
              <w:jc w:val="left"/>
            </w:pPr>
            <w:r>
              <w:t xml:space="preserve">hERG IC50 &lt; 10 µM</w:t>
            </w:r>
          </w:p>
        </w:tc>
        <w:tc>
          <w:tcPr/>
          <w:p>
            <w:pPr>
              <w:pStyle w:val="Compact"/>
              <w:jc w:val="left"/>
            </w:pPr>
            <w:r>
              <w:t xml:space="preserve">ICH S7B</w:t>
            </w:r>
          </w:p>
        </w:tc>
      </w:tr>
    </w:tbl>
    <w:bookmarkEnd w:id="126"/>
    <w:bookmarkStart w:id="127" w:name="Xc371557ea696e7aef97e6e54874d0b9255d0d55"/>
    <w:p>
      <w:pPr>
        <w:pStyle w:val="5"/>
      </w:pPr>
      <w:r>
        <w:t xml:space="preserve">6.3.1.2 Hepatotoxicity (Critical/Major): Structural Alerts &gt;70% Confidence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Trigger</w:t>
            </w:r>
          </w:p>
        </w:tc>
        <w:tc>
          <w:tcPr/>
          <w:p>
            <w:pPr>
              <w:pStyle w:val="Compact"/>
              <w:jc w:val="left"/>
            </w:pPr>
            <w:r>
              <w:t xml:space="preserve">Regulatory Basis</w:t>
            </w:r>
          </w:p>
        </w:tc>
      </w:tr>
      <w:tr>
        <w:tc>
          <w:tcPr/>
          <w:p>
            <w:pPr>
              <w:pStyle w:val="Compact"/>
              <w:jc w:val="left"/>
            </w:pPr>
            <w:r>
              <w:t xml:space="preserve">Critical/Major</w:t>
            </w:r>
          </w:p>
        </w:tc>
        <w:tc>
          <w:tcPr/>
          <w:p>
            <w:pPr>
              <w:pStyle w:val="Compact"/>
              <w:jc w:val="left"/>
            </w:pPr>
            <w:r>
              <w:t xml:space="preserve">Structural alert confidence &gt; 70%</w:t>
            </w:r>
          </w:p>
        </w:tc>
        <w:tc>
          <w:tcPr/>
          <w:p>
            <w:pPr>
              <w:pStyle w:val="Compact"/>
              <w:jc w:val="left"/>
            </w:pPr>
            <w:r>
              <w:t xml:space="preserve">ICH M3(R2)</w:t>
            </w:r>
          </w:p>
        </w:tc>
      </w:tr>
    </w:tbl>
    <w:bookmarkEnd w:id="127"/>
    <w:bookmarkStart w:id="128" w:name="Xac7e61837fdb35ee0b83a64a9fb7c8d8cbce474"/>
    <w:p>
      <w:pPr>
        <w:pStyle w:val="5"/>
      </w:pPr>
      <w:r>
        <w:t xml:space="preserve">6.3.1.3 Drug-Drug Interaction (Major): CYP IC50 &lt;5 µM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Trigger</w:t>
            </w:r>
          </w:p>
        </w:tc>
        <w:tc>
          <w:tcPr/>
          <w:p>
            <w:pPr>
              <w:pStyle w:val="Compact"/>
              <w:jc w:val="left"/>
            </w:pPr>
            <w:r>
              <w:t xml:space="preserve">Regulatory Basis</w:t>
            </w:r>
          </w:p>
        </w:tc>
      </w:tr>
      <w:tr>
        <w:tc>
          <w:tcPr/>
          <w:p>
            <w:pPr>
              <w:pStyle w:val="Compact"/>
              <w:jc w:val="left"/>
            </w:pPr>
            <w:r>
              <w:t xml:space="preserve">Major</w:t>
            </w:r>
          </w:p>
        </w:tc>
        <w:tc>
          <w:tcPr/>
          <w:p>
            <w:pPr>
              <w:pStyle w:val="Compact"/>
              <w:jc w:val="left"/>
            </w:pPr>
            <w:r>
              <w:t xml:space="preserve">CYP3A4 (or other major CYP) IC50 &lt; 5 µM</w:t>
            </w:r>
          </w:p>
        </w:tc>
        <w:tc>
          <w:tcPr/>
          <w:p>
            <w:pPr>
              <w:pStyle w:val="Compact"/>
              <w:jc w:val="left"/>
            </w:pPr>
            <w:r>
              <w:t xml:space="preserve">FDA DDI Guidance</w:t>
            </w:r>
          </w:p>
        </w:tc>
      </w:tr>
    </w:tbl>
    <w:bookmarkEnd w:id="128"/>
    <w:bookmarkEnd w:id="129"/>
    <w:bookmarkStart w:id="133" w:name="flag-persistence-governance-properties"/>
    <w:p>
      <w:pPr>
        <w:pStyle w:val="4"/>
      </w:pPr>
      <w:r>
        <w:t xml:space="preserve">6.3.2 Flag Persistence &amp; Governance Properties</w:t>
      </w:r>
    </w:p>
    <w:bookmarkStart w:id="130" w:name="Xb4f9e8075bcad32291f86d99140d742c1479ce2"/>
    <w:p>
      <w:pPr>
        <w:pStyle w:val="5"/>
      </w:pPr>
      <w:r>
        <w:t xml:space="preserve">6.3.2.1 Review Required: Mandatory User Acknowledgment</w:t>
      </w:r>
    </w:p>
    <w:p>
      <w:pPr>
        <w:pStyle w:val="FirstParagraph"/>
      </w:pPr>
      <w:r>
        <w:rPr>
          <w:b/>
          <w:bCs/>
        </w:rPr>
        <w:t xml:space="preserve">Non-dismissible interface elements</w:t>
      </w:r>
      <w:r>
        <w:t xml:space="preserve"> </w:t>
      </w:r>
      <w:r>
        <w:t xml:space="preserve">prevent silent override; explicit acknowledgment with timestamp recorded in provenance.</w:t>
      </w:r>
    </w:p>
    <w:bookmarkEnd w:id="130"/>
    <w:bookmarkStart w:id="131" w:name="non-droppable-propagation-through-l2l3l4"/>
    <w:p>
      <w:pPr>
        <w:pStyle w:val="5"/>
      </w:pPr>
      <w:r>
        <w:t xml:space="preserve">6.3.2.2 Non-Droppable: Propagation Through L2→L3→L4</w:t>
      </w:r>
    </w:p>
    <w:p>
      <w:pPr>
        <w:pStyle w:val="FirstParagraph"/>
      </w:pPr>
      <w:r>
        <w:t xml:space="preserve">Safety flags</w:t>
      </w:r>
      <w:r>
        <w:t xml:space="preserve"> </w:t>
      </w:r>
      <w:r>
        <w:rPr>
          <w:b/>
          <w:bCs/>
        </w:rPr>
        <w:t xml:space="preserve">persist with full traceability</w:t>
      </w:r>
      <w:r>
        <w:t xml:space="preserve"> </w:t>
      </w:r>
      <w:r>
        <w:t xml:space="preserve">across all downstream layers; cannot be removed without documented justification and approval workflow.</w:t>
      </w:r>
    </w:p>
    <w:bookmarkEnd w:id="131"/>
    <w:bookmarkStart w:id="132" w:name="X85468cca10fb3e76493f666ba77d2d98d0830bd"/>
    <w:p>
      <w:pPr>
        <w:pStyle w:val="5"/>
      </w:pPr>
      <w:r>
        <w:t xml:space="preserve">6.3.2.3 Regulatory Citation: Linked ICH/FDA Standards</w:t>
      </w:r>
    </w:p>
    <w:p>
      <w:pPr>
        <w:pStyle w:val="FirstParagraph"/>
      </w:pPr>
      <w:r>
        <w:t xml:space="preserve">Each flag includes</w:t>
      </w:r>
      <w:r>
        <w:t xml:space="preserve"> </w:t>
      </w:r>
      <w:r>
        <w:rPr>
          <w:b/>
          <w:bCs/>
        </w:rPr>
        <w:t xml:space="preserve">explicit regulatory reference</w:t>
      </w:r>
      <w:r>
        <w:t xml:space="preserve"> </w:t>
      </w:r>
      <w:r>
        <w:t xml:space="preserve">enabling direct correspondence with agency expectations and submission preparation.</w:t>
      </w:r>
    </w:p>
    <w:p>
      <w:r>
        <w:pict>
          <v:rect style="width:0;height:1.5pt" o:hralign="center" o:hrstd="t" o:hr="t"/>
        </w:pict>
      </w:r>
    </w:p>
    <w:bookmarkEnd w:id="132"/>
    <w:bookmarkEnd w:id="133"/>
    <w:bookmarkEnd w:id="134"/>
    <w:bookmarkEnd w:id="135"/>
    <w:bookmarkStart w:id="145" w:name="decision-engine-downstream-integration"/>
    <w:p>
      <w:pPr>
        <w:pStyle w:val="2"/>
      </w:pPr>
      <w:r>
        <w:t xml:space="preserve">7. Decision Engine &amp; Downstream Integration</w:t>
      </w:r>
    </w:p>
    <w:bookmarkStart w:id="136" w:name="gono-go-decision-step-12"/>
    <w:p>
      <w:pPr>
        <w:pStyle w:val="3"/>
      </w:pPr>
      <w:r>
        <w:t xml:space="preserve">7.1 Go/No-Go Decision (Step 12)</w:t>
      </w:r>
    </w:p>
    <w:p>
      <w:pPr>
        <w:pStyle w:val="FirstParagraph"/>
      </w:pPr>
      <w:r>
        <w:t xml:space="preserve">The</w:t>
      </w:r>
      <w:r>
        <w:t xml:space="preserve"> </w:t>
      </w:r>
      <w:r>
        <w:rPr>
          <w:b/>
          <w:bCs/>
        </w:rPr>
        <w:t xml:space="preserve">final verdict synthesizes all L1 data</w:t>
      </w:r>
      <w:r>
        <w:t xml:space="preserve"> </w:t>
      </w:r>
      <w:r>
        <w:t xml:space="preserve">into actionable development guidance:</w:t>
      </w:r>
    </w:p>
    <w:tbl>
      <w:tblPr>
        <w:tblStyle w:val="Table"/>
        <w:tblW w:type="pct" w:w="5000"/>
        <w:jc w:val="left"/>
        <w:tblLayout w:type="fixed"/>
        <w:tblLook w:firstRow="1" w:lastRow="0" w:firstColumn="0" w:lastColumn="0" w:noHBand="0" w:noVBand="0" w:val="0020"/>
      </w:tblPr>
      <w:tblGrid>
        <w:gridCol w:w="2262"/>
        <w:gridCol w:w="2262"/>
        <w:gridCol w:w="3394"/>
      </w:tblGrid>
      <w:tr>
        <w:trPr>
          <w:tblHeader w:val="on"/>
        </w:trPr>
        <w:tc>
          <w:tcPr/>
          <w:p>
            <w:pPr>
              <w:pStyle w:val="Compact"/>
              <w:jc w:val="left"/>
            </w:pPr>
            <w:r>
              <w:t xml:space="preserve">Decision</w:t>
            </w:r>
          </w:p>
        </w:tc>
        <w:tc>
          <w:tcPr/>
          <w:p>
            <w:pPr>
              <w:pStyle w:val="Compact"/>
              <w:jc w:val="left"/>
            </w:pPr>
            <w:r>
              <w:t xml:space="preserve">Criteria</w:t>
            </w:r>
          </w:p>
        </w:tc>
        <w:tc>
          <w:tcPr/>
          <w:p>
            <w:pPr>
              <w:pStyle w:val="Compact"/>
              <w:jc w:val="left"/>
            </w:pPr>
            <w:r>
              <w:t xml:space="preserve">Interpretation</w:t>
            </w:r>
          </w:p>
        </w:tc>
      </w:tr>
      <w:tr>
        <w:tc>
          <w:tcPr/>
          <w:p>
            <w:pPr>
              <w:pStyle w:val="Compact"/>
              <w:jc w:val="left"/>
            </w:pPr>
            <w:r>
              <w:rPr>
                <w:b/>
                <w:bCs/>
              </w:rPr>
              <w:t xml:space="preserve">GO</w:t>
            </w:r>
          </w:p>
        </w:tc>
        <w:tc>
          <w:tcPr/>
          <w:p>
            <w:pPr>
              <w:pStyle w:val="Compact"/>
              <w:jc w:val="left"/>
            </w:pPr>
            <w:r>
              <w:t xml:space="preserve">Favorable ADMET; ≤1 Lipinski violation;</w:t>
            </w:r>
            <w:r>
              <w:t xml:space="preserve"> </w:t>
            </w:r>
            <w:r>
              <w:rPr>
                <w:b/>
                <w:bCs/>
              </w:rPr>
              <w:t xml:space="preserve">no critical safety flags</w:t>
            </w:r>
          </w:p>
        </w:tc>
        <w:tc>
          <w:tcPr/>
          <w:p>
            <w:pPr>
              <w:pStyle w:val="Compact"/>
              <w:jc w:val="left"/>
            </w:pPr>
            <w:r>
              <w:t xml:space="preserve">Well-balanced profile; standard development pathway</w:t>
            </w:r>
          </w:p>
        </w:tc>
      </w:tr>
      <w:tr>
        <w:tc>
          <w:tcPr/>
          <w:p>
            <w:pPr>
              <w:pStyle w:val="Compact"/>
              <w:jc w:val="left"/>
            </w:pPr>
            <w:r>
              <w:rPr>
                <w:b/>
                <w:bCs/>
              </w:rPr>
              <w:t xml:space="preserve">WATCH</w:t>
            </w:r>
          </w:p>
        </w:tc>
        <w:tc>
          <w:tcPr/>
          <w:p>
            <w:pPr>
              <w:pStyle w:val="Compact"/>
              <w:jc w:val="left"/>
            </w:pPr>
            <w:r>
              <w:t xml:space="preserve">Borderline profile;</w:t>
            </w:r>
            <w:r>
              <w:t xml:space="preserve"> </w:t>
            </w:r>
            <w:r>
              <w:rPr>
                <w:b/>
                <w:bCs/>
              </w:rPr>
              <w:t xml:space="preserve">2 Lipinski violations</w:t>
            </w:r>
            <w:r>
              <w:t xml:space="preserve"> </w:t>
            </w:r>
            <w:r>
              <w:t xml:space="preserve">OR multiple low-level toxicity alerts</w:t>
            </w:r>
          </w:p>
        </w:tc>
        <w:tc>
          <w:tcPr/>
          <w:p>
            <w:pPr>
              <w:pStyle w:val="Compact"/>
              <w:jc w:val="left"/>
            </w:pPr>
            <w:r>
              <w:t xml:space="preserve">Proceed with caution; enhanced monitoring; mitigation strategy required</w:t>
            </w:r>
          </w:p>
        </w:tc>
      </w:tr>
      <w:tr>
        <w:tc>
          <w:tcPr/>
          <w:p>
            <w:pPr>
              <w:pStyle w:val="Compact"/>
              <w:jc w:val="left"/>
            </w:pPr>
            <w:r>
              <w:rPr>
                <w:b/>
                <w:bCs/>
              </w:rPr>
              <w:t xml:space="preserve">NO-GO</w:t>
            </w:r>
          </w:p>
        </w:tc>
        <w:tc>
          <w:tcPr/>
          <w:p>
            <w:pPr>
              <w:pStyle w:val="Compact"/>
              <w:jc w:val="left"/>
            </w:pPr>
            <w:r>
              <w:rPr>
                <w:b/>
                <w:bCs/>
              </w:rPr>
              <w:t xml:space="preserve">Critical toxicity flags</w:t>
            </w:r>
            <w:r>
              <w:t xml:space="preserve">; ≥3 Lipinski violations; low overall ADMET score</w:t>
            </w:r>
          </w:p>
        </w:tc>
        <w:tc>
          <w:tcPr/>
          <w:p>
            <w:pPr>
              <w:pStyle w:val="Compact"/>
              <w:jc w:val="left"/>
            </w:pPr>
            <w:r>
              <w:t xml:space="preserve">Unfavorable risk-benefit; consider termination or substantial redesign</w:t>
            </w:r>
          </w:p>
        </w:tc>
      </w:tr>
    </w:tbl>
    <w:bookmarkEnd w:id="136"/>
    <w:bookmarkStart w:id="142" w:name="l2-auto-configuration-cascade"/>
    <w:p>
      <w:pPr>
        <w:pStyle w:val="3"/>
      </w:pPr>
      <w:r>
        <w:t xml:space="preserve">7.2 L2 Auto-Configuration Cascade</w:t>
      </w:r>
    </w:p>
    <w:bookmarkStart w:id="137" w:name="X4aa00463808160ba04ed1700a165cdd928d311f"/>
    <w:p>
      <w:pPr>
        <w:pStyle w:val="4"/>
      </w:pPr>
      <w:r>
        <w:t xml:space="preserve">7.2.1 GO → 28-Day Sub-Chronic, Oral, Plain Formulation</w:t>
      </w:r>
    </w:p>
    <w:p>
      <w:pPr>
        <w:pStyle w:val="FirstParagraph"/>
      </w:pPr>
      <w:r>
        <w:t xml:space="preserve">Standard design for</w:t>
      </w:r>
      <w:r>
        <w:t xml:space="preserve"> </w:t>
      </w:r>
      <w:r>
        <w:rPr>
          <w:b/>
          <w:bCs/>
        </w:rPr>
        <w:t xml:space="preserve">well-characterized candidates</w:t>
      </w:r>
      <w:r>
        <w:t xml:space="preserve"> </w:t>
      </w:r>
      <w:r>
        <w:t xml:space="preserve">with acceptable risk profile.</w:t>
      </w:r>
    </w:p>
    <w:bookmarkEnd w:id="137"/>
    <w:bookmarkStart w:id="138" w:name="X4a2e30486376f7cac0315090181f3330e4840da"/>
    <w:p>
      <w:pPr>
        <w:pStyle w:val="4"/>
      </w:pPr>
      <w:r>
        <w:t xml:space="preserve">7.2.2 WATCH → 14-Day Sub-Acute, Enhanced Monitoring, Satellite Groups</w:t>
      </w:r>
    </w:p>
    <w:p>
      <w:pPr>
        <w:pStyle w:val="FirstParagraph"/>
      </w:pPr>
      <w:r>
        <w:t xml:space="preserve">Shortened duration with</w:t>
      </w:r>
      <w:r>
        <w:t xml:space="preserve"> </w:t>
      </w:r>
      <w:r>
        <w:rPr>
          <w:b/>
          <w:bCs/>
        </w:rPr>
        <w:t xml:space="preserve">intensive safety surveillance</w:t>
      </w:r>
      <w:r>
        <w:t xml:space="preserve"> </w:t>
      </w:r>
      <w:r>
        <w:t xml:space="preserve">and recovery assessment.</w:t>
      </w:r>
    </w:p>
    <w:bookmarkEnd w:id="138"/>
    <w:bookmarkStart w:id="139" w:name="X3485e8385b3f739aa3d9027a02ca84cd8896635"/>
    <w:p>
      <w:pPr>
        <w:pStyle w:val="4"/>
      </w:pPr>
      <w:r>
        <w:t xml:space="preserve">7.2.3 NO-GO → Single-Dose Study (Animal Use Minimization)</w:t>
      </w:r>
    </w:p>
    <w:p>
      <w:pPr>
        <w:pStyle w:val="FirstParagraph"/>
      </w:pPr>
      <w:r>
        <w:rPr>
          <w:b/>
          <w:bCs/>
        </w:rPr>
        <w:t xml:space="preserve">Ethical minimization</w:t>
      </w:r>
      <w:r>
        <w:t xml:space="preserve"> </w:t>
      </w:r>
      <w:r>
        <w:t xml:space="preserve">when fundamental liabilities preclude extended evaluation.</w:t>
      </w:r>
    </w:p>
    <w:bookmarkEnd w:id="139"/>
    <w:bookmarkStart w:id="140" w:name="property-driven-l2-parameters"/>
    <w:p>
      <w:pPr>
        <w:pStyle w:val="4"/>
      </w:pPr>
      <w:r>
        <w:t xml:space="preserve">7.2.4 Property-Driven L2 Parameters</w:t>
      </w:r>
    </w:p>
    <w:tbl>
      <w:tblPr>
        <w:tblStyle w:val="Table"/>
        <w:tblW w:type="pct" w:w="5000"/>
        <w:jc w:val="left"/>
        <w:tblLayout w:type="fixed"/>
        <w:tblLook w:firstRow="1" w:lastRow="0" w:firstColumn="0" w:lastColumn="0" w:noHBand="0" w:noVBand="0" w:val="0020"/>
      </w:tblPr>
      <w:tblGrid>
        <w:gridCol w:w="2238"/>
        <w:gridCol w:w="3787"/>
        <w:gridCol w:w="1893"/>
      </w:tblGrid>
      <w:tr>
        <w:trPr>
          <w:tblHeader w:val="on"/>
        </w:trPr>
        <w:tc>
          <w:tcPr/>
          <w:p>
            <w:pPr>
              <w:pStyle w:val="Compact"/>
              <w:jc w:val="left"/>
            </w:pPr>
            <w:r>
              <w:t xml:space="preserve">L1 Data Point</w:t>
            </w:r>
          </w:p>
        </w:tc>
        <w:tc>
          <w:tcPr/>
          <w:p>
            <w:pPr>
              <w:pStyle w:val="Compact"/>
              <w:jc w:val="left"/>
            </w:pPr>
            <w:r>
              <w:t xml:space="preserve">L2 Auto-Configuration</w:t>
            </w:r>
          </w:p>
        </w:tc>
        <w:tc>
          <w:tcPr/>
          <w:p>
            <w:pPr>
              <w:pStyle w:val="Compact"/>
              <w:jc w:val="left"/>
            </w:pPr>
            <w:r>
              <w:t xml:space="preserve">Rationale</w:t>
            </w:r>
          </w:p>
        </w:tc>
      </w:tr>
      <w:tr>
        <w:tc>
          <w:tcPr/>
          <w:p>
            <w:pPr>
              <w:pStyle w:val="Compact"/>
              <w:jc w:val="left"/>
            </w:pPr>
            <w:r>
              <w:t xml:space="preserve">Toxicity &gt; 60%</w:t>
            </w:r>
          </w:p>
        </w:tc>
        <w:tc>
          <w:tcPr/>
          <w:p>
            <w:pPr>
              <w:pStyle w:val="Compact"/>
              <w:jc w:val="left"/>
            </w:pPr>
            <w:r>
              <w:rPr>
                <w:b/>
                <w:bCs/>
              </w:rPr>
              <w:t xml:space="preserve">Species → Beagle dog</w:t>
            </w:r>
          </w:p>
        </w:tc>
        <w:tc>
          <w:tcPr/>
          <w:p>
            <w:pPr>
              <w:pStyle w:val="Compact"/>
              <w:jc w:val="left"/>
            </w:pPr>
            <w:r>
              <w:t xml:space="preserve">Higher metabolic tolerance; better predictor of human safety</w:t>
            </w:r>
          </w:p>
        </w:tc>
      </w:tr>
      <w:tr>
        <w:tc>
          <w:tcPr/>
          <w:p>
            <w:pPr>
              <w:pStyle w:val="Compact"/>
              <w:jc w:val="left"/>
            </w:pPr>
            <w:r>
              <w:t xml:space="preserve">Therapeutic Area = CNS</w:t>
            </w:r>
          </w:p>
        </w:tc>
        <w:tc>
          <w:tcPr/>
          <w:p>
            <w:pPr>
              <w:pStyle w:val="Compact"/>
              <w:jc w:val="left"/>
            </w:pPr>
            <w:r>
              <w:rPr>
                <w:b/>
                <w:bCs/>
              </w:rPr>
              <w:t xml:space="preserve">Species → Cynomolgus monkey</w:t>
            </w:r>
          </w:p>
        </w:tc>
        <w:tc>
          <w:tcPr/>
          <w:p>
            <w:pPr>
              <w:pStyle w:val="Compact"/>
              <w:jc w:val="left"/>
            </w:pPr>
            <w:r>
              <w:t xml:space="preserve">NHP standard for BBB penetration; phylogenetic proximity</w:t>
            </w:r>
          </w:p>
        </w:tc>
      </w:tr>
      <w:tr>
        <w:tc>
          <w:tcPr/>
          <w:p>
            <w:pPr>
              <w:pStyle w:val="Compact"/>
              <w:jc w:val="left"/>
            </w:pPr>
            <w:r>
              <w:t xml:space="preserve">Absorption &lt; 35% or LogP &lt; 0</w:t>
            </w:r>
          </w:p>
        </w:tc>
        <w:tc>
          <w:tcPr/>
          <w:p>
            <w:pPr>
              <w:pStyle w:val="Compact"/>
              <w:jc w:val="left"/>
            </w:pPr>
            <w:r>
              <w:rPr>
                <w:b/>
                <w:bCs/>
              </w:rPr>
              <w:t xml:space="preserve">Route → IV</w:t>
            </w:r>
          </w:p>
        </w:tc>
        <w:tc>
          <w:tcPr/>
          <w:p>
            <w:pPr>
              <w:pStyle w:val="Compact"/>
              <w:jc w:val="left"/>
            </w:pPr>
            <w:r>
              <w:t xml:space="preserve">Bypass absorption limitation; enable PK/PD characterization</w:t>
            </w:r>
          </w:p>
        </w:tc>
      </w:tr>
      <w:tr>
        <w:tc>
          <w:tcPr/>
          <w:p>
            <w:pPr>
              <w:pStyle w:val="Compact"/>
              <w:jc w:val="left"/>
            </w:pPr>
            <w:r>
              <w:t xml:space="preserve">Absorption 35–45%</w:t>
            </w:r>
          </w:p>
        </w:tc>
        <w:tc>
          <w:tcPr/>
          <w:p>
            <w:pPr>
              <w:pStyle w:val="Compact"/>
              <w:jc w:val="left"/>
            </w:pPr>
            <w:r>
              <w:rPr>
                <w:b/>
                <w:bCs/>
              </w:rPr>
              <w:t xml:space="preserve">Route → Subcutaneous</w:t>
            </w:r>
          </w:p>
        </w:tc>
        <w:tc>
          <w:tcPr/>
          <w:p>
            <w:pPr>
              <w:pStyle w:val="Compact"/>
              <w:jc w:val="left"/>
            </w:pPr>
            <w:r>
              <w:t xml:space="preserve">Intermediate absorption; depot formulation potential</w:t>
            </w:r>
          </w:p>
        </w:tc>
      </w:tr>
      <w:tr>
        <w:tc>
          <w:tcPr/>
          <w:p>
            <w:pPr>
              <w:pStyle w:val="Compact"/>
              <w:jc w:val="left"/>
            </w:pPr>
            <w:r>
              <w:t xml:space="preserve">LogP &gt; 5</w:t>
            </w:r>
          </w:p>
        </w:tc>
        <w:tc>
          <w:tcPr/>
          <w:p>
            <w:pPr>
              <w:pStyle w:val="Compact"/>
              <w:jc w:val="left"/>
            </w:pPr>
            <w:r>
              <w:rPr>
                <w:b/>
                <w:bCs/>
              </w:rPr>
              <w:t xml:space="preserve">Formulation → Lipid-based nano-emulsion</w:t>
            </w:r>
          </w:p>
        </w:tc>
        <w:tc>
          <w:tcPr/>
          <w:p>
            <w:pPr>
              <w:pStyle w:val="Compact"/>
              <w:jc w:val="left"/>
            </w:pPr>
            <w:r>
              <w:t xml:space="preserve">Enhance solubility; lymphatic absorption; reduce food effect</w:t>
            </w:r>
          </w:p>
        </w:tc>
      </w:tr>
      <w:tr>
        <w:tc>
          <w:tcPr/>
          <w:p>
            <w:pPr>
              <w:pStyle w:val="Compact"/>
              <w:jc w:val="left"/>
            </w:pPr>
            <w:r>
              <w:t xml:space="preserve">MW &gt; 500 + LogP &gt; 3</w:t>
            </w:r>
          </w:p>
        </w:tc>
        <w:tc>
          <w:tcPr/>
          <w:p>
            <w:pPr>
              <w:pStyle w:val="Compact"/>
              <w:jc w:val="left"/>
            </w:pPr>
            <w:r>
              <w:rPr>
                <w:b/>
                <w:bCs/>
              </w:rPr>
              <w:t xml:space="preserve">Formulation → Amorphous solid dispersion</w:t>
            </w:r>
          </w:p>
        </w:tc>
        <w:tc>
          <w:tcPr/>
          <w:p>
            <w:pPr>
              <w:pStyle w:val="Compact"/>
              <w:jc w:val="left"/>
            </w:pPr>
            <w:r>
              <w:t xml:space="preserve">Supersaturation; improved dissolution; bioavailability enhancement</w:t>
            </w:r>
          </w:p>
        </w:tc>
      </w:tr>
    </w:tbl>
    <w:bookmarkEnd w:id="140"/>
    <w:bookmarkStart w:id="141" w:name="Xe1a653be71bd8121b1cc45619296dfb0dfde0cd"/>
    <w:p>
      <w:pPr>
        <w:pStyle w:val="4"/>
      </w:pPr>
      <w:r>
        <w:t xml:space="preserve">7.2.5 Manual Override Capability with</w:t>
      </w:r>
      <w:r>
        <w:t xml:space="preserve"> </w:t>
      </w:r>
      <w:r>
        <w:t xml:space="preserve">“</w:t>
      </w:r>
      <w:r>
        <w:t xml:space="preserve">L1 Auto</w:t>
      </w:r>
      <w:r>
        <w:t xml:space="preserve">”</w:t>
      </w:r>
      <w:r>
        <w:t xml:space="preserve"> </w:t>
      </w:r>
      <w:r>
        <w:t xml:space="preserve">Badge Removal</w:t>
      </w:r>
    </w:p>
    <w:p>
      <w:pPr>
        <w:pStyle w:val="FirstParagraph"/>
      </w:pPr>
      <w:r>
        <w:t xml:space="preserve">All auto-configured parameters remain</w:t>
      </w:r>
      <w:r>
        <w:t xml:space="preserve"> </w:t>
      </w:r>
      <w:r>
        <w:rPr>
          <w:b/>
          <w:bCs/>
        </w:rPr>
        <w:t xml:space="preserve">fully user-modifiable</w:t>
      </w:r>
      <w:r>
        <w:t xml:space="preserve">; manual changes remove the</w:t>
      </w:r>
      <w:r>
        <w:t xml:space="preserve"> </w:t>
      </w:r>
      <w:r>
        <w:t xml:space="preserve">“</w:t>
      </w:r>
      <w:r>
        <w:t xml:space="preserve">L1 Auto</w:t>
      </w:r>
      <w:r>
        <w:t xml:space="preserve">”</w:t>
      </w:r>
      <w:r>
        <w:t xml:space="preserve"> </w:t>
      </w:r>
      <w:r>
        <w:t xml:space="preserve">indicator, documenting deviation from computational recommendation.</w:t>
      </w:r>
    </w:p>
    <w:bookmarkEnd w:id="141"/>
    <w:bookmarkEnd w:id="142"/>
    <w:bookmarkStart w:id="144" w:name="dynamic-l1-recommendations"/>
    <w:p>
      <w:pPr>
        <w:pStyle w:val="3"/>
      </w:pPr>
      <w:r>
        <w:t xml:space="preserve">7.3 Dynamic L1 Recommendations</w:t>
      </w:r>
    </w:p>
    <w:bookmarkStart w:id="143" w:name="X4ae5aae55b2f4b2d077c840a7d0e67805987ad7"/>
    <w:p>
      <w:pPr>
        <w:pStyle w:val="4"/>
      </w:pPr>
      <w:r>
        <w:t xml:space="preserve">7.3.1 Condition-Triggered Guidance with Computed Values</w:t>
      </w:r>
    </w:p>
    <w:tbl>
      <w:tblPr>
        <w:tblStyle w:val="Table"/>
        <w:tblW w:type="pct" w:w="5000"/>
        <w:jc w:val="left"/>
        <w:tblLayout w:type="fixed"/>
        <w:tblLook w:firstRow="1" w:lastRow="0" w:firstColumn="0" w:lastColumn="0" w:noHBand="0" w:noVBand="0" w:val="0020"/>
      </w:tblPr>
      <w:tblGrid>
        <w:gridCol w:w="1815"/>
        <w:gridCol w:w="2475"/>
        <w:gridCol w:w="1155"/>
        <w:gridCol w:w="2475"/>
      </w:tblGrid>
      <w:tr>
        <w:trPr>
          <w:tblHeader w:val="on"/>
        </w:trPr>
        <w:tc>
          <w:tcPr/>
          <w:p>
            <w:pPr>
              <w:pStyle w:val="Compact"/>
              <w:jc w:val="left"/>
            </w:pPr>
            <w:r>
              <w:t xml:space="preserve">Condition</w:t>
            </w:r>
          </w:p>
        </w:tc>
        <w:tc>
          <w:tcPr/>
          <w:p>
            <w:pPr>
              <w:pStyle w:val="Compact"/>
              <w:jc w:val="left"/>
            </w:pPr>
            <w:r>
              <w:t xml:space="preserve">Recommendation</w:t>
            </w:r>
          </w:p>
        </w:tc>
        <w:tc>
          <w:tcPr/>
          <w:p>
            <w:pPr>
              <w:pStyle w:val="Compact"/>
              <w:jc w:val="left"/>
            </w:pPr>
            <w:r>
              <w:t xml:space="preserve">Level</w:t>
            </w:r>
          </w:p>
        </w:tc>
        <w:tc>
          <w:tcPr/>
          <w:p>
            <w:pPr>
              <w:pStyle w:val="Compact"/>
              <w:jc w:val="left"/>
            </w:pPr>
            <w:r>
              <w:t xml:space="preserve">Example Display</w:t>
            </w:r>
          </w:p>
        </w:tc>
      </w:tr>
      <w:tr>
        <w:tc>
          <w:tcPr/>
          <w:p>
            <w:pPr>
              <w:pStyle w:val="Compact"/>
              <w:jc w:val="left"/>
            </w:pPr>
            <w:r>
              <w:t xml:space="preserve">Toxicity &gt; 60%</w:t>
            </w:r>
          </w:p>
        </w:tc>
        <w:tc>
          <w:tcPr/>
          <w:p>
            <w:pPr>
              <w:pStyle w:val="Compact"/>
              <w:jc w:val="left"/>
            </w:pPr>
            <w:r>
              <w:t xml:space="preserve">Structural optimization to reduce hERG/CYP3A4 liability before animal studies</w:t>
            </w:r>
          </w:p>
        </w:tc>
        <w:tc>
          <w:tcPr/>
          <w:p>
            <w:pPr>
              <w:pStyle w:val="Compact"/>
              <w:jc w:val="left"/>
            </w:pPr>
            <w:r>
              <w:rPr>
                <w:b/>
                <w:bCs/>
              </w:rPr>
              <w:t xml:space="preserve">Warning</w:t>
            </w:r>
          </w:p>
        </w:tc>
        <w:tc>
          <w:tcPr/>
          <w:p>
            <w:pPr>
              <w:pStyle w:val="Compact"/>
              <w:jc w:val="left"/>
            </w:pPr>
            <w:r>
              <w:t xml:space="preserve">“</w:t>
            </w:r>
            <w:r>
              <w:t xml:space="preserve">Toxicity = 72% — prioritize cardiac safety assessment</w:t>
            </w:r>
            <w:r>
              <w:t xml:space="preserve">”</w:t>
            </w:r>
          </w:p>
        </w:tc>
      </w:tr>
      <w:tr>
        <w:tc>
          <w:tcPr/>
          <w:p>
            <w:pPr>
              <w:pStyle w:val="Compact"/>
              <w:jc w:val="left"/>
            </w:pPr>
            <w:r>
              <w:t xml:space="preserve">LogP &gt; 5</w:t>
            </w:r>
          </w:p>
        </w:tc>
        <w:tc>
          <w:tcPr/>
          <w:p>
            <w:pPr>
              <w:pStyle w:val="Compact"/>
              <w:jc w:val="left"/>
            </w:pPr>
            <w:r>
              <w:t xml:space="preserve">Exceeds Lipinski limit — oral bioavailability may be low</w:t>
            </w:r>
          </w:p>
        </w:tc>
        <w:tc>
          <w:tcPr/>
          <w:p>
            <w:pPr>
              <w:pStyle w:val="Compact"/>
              <w:jc w:val="left"/>
            </w:pPr>
            <w:r>
              <w:rPr>
                <w:b/>
                <w:bCs/>
              </w:rPr>
              <w:t xml:space="preserve">Warning</w:t>
            </w:r>
          </w:p>
        </w:tc>
        <w:tc>
          <w:tcPr/>
          <w:p>
            <w:pPr>
              <w:pStyle w:val="Compact"/>
              <w:jc w:val="left"/>
            </w:pPr>
            <w:r>
              <w:t xml:space="preserve">“</w:t>
            </w:r>
            <w:r>
              <w:t xml:space="preserve">LogP = 5.23 — consider formulation enabling or structural reduction</w:t>
            </w:r>
            <w:r>
              <w:t xml:space="preserve">”</w:t>
            </w:r>
          </w:p>
        </w:tc>
      </w:tr>
      <w:tr>
        <w:tc>
          <w:tcPr/>
          <w:p>
            <w:pPr>
              <w:pStyle w:val="Compact"/>
              <w:jc w:val="left"/>
            </w:pPr>
            <w:r>
              <w:t xml:space="preserve">MW &gt; 500 Da</w:t>
            </w:r>
          </w:p>
        </w:tc>
        <w:tc>
          <w:tcPr/>
          <w:p>
            <w:pPr>
              <w:pStyle w:val="Compact"/>
              <w:jc w:val="left"/>
            </w:pPr>
            <w:r>
              <w:t xml:space="preserve">Consider lead optimization to improve membrane permeability</w:t>
            </w:r>
          </w:p>
        </w:tc>
        <w:tc>
          <w:tcPr/>
          <w:p>
            <w:pPr>
              <w:pStyle w:val="Compact"/>
              <w:jc w:val="left"/>
            </w:pPr>
            <w:r>
              <w:rPr>
                <w:b/>
                <w:bCs/>
              </w:rPr>
              <w:t xml:space="preserve">Warning</w:t>
            </w:r>
          </w:p>
        </w:tc>
        <w:tc>
          <w:tcPr/>
          <w:p>
            <w:pPr>
              <w:pStyle w:val="Compact"/>
              <w:jc w:val="left"/>
            </w:pPr>
            <w:r>
              <w:t xml:space="preserve">“</w:t>
            </w:r>
            <w:r>
              <w:t xml:space="preserve">MW = 547 Da — size reduction may enhance developability</w:t>
            </w:r>
            <w:r>
              <w:t xml:space="preserve">”</w:t>
            </w:r>
          </w:p>
        </w:tc>
      </w:tr>
      <w:tr>
        <w:tc>
          <w:tcPr/>
          <w:p>
            <w:pPr>
              <w:pStyle w:val="Compact"/>
              <w:jc w:val="left"/>
            </w:pPr>
            <w:r>
              <w:t xml:space="preserve">Absorption &lt; 45%</w:t>
            </w:r>
          </w:p>
        </w:tc>
        <w:tc>
          <w:tcPr/>
          <w:p>
            <w:pPr>
              <w:pStyle w:val="Compact"/>
              <w:jc w:val="left"/>
            </w:pPr>
            <w:r>
              <w:t xml:space="preserve">Review TPSA and HBD count; bioisostere substitutions may improve F%</w:t>
            </w:r>
          </w:p>
        </w:tc>
        <w:tc>
          <w:tcPr/>
          <w:p>
            <w:pPr>
              <w:pStyle w:val="Compact"/>
              <w:jc w:val="left"/>
            </w:pPr>
            <w:r>
              <w:rPr>
                <w:b/>
                <w:bCs/>
              </w:rPr>
              <w:t xml:space="preserve">Warning</w:t>
            </w:r>
          </w:p>
        </w:tc>
        <w:tc>
          <w:tcPr/>
          <w:p>
            <w:pPr>
              <w:pStyle w:val="Compact"/>
              <w:jc w:val="left"/>
            </w:pPr>
            <w:r>
              <w:t xml:space="preserve">“</w:t>
            </w:r>
            <w:r>
              <w:t xml:space="preserve">Absorption = 38% — TPSA = 156 Å²; consider polar surface reduction</w:t>
            </w:r>
            <w:r>
              <w:t xml:space="preserve">”</w:t>
            </w:r>
          </w:p>
        </w:tc>
      </w:tr>
      <w:tr>
        <w:tc>
          <w:tcPr/>
          <w:p>
            <w:pPr>
              <w:pStyle w:val="Compact"/>
              <w:jc w:val="left"/>
            </w:pPr>
            <w:r>
              <w:t xml:space="preserve">GO decision</w:t>
            </w:r>
          </w:p>
        </w:tc>
        <w:tc>
          <w:tcPr/>
          <w:p>
            <w:pPr>
              <w:pStyle w:val="Compact"/>
              <w:jc w:val="left"/>
            </w:pPr>
            <w:r>
              <w:t xml:space="preserve">Advance to L2 Animal Cohort to project FIH dose and system exposure</w:t>
            </w:r>
          </w:p>
        </w:tc>
        <w:tc>
          <w:tcPr/>
          <w:p>
            <w:pPr>
              <w:pStyle w:val="Compact"/>
              <w:jc w:val="left"/>
            </w:pPr>
            <w:r>
              <w:rPr>
                <w:b/>
                <w:bCs/>
              </w:rPr>
              <w:t xml:space="preserve">OK</w:t>
            </w:r>
          </w:p>
        </w:tc>
        <w:tc>
          <w:tcPr/>
          <w:p>
            <w:pPr>
              <w:pStyle w:val="Compact"/>
              <w:jc w:val="left"/>
            </w:pPr>
            <w:r>
              <w:t xml:space="preserve">“</w:t>
            </w:r>
            <w:r>
              <w:t xml:space="preserve">GO — proceed with 28-day sub-chronic design</w:t>
            </w:r>
            <w:r>
              <w:t xml:space="preserve">”</w:t>
            </w:r>
          </w:p>
        </w:tc>
      </w:tr>
      <w:tr>
        <w:tc>
          <w:tcPr/>
          <w:p>
            <w:pPr>
              <w:pStyle w:val="Compact"/>
              <w:jc w:val="left"/>
            </w:pPr>
            <w:r>
              <w:t xml:space="preserve">WATCH decision</w:t>
            </w:r>
          </w:p>
        </w:tc>
        <w:tc>
          <w:tcPr/>
          <w:p>
            <w:pPr>
              <w:pStyle w:val="Compact"/>
              <w:jc w:val="left"/>
            </w:pPr>
            <w:r>
              <w:t xml:space="preserve">Proceed with caution, monitor flagged liabilities in L2</w:t>
            </w:r>
          </w:p>
        </w:tc>
        <w:tc>
          <w:tcPr/>
          <w:p>
            <w:pPr>
              <w:pStyle w:val="Compact"/>
              <w:jc w:val="left"/>
            </w:pPr>
            <w:r>
              <w:rPr>
                <w:b/>
                <w:bCs/>
              </w:rPr>
              <w:t xml:space="preserve">Info</w:t>
            </w:r>
          </w:p>
        </w:tc>
        <w:tc>
          <w:tcPr/>
          <w:p>
            <w:pPr>
              <w:pStyle w:val="Compact"/>
              <w:jc w:val="left"/>
            </w:pPr>
            <w:r>
              <w:t xml:space="preserve">“</w:t>
            </w:r>
            <w:r>
              <w:t xml:space="preserve">WATCH — enhanced monitoring recommended; 14-day sub-acute default</w:t>
            </w:r>
            <w:r>
              <w:t xml:space="preserve">”</w:t>
            </w:r>
          </w:p>
        </w:tc>
      </w:tr>
    </w:tbl>
    <w:p>
      <w:r>
        <w:pict>
          <v:rect style="width:0;height:1.5pt" o:hralign="center" o:hrstd="t" o:hr="t"/>
        </w:pict>
      </w:r>
    </w:p>
    <w:bookmarkEnd w:id="143"/>
    <w:bookmarkEnd w:id="144"/>
    <w:bookmarkEnd w:id="145"/>
    <w:bookmarkStart w:id="165" w:name="external-data-integration-governance"/>
    <w:p>
      <w:pPr>
        <w:pStyle w:val="2"/>
      </w:pPr>
      <w:r>
        <w:t xml:space="preserve">8. External Data Integration &amp; Governance</w:t>
      </w:r>
    </w:p>
    <w:bookmarkStart w:id="153" w:name="parallel-database-enrichment-step-13"/>
    <w:p>
      <w:pPr>
        <w:pStyle w:val="3"/>
      </w:pPr>
      <w:r>
        <w:t xml:space="preserve">8.1 Parallel Database Enrichment (Step 13)</w:t>
      </w:r>
    </w:p>
    <w:p>
      <w:pPr>
        <w:pStyle w:val="FirstParagraph"/>
      </w:pPr>
      <w:r>
        <w:t xml:space="preserve">After core simulation completion, Layer 1 queries</w:t>
      </w:r>
      <w:r>
        <w:t xml:space="preserve"> </w:t>
      </w:r>
      <w:r>
        <w:rPr>
          <w:b/>
          <w:bCs/>
        </w:rPr>
        <w:t xml:space="preserve">9 live databases in parallel</w:t>
      </w:r>
      <w:r>
        <w:t xml:space="preserve"> </w:t>
      </w:r>
      <w:r>
        <w:t xml:space="preserve">via</w:t>
      </w:r>
      <w:r>
        <w:t xml:space="preserve"> </w:t>
      </w:r>
      <w:r>
        <w:rPr>
          <w:rStyle w:val="VerbatimChar"/>
        </w:rPr>
        <w:t xml:space="preserve">Promise.allSettled</w:t>
      </w:r>
      <w:r>
        <w:t xml:space="preserve">, ensuring partial success when individual sources are unavailable.</w:t>
      </w:r>
    </w:p>
    <w:bookmarkStart w:id="150" w:name="X250058cdf2180c0f5fe09819c7bdf7ed9140715"/>
    <w:p>
      <w:pPr>
        <w:pStyle w:val="4"/>
      </w:pPr>
      <w:r>
        <w:t xml:space="preserve">8.1.1 9 Live Database Queries via Promise.allSettled</w:t>
      </w:r>
    </w:p>
    <w:bookmarkStart w:id="146" w:name="bioactivity-chembl-rest-bindingdb-rest"/>
    <w:p>
      <w:pPr>
        <w:pStyle w:val="5"/>
      </w:pPr>
      <w:r>
        <w:t xml:space="preserve">8.1.1.1 Bioactivity: ChEMBL (REST), BindingDB (REST)</w:t>
      </w:r>
    </w:p>
    <w:tbl>
      <w:tblPr>
        <w:tblStyle w:val="Table"/>
        <w:tblW w:type="pct" w:w="5000"/>
        <w:jc w:val="left"/>
        <w:tblLayout w:type="fixed"/>
        <w:tblLook w:firstRow="1" w:lastRow="0" w:firstColumn="0" w:lastColumn="0" w:noHBand="0" w:noVBand="0" w:val="0020"/>
      </w:tblPr>
      <w:tblGrid>
        <w:gridCol w:w="1885"/>
        <w:gridCol w:w="1885"/>
        <w:gridCol w:w="1697"/>
        <w:gridCol w:w="2451"/>
      </w:tblGrid>
      <w:tr>
        <w:trPr>
          <w:tblHeader w:val="on"/>
        </w:trPr>
        <w:tc>
          <w:tcPr/>
          <w:p>
            <w:pPr>
              <w:pStyle w:val="Compact"/>
              <w:jc w:val="left"/>
            </w:pPr>
            <w:r>
              <w:t xml:space="preserve">Database</w:t>
            </w:r>
          </w:p>
        </w:tc>
        <w:tc>
          <w:tcPr/>
          <w:p>
            <w:pPr>
              <w:pStyle w:val="Compact"/>
              <w:jc w:val="left"/>
            </w:pPr>
            <w:r>
              <w:t xml:space="preserve">API Type</w:t>
            </w:r>
          </w:p>
        </w:tc>
        <w:tc>
          <w:tcPr/>
          <w:p>
            <w:pPr>
              <w:pStyle w:val="Compact"/>
              <w:jc w:val="left"/>
            </w:pPr>
            <w:r>
              <w:t xml:space="preserve">Content</w:t>
            </w:r>
          </w:p>
        </w:tc>
        <w:tc>
          <w:tcPr/>
          <w:p>
            <w:pPr>
              <w:pStyle w:val="Compact"/>
              <w:jc w:val="left"/>
            </w:pPr>
            <w:r>
              <w:t xml:space="preserve">Application</w:t>
            </w:r>
          </w:p>
        </w:tc>
      </w:tr>
      <w:tr>
        <w:tc>
          <w:tcPr/>
          <w:p>
            <w:pPr>
              <w:pStyle w:val="Compact"/>
              <w:jc w:val="left"/>
            </w:pPr>
            <w:r>
              <w:rPr>
                <w:b/>
                <w:bCs/>
              </w:rPr>
              <w:t xml:space="preserve">ChEMBL</w:t>
            </w:r>
          </w:p>
        </w:tc>
        <w:tc>
          <w:tcPr/>
          <w:p>
            <w:pPr>
              <w:pStyle w:val="Compact"/>
              <w:jc w:val="left"/>
            </w:pPr>
            <w:r>
              <w:t xml:space="preserve">REST</w:t>
            </w:r>
          </w:p>
        </w:tc>
        <w:tc>
          <w:tcPr/>
          <w:p>
            <w:pPr>
              <w:pStyle w:val="Compact"/>
              <w:jc w:val="left"/>
            </w:pPr>
            <w:r>
              <w:t xml:space="preserve">2M+ compounds; 15K+ targets; IC50/Ki/Kd/EC50</w:t>
            </w:r>
          </w:p>
        </w:tc>
        <w:tc>
          <w:tcPr/>
          <w:p>
            <w:pPr>
              <w:pStyle w:val="Compact"/>
              <w:jc w:val="left"/>
            </w:pPr>
            <w:r>
              <w:t xml:space="preserve">Experimental validation; polypharmacology detection</w:t>
            </w:r>
          </w:p>
        </w:tc>
      </w:tr>
      <w:tr>
        <w:tc>
          <w:tcPr/>
          <w:p>
            <w:pPr>
              <w:pStyle w:val="Compact"/>
              <w:jc w:val="left"/>
            </w:pPr>
            <w:r>
              <w:rPr>
                <w:b/>
                <w:bCs/>
              </w:rPr>
              <w:t xml:space="preserve">BindingDB</w:t>
            </w:r>
          </w:p>
        </w:tc>
        <w:tc>
          <w:tcPr/>
          <w:p>
            <w:pPr>
              <w:pStyle w:val="Compact"/>
              <w:jc w:val="left"/>
            </w:pPr>
            <w:r>
              <w:t xml:space="preserve">REST</w:t>
            </w:r>
          </w:p>
        </w:tc>
        <w:tc>
          <w:tcPr/>
          <w:p>
            <w:pPr>
              <w:pStyle w:val="Compact"/>
              <w:jc w:val="left"/>
            </w:pPr>
            <w:r>
              <w:t xml:space="preserve">Curated binding affinities; thermodynamic data</w:t>
            </w:r>
          </w:p>
        </w:tc>
        <w:tc>
          <w:tcPr/>
          <w:p>
            <w:pPr>
              <w:pStyle w:val="Compact"/>
              <w:jc w:val="left"/>
            </w:pPr>
            <w:r>
              <w:t xml:space="preserve">Kd/Ki refinement; competitor benchmarking</w:t>
            </w:r>
          </w:p>
        </w:tc>
      </w:tr>
    </w:tbl>
    <w:bookmarkEnd w:id="146"/>
    <w:bookmarkStart w:id="147" w:name="X846ff88f80fa705a4a9b9f4396eccf08c14bbea"/>
    <w:p>
      <w:pPr>
        <w:pStyle w:val="5"/>
      </w:pPr>
      <w:r>
        <w:t xml:space="preserve">8.1.1.2 Protein Context: UniProt (REST), AlphaFold (REST), RCSB PDB (REST)</w:t>
      </w:r>
    </w:p>
    <w:tbl>
      <w:tblPr>
        <w:tblStyle w:val="Table"/>
        <w:tblW w:type="pct" w:w="5000"/>
        <w:jc w:val="left"/>
        <w:tblLayout w:type="fixed"/>
        <w:tblLook w:firstRow="1" w:lastRow="0" w:firstColumn="0" w:lastColumn="0" w:noHBand="0" w:noVBand="0" w:val="0020"/>
      </w:tblPr>
      <w:tblGrid>
        <w:gridCol w:w="1885"/>
        <w:gridCol w:w="1885"/>
        <w:gridCol w:w="1697"/>
        <w:gridCol w:w="2451"/>
      </w:tblGrid>
      <w:tr>
        <w:trPr>
          <w:tblHeader w:val="on"/>
        </w:trPr>
        <w:tc>
          <w:tcPr/>
          <w:p>
            <w:pPr>
              <w:pStyle w:val="Compact"/>
              <w:jc w:val="left"/>
            </w:pPr>
            <w:r>
              <w:t xml:space="preserve">Database</w:t>
            </w:r>
          </w:p>
        </w:tc>
        <w:tc>
          <w:tcPr/>
          <w:p>
            <w:pPr>
              <w:pStyle w:val="Compact"/>
              <w:jc w:val="left"/>
            </w:pPr>
            <w:r>
              <w:t xml:space="preserve">API Type</w:t>
            </w:r>
          </w:p>
        </w:tc>
        <w:tc>
          <w:tcPr/>
          <w:p>
            <w:pPr>
              <w:pStyle w:val="Compact"/>
              <w:jc w:val="left"/>
            </w:pPr>
            <w:r>
              <w:t xml:space="preserve">Content</w:t>
            </w:r>
          </w:p>
        </w:tc>
        <w:tc>
          <w:tcPr/>
          <w:p>
            <w:pPr>
              <w:pStyle w:val="Compact"/>
              <w:jc w:val="left"/>
            </w:pPr>
            <w:r>
              <w:t xml:space="preserve">Application</w:t>
            </w:r>
          </w:p>
        </w:tc>
      </w:tr>
      <w:tr>
        <w:tc>
          <w:tcPr/>
          <w:p>
            <w:pPr>
              <w:pStyle w:val="Compact"/>
              <w:jc w:val="left"/>
            </w:pPr>
            <w:r>
              <w:rPr>
                <w:b/>
                <w:bCs/>
              </w:rPr>
              <w:t xml:space="preserve">UniProt</w:t>
            </w:r>
          </w:p>
        </w:tc>
        <w:tc>
          <w:tcPr/>
          <w:p>
            <w:pPr>
              <w:pStyle w:val="Compact"/>
              <w:jc w:val="left"/>
            </w:pPr>
            <w:r>
              <w:t xml:space="preserve">REST</w:t>
            </w:r>
          </w:p>
        </w:tc>
        <w:tc>
          <w:tcPr/>
          <w:p>
            <w:pPr>
              <w:pStyle w:val="Compact"/>
              <w:jc w:val="left"/>
            </w:pPr>
            <w:r>
              <w:t xml:space="preserve">Protein metadata; functional annotation; domain architecture</w:t>
            </w:r>
          </w:p>
        </w:tc>
        <w:tc>
          <w:tcPr/>
          <w:p>
            <w:pPr>
              <w:pStyle w:val="Compact"/>
              <w:jc w:val="left"/>
            </w:pPr>
            <w:r>
              <w:t xml:space="preserve">Target validation; mechanism-informed modeling</w:t>
            </w:r>
          </w:p>
        </w:tc>
      </w:tr>
      <w:tr>
        <w:tc>
          <w:tcPr/>
          <w:p>
            <w:pPr>
              <w:pStyle w:val="Compact"/>
              <w:jc w:val="left"/>
            </w:pPr>
            <w:r>
              <w:rPr>
                <w:b/>
                <w:bCs/>
              </w:rPr>
              <w:t xml:space="preserve">AlphaFold</w:t>
            </w:r>
          </w:p>
        </w:tc>
        <w:tc>
          <w:tcPr/>
          <w:p>
            <w:pPr>
              <w:pStyle w:val="Compact"/>
              <w:jc w:val="left"/>
            </w:pPr>
            <w:r>
              <w:t xml:space="preserve">REST</w:t>
            </w:r>
          </w:p>
        </w:tc>
        <w:tc>
          <w:tcPr/>
          <w:p>
            <w:pPr>
              <w:pStyle w:val="Compact"/>
              <w:jc w:val="left"/>
            </w:pPr>
            <w:r>
              <w:t xml:space="preserve">AI-predicted 3D structures; pLDDT confidence scores</w:t>
            </w:r>
          </w:p>
        </w:tc>
        <w:tc>
          <w:tcPr/>
          <w:p>
            <w:pPr>
              <w:pStyle w:val="Compact"/>
              <w:jc w:val="left"/>
            </w:pPr>
            <w:r>
              <w:t xml:space="preserve">Structure-based design; binding site visualization</w:t>
            </w:r>
          </w:p>
        </w:tc>
      </w:tr>
      <w:tr>
        <w:tc>
          <w:tcPr/>
          <w:p>
            <w:pPr>
              <w:pStyle w:val="Compact"/>
              <w:jc w:val="left"/>
            </w:pPr>
            <w:r>
              <w:rPr>
                <w:b/>
                <w:bCs/>
              </w:rPr>
              <w:t xml:space="preserve">RCSB PDB</w:t>
            </w:r>
          </w:p>
        </w:tc>
        <w:tc>
          <w:tcPr/>
          <w:p>
            <w:pPr>
              <w:pStyle w:val="Compact"/>
              <w:jc w:val="left"/>
            </w:pPr>
            <w:r>
              <w:t xml:space="preserve">REST</w:t>
            </w:r>
          </w:p>
        </w:tc>
        <w:tc>
          <w:tcPr/>
          <w:p>
            <w:pPr>
              <w:pStyle w:val="Compact"/>
              <w:jc w:val="left"/>
            </w:pPr>
            <w:r>
              <w:t xml:space="preserve">Experimental crystal structures; resolution; bound ligands</w:t>
            </w:r>
          </w:p>
        </w:tc>
        <w:tc>
          <w:tcPr/>
          <w:p>
            <w:pPr>
              <w:pStyle w:val="Compact"/>
              <w:jc w:val="left"/>
            </w:pPr>
            <w:r>
              <w:t xml:space="preserve">Template selection; binding mode validation</w:t>
            </w:r>
          </w:p>
        </w:tc>
      </w:tr>
    </w:tbl>
    <w:bookmarkEnd w:id="147"/>
    <w:bookmarkStart w:id="148" w:name="Xfa908a0624176f4075fd0dc734be6c3c43f3418"/>
    <w:p>
      <w:pPr>
        <w:pStyle w:val="5"/>
      </w:pPr>
      <w:r>
        <w:t xml:space="preserve">8.1.1.3 Network &amp; Pathways: STRING (REST), KEGG (REST), Reactome (REST)</w:t>
      </w:r>
    </w:p>
    <w:tbl>
      <w:tblPr>
        <w:tblStyle w:val="Table"/>
        <w:tblW w:type="pct" w:w="5000"/>
        <w:jc w:val="left"/>
        <w:tblLayout w:type="fixed"/>
        <w:tblLook w:firstRow="1" w:lastRow="0" w:firstColumn="0" w:lastColumn="0" w:noHBand="0" w:noVBand="0" w:val="0020"/>
      </w:tblPr>
      <w:tblGrid>
        <w:gridCol w:w="1885"/>
        <w:gridCol w:w="1885"/>
        <w:gridCol w:w="1697"/>
        <w:gridCol w:w="2451"/>
      </w:tblGrid>
      <w:tr>
        <w:trPr>
          <w:tblHeader w:val="on"/>
        </w:trPr>
        <w:tc>
          <w:tcPr/>
          <w:p>
            <w:pPr>
              <w:pStyle w:val="Compact"/>
              <w:jc w:val="left"/>
            </w:pPr>
            <w:r>
              <w:t xml:space="preserve">Database</w:t>
            </w:r>
          </w:p>
        </w:tc>
        <w:tc>
          <w:tcPr/>
          <w:p>
            <w:pPr>
              <w:pStyle w:val="Compact"/>
              <w:jc w:val="left"/>
            </w:pPr>
            <w:r>
              <w:t xml:space="preserve">API Type</w:t>
            </w:r>
          </w:p>
        </w:tc>
        <w:tc>
          <w:tcPr/>
          <w:p>
            <w:pPr>
              <w:pStyle w:val="Compact"/>
              <w:jc w:val="left"/>
            </w:pPr>
            <w:r>
              <w:t xml:space="preserve">Content</w:t>
            </w:r>
          </w:p>
        </w:tc>
        <w:tc>
          <w:tcPr/>
          <w:p>
            <w:pPr>
              <w:pStyle w:val="Compact"/>
              <w:jc w:val="left"/>
            </w:pPr>
            <w:r>
              <w:t xml:space="preserve">Application</w:t>
            </w:r>
          </w:p>
        </w:tc>
      </w:tr>
      <w:tr>
        <w:tc>
          <w:tcPr/>
          <w:p>
            <w:pPr>
              <w:pStyle w:val="Compact"/>
              <w:jc w:val="left"/>
            </w:pPr>
            <w:r>
              <w:rPr>
                <w:b/>
                <w:bCs/>
              </w:rPr>
              <w:t xml:space="preserve">STRING</w:t>
            </w:r>
          </w:p>
        </w:tc>
        <w:tc>
          <w:tcPr/>
          <w:p>
            <w:pPr>
              <w:pStyle w:val="Compact"/>
              <w:jc w:val="left"/>
            </w:pPr>
            <w:r>
              <w:t xml:space="preserve">REST</w:t>
            </w:r>
          </w:p>
        </w:tc>
        <w:tc>
          <w:tcPr/>
          <w:p>
            <w:pPr>
              <w:pStyle w:val="Compact"/>
              <w:jc w:val="left"/>
            </w:pPr>
            <w:r>
              <w:t xml:space="preserve">Protein-protein interaction networks; hub scores</w:t>
            </w:r>
          </w:p>
        </w:tc>
        <w:tc>
          <w:tcPr/>
          <w:p>
            <w:pPr>
              <w:pStyle w:val="Compact"/>
              <w:jc w:val="left"/>
            </w:pPr>
            <w:r>
              <w:t xml:space="preserve">Off-target liability; pathway engagement; resistance mechanisms</w:t>
            </w:r>
          </w:p>
        </w:tc>
      </w:tr>
      <w:tr>
        <w:tc>
          <w:tcPr/>
          <w:p>
            <w:pPr>
              <w:pStyle w:val="Compact"/>
              <w:jc w:val="left"/>
            </w:pPr>
            <w:r>
              <w:rPr>
                <w:b/>
                <w:bCs/>
              </w:rPr>
              <w:t xml:space="preserve">KEGG</w:t>
            </w:r>
          </w:p>
        </w:tc>
        <w:tc>
          <w:tcPr/>
          <w:p>
            <w:pPr>
              <w:pStyle w:val="Compact"/>
              <w:jc w:val="left"/>
            </w:pPr>
            <w:r>
              <w:t xml:space="preserve">REST</w:t>
            </w:r>
          </w:p>
        </w:tc>
        <w:tc>
          <w:tcPr/>
          <w:p>
            <w:pPr>
              <w:pStyle w:val="Compact"/>
              <w:jc w:val="left"/>
            </w:pPr>
            <w:r>
              <w:t xml:space="preserve">Metabolic pathways; disease associations; drug networks</w:t>
            </w:r>
          </w:p>
        </w:tc>
        <w:tc>
          <w:tcPr/>
          <w:p>
            <w:pPr>
              <w:pStyle w:val="Compact"/>
              <w:jc w:val="left"/>
            </w:pPr>
            <w:r>
              <w:t xml:space="preserve">Indication expansion; combination therapy rationale</w:t>
            </w:r>
          </w:p>
        </w:tc>
      </w:tr>
      <w:tr>
        <w:tc>
          <w:tcPr/>
          <w:p>
            <w:pPr>
              <w:pStyle w:val="Compact"/>
              <w:jc w:val="left"/>
            </w:pPr>
            <w:r>
              <w:rPr>
                <w:b/>
                <w:bCs/>
              </w:rPr>
              <w:t xml:space="preserve">Reactome</w:t>
            </w:r>
          </w:p>
        </w:tc>
        <w:tc>
          <w:tcPr/>
          <w:p>
            <w:pPr>
              <w:pStyle w:val="Compact"/>
              <w:jc w:val="left"/>
            </w:pPr>
            <w:r>
              <w:t xml:space="preserve">REST</w:t>
            </w:r>
          </w:p>
        </w:tc>
        <w:tc>
          <w:tcPr/>
          <w:p>
            <w:pPr>
              <w:pStyle w:val="Compact"/>
              <w:jc w:val="left"/>
            </w:pPr>
            <w:r>
              <w:t xml:space="preserve">Biological process enrichment; signaling pathway mapping</w:t>
            </w:r>
          </w:p>
        </w:tc>
        <w:tc>
          <w:tcPr/>
          <w:p>
            <w:pPr>
              <w:pStyle w:val="Compact"/>
              <w:jc w:val="left"/>
            </w:pPr>
            <w:r>
              <w:t xml:space="preserve">Mechanism validation; biomarker identification</w:t>
            </w:r>
          </w:p>
        </w:tc>
      </w:tr>
    </w:tbl>
    <w:bookmarkEnd w:id="148"/>
    <w:bookmarkStart w:id="149" w:name="target-intelligence-open-targets-graphql"/>
    <w:p>
      <w:pPr>
        <w:pStyle w:val="5"/>
      </w:pPr>
      <w:r>
        <w:t xml:space="preserve">8.1.1.4 Target Intelligence: Open Targets (GraphQL)</w:t>
      </w:r>
    </w:p>
    <w:tbl>
      <w:tblPr>
        <w:tblStyle w:val="Table"/>
        <w:tblW w:type="pct" w:w="5000"/>
        <w:jc w:val="left"/>
        <w:tblLayout w:type="fixed"/>
        <w:tblLook w:firstRow="1" w:lastRow="0" w:firstColumn="0" w:lastColumn="0" w:noHBand="0" w:noVBand="0" w:val="0020"/>
      </w:tblPr>
      <w:tblGrid>
        <w:gridCol w:w="1885"/>
        <w:gridCol w:w="1885"/>
        <w:gridCol w:w="1697"/>
        <w:gridCol w:w="2451"/>
      </w:tblGrid>
      <w:tr>
        <w:trPr>
          <w:tblHeader w:val="on"/>
        </w:trPr>
        <w:tc>
          <w:tcPr/>
          <w:p>
            <w:pPr>
              <w:pStyle w:val="Compact"/>
              <w:jc w:val="left"/>
            </w:pPr>
            <w:r>
              <w:t xml:space="preserve">Database</w:t>
            </w:r>
          </w:p>
        </w:tc>
        <w:tc>
          <w:tcPr/>
          <w:p>
            <w:pPr>
              <w:pStyle w:val="Compact"/>
              <w:jc w:val="left"/>
            </w:pPr>
            <w:r>
              <w:t xml:space="preserve">API Type</w:t>
            </w:r>
          </w:p>
        </w:tc>
        <w:tc>
          <w:tcPr/>
          <w:p>
            <w:pPr>
              <w:pStyle w:val="Compact"/>
              <w:jc w:val="left"/>
            </w:pPr>
            <w:r>
              <w:t xml:space="preserve">Content</w:t>
            </w:r>
          </w:p>
        </w:tc>
        <w:tc>
          <w:tcPr/>
          <w:p>
            <w:pPr>
              <w:pStyle w:val="Compact"/>
              <w:jc w:val="left"/>
            </w:pPr>
            <w:r>
              <w:t xml:space="preserve">Application</w:t>
            </w:r>
          </w:p>
        </w:tc>
      </w:tr>
      <w:tr>
        <w:tc>
          <w:tcPr/>
          <w:p>
            <w:pPr>
              <w:pStyle w:val="Compact"/>
              <w:jc w:val="left"/>
            </w:pPr>
            <w:r>
              <w:rPr>
                <w:b/>
                <w:bCs/>
              </w:rPr>
              <w:t xml:space="preserve">Open Targets</w:t>
            </w:r>
          </w:p>
        </w:tc>
        <w:tc>
          <w:tcPr/>
          <w:p>
            <w:pPr>
              <w:pStyle w:val="Compact"/>
              <w:jc w:val="left"/>
            </w:pPr>
            <w:r>
              <w:t xml:space="preserve">GraphQL</w:t>
            </w:r>
          </w:p>
        </w:tc>
        <w:tc>
          <w:tcPr/>
          <w:p>
            <w:pPr>
              <w:pStyle w:val="Compact"/>
              <w:jc w:val="left"/>
            </w:pPr>
            <w:r>
              <w:t xml:space="preserve">Target tractability; genetic associations; safety liabilities</w:t>
            </w:r>
          </w:p>
        </w:tc>
        <w:tc>
          <w:tcPr/>
          <w:p>
            <w:pPr>
              <w:pStyle w:val="Compact"/>
              <w:jc w:val="left"/>
            </w:pPr>
            <w:r>
              <w:t xml:space="preserve">Portfolio prioritization; target validation; risk assessment</w:t>
            </w:r>
          </w:p>
        </w:tc>
      </w:tr>
    </w:tbl>
    <w:bookmarkEnd w:id="149"/>
    <w:bookmarkEnd w:id="150"/>
    <w:bookmarkStart w:id="151" w:name="Xdde5c0765afaa7e7547fba7add71fa7fbae4670"/>
    <w:p>
      <w:pPr>
        <w:pStyle w:val="4"/>
      </w:pPr>
      <w:r>
        <w:t xml:space="preserve">8.1.2 Graceful Degradation: Partial Success Handling</w:t>
      </w:r>
    </w:p>
    <w:p>
      <w:pPr>
        <w:pStyle w:val="FirstParagraph"/>
      </w:pPr>
      <w:r>
        <w:rPr>
          <w:rStyle w:val="VerbatimChar"/>
        </w:rPr>
        <w:t xml:space="preserve">Promise.allSettled</w:t>
      </w:r>
      <w:r>
        <w:t xml:space="preserve"> </w:t>
      </w:r>
      <w:r>
        <w:t xml:space="preserve">ensures</w:t>
      </w:r>
      <w:r>
        <w:t xml:space="preserve"> </w:t>
      </w:r>
      <w:r>
        <w:rPr>
          <w:b/>
          <w:bCs/>
        </w:rPr>
        <w:t xml:space="preserve">individual query failures do not cascade</w:t>
      </w:r>
      <w:r>
        <w:t xml:space="preserve">; successful results are incorporated, failures are logged with status for provenance.</w:t>
      </w:r>
    </w:p>
    <w:bookmarkEnd w:id="151"/>
    <w:bookmarkStart w:id="152" w:name="ui-warnings-for-missing-data-sources"/>
    <w:p>
      <w:pPr>
        <w:pStyle w:val="4"/>
      </w:pPr>
      <w:r>
        <w:t xml:space="preserve">8.1.3 UI Warnings for Missing Data Sources</w:t>
      </w:r>
    </w:p>
    <w:p>
      <w:pPr>
        <w:pStyle w:val="FirstParagraph"/>
      </w:pPr>
      <w:r>
        <w:t xml:space="preserve">Explicit indication of</w:t>
      </w:r>
      <w:r>
        <w:t xml:space="preserve"> </w:t>
      </w:r>
      <w:r>
        <w:rPr>
          <w:b/>
          <w:bCs/>
        </w:rPr>
        <w:t xml:space="preserve">which enrichment data is unavailable</w:t>
      </w:r>
      <w:r>
        <w:t xml:space="preserve">, preventing false confidence in incomplete profiles.</w:t>
      </w:r>
    </w:p>
    <w:bookmarkEnd w:id="152"/>
    <w:bookmarkEnd w:id="153"/>
    <w:bookmarkStart w:id="164" w:name="provenance-haiops-governance-step-14"/>
    <w:p>
      <w:pPr>
        <w:pStyle w:val="3"/>
      </w:pPr>
      <w:r>
        <w:t xml:space="preserve">8.2 Provenance &amp; HAIOps Governance (Step 14)</w:t>
      </w:r>
    </w:p>
    <w:bookmarkStart w:id="158" w:name="provenancerecord-generation"/>
    <w:p>
      <w:pPr>
        <w:pStyle w:val="4"/>
      </w:pPr>
      <w:r>
        <w:t xml:space="preserve">8.2.1 ProvenanceRecord Generation</w:t>
      </w:r>
    </w:p>
    <w:bookmarkStart w:id="154" w:name="engine-version-source-file-tracking"/>
    <w:p>
      <w:pPr>
        <w:pStyle w:val="5"/>
      </w:pPr>
      <w:r>
        <w:t xml:space="preserve">8.2.1.1 Engine Version &amp; Source File Tracking</w:t>
      </w:r>
    </w:p>
    <w:tbl>
      <w:tblPr>
        <w:tblStyle w:val="Table"/>
        <w:tblW w:type="pct" w:w="5000"/>
        <w:jc w:val="left"/>
        <w:tblLayout w:type="fixed"/>
        <w:tblLook w:firstRow="1" w:lastRow="0" w:firstColumn="0" w:lastColumn="0" w:noHBand="0" w:noVBand="0" w:val="0020"/>
      </w:tblPr>
      <w:tblGrid>
        <w:gridCol w:w="5178"/>
        <w:gridCol w:w="2741"/>
      </w:tblGrid>
      <w:tr>
        <w:trPr>
          <w:tblHeader w:val="on"/>
        </w:trPr>
        <w:tc>
          <w:tcPr/>
          <w:p>
            <w:pPr>
              <w:pStyle w:val="Compact"/>
              <w:jc w:val="left"/>
            </w:pPr>
            <w:r>
              <w:t xml:space="preserve">Recorded Element</w:t>
            </w:r>
          </w:p>
        </w:tc>
        <w:tc>
          <w:tcPr/>
          <w:p>
            <w:pPr>
              <w:pStyle w:val="Compact"/>
              <w:jc w:val="left"/>
            </w:pPr>
            <w:r>
              <w:t xml:space="preserve">Purpose</w:t>
            </w:r>
          </w:p>
        </w:tc>
      </w:tr>
      <w:tr>
        <w:tc>
          <w:tcPr/>
          <w:p>
            <w:pPr>
              <w:pStyle w:val="Compact"/>
              <w:jc w:val="left"/>
            </w:pPr>
            <w:r>
              <w:t xml:space="preserve">Simulation engine version</w:t>
            </w:r>
          </w:p>
        </w:tc>
        <w:tc>
          <w:tcPr/>
          <w:p>
            <w:pPr>
              <w:pStyle w:val="Compact"/>
              <w:jc w:val="left"/>
            </w:pPr>
            <w:r>
              <w:t xml:space="preserve">Reproducibility; regression testing; audit trail</w:t>
            </w:r>
          </w:p>
        </w:tc>
      </w:tr>
      <w:tr>
        <w:tc>
          <w:tcPr/>
          <w:p>
            <w:pPr>
              <w:pStyle w:val="Compact"/>
              <w:jc w:val="left"/>
            </w:pPr>
            <w:r>
              <w:t xml:space="preserve">Source file references (e.g.,</w:t>
            </w:r>
            <w:r>
              <w:t xml:space="preserve"> </w:t>
            </w:r>
            <w:r>
              <w:rPr>
                <w:rStyle w:val="VerbatimChar"/>
              </w:rPr>
              <w:t xml:space="preserve">inVitroSim.ts</w:t>
            </w:r>
            <w:r>
              <w:t xml:space="preserve">,</w:t>
            </w:r>
            <w:r>
              <w:t xml:space="preserve"> </w:t>
            </w:r>
            <w:r>
              <w:rPr>
                <w:rStyle w:val="VerbatimChar"/>
              </w:rPr>
              <w:t xml:space="preserve">admet.ts</w:t>
            </w:r>
            <w:r>
              <w:t xml:space="preserve">)</w:t>
            </w:r>
          </w:p>
        </w:tc>
        <w:tc>
          <w:tcPr/>
          <w:p>
            <w:pPr>
              <w:pStyle w:val="Compact"/>
              <w:jc w:val="left"/>
            </w:pPr>
            <w:r>
              <w:t xml:space="preserve">Code-level attribution; debugging; validation</w:t>
            </w:r>
          </w:p>
        </w:tc>
      </w:tr>
    </w:tbl>
    <w:bookmarkEnd w:id="154"/>
    <w:bookmarkStart w:id="155" w:name="timestamp-input-smiles-archival"/>
    <w:p>
      <w:pPr>
        <w:pStyle w:val="5"/>
      </w:pPr>
      <w:r>
        <w:t xml:space="preserve">8.2.1.2 Timestamp &amp; Input SMILES Archival</w:t>
      </w:r>
    </w:p>
    <w:tbl>
      <w:tblPr>
        <w:tblStyle w:val="Table"/>
        <w:tblW w:type="pct" w:w="5000"/>
        <w:jc w:val="left"/>
        <w:tblLayout w:type="fixed"/>
        <w:tblLook w:firstRow="1" w:lastRow="0" w:firstColumn="0" w:lastColumn="0" w:noHBand="0" w:noVBand="0" w:val="0020"/>
      </w:tblPr>
      <w:tblGrid>
        <w:gridCol w:w="5178"/>
        <w:gridCol w:w="2741"/>
      </w:tblGrid>
      <w:tr>
        <w:trPr>
          <w:tblHeader w:val="on"/>
        </w:trPr>
        <w:tc>
          <w:tcPr/>
          <w:p>
            <w:pPr>
              <w:pStyle w:val="Compact"/>
              <w:jc w:val="left"/>
            </w:pPr>
            <w:r>
              <w:t xml:space="preserve">Recorded Element</w:t>
            </w:r>
          </w:p>
        </w:tc>
        <w:tc>
          <w:tcPr/>
          <w:p>
            <w:pPr>
              <w:pStyle w:val="Compact"/>
              <w:jc w:val="left"/>
            </w:pPr>
            <w:r>
              <w:t xml:space="preserve">Purpose</w:t>
            </w:r>
          </w:p>
        </w:tc>
      </w:tr>
      <w:tr>
        <w:tc>
          <w:tcPr/>
          <w:p>
            <w:pPr>
              <w:pStyle w:val="Compact"/>
              <w:jc w:val="left"/>
            </w:pPr>
            <w:r>
              <w:t xml:space="preserve">UTC timestamp</w:t>
            </w:r>
          </w:p>
        </w:tc>
        <w:tc>
          <w:tcPr/>
          <w:p>
            <w:pPr>
              <w:pStyle w:val="Compact"/>
              <w:jc w:val="left"/>
            </w:pPr>
            <w:r>
              <w:t xml:space="preserve">Temporal ordering; staleness assessment; regulatory documentation</w:t>
            </w:r>
          </w:p>
        </w:tc>
      </w:tr>
      <w:tr>
        <w:tc>
          <w:tcPr/>
          <w:p>
            <w:pPr>
              <w:pStyle w:val="Compact"/>
              <w:jc w:val="left"/>
            </w:pPr>
            <w:r>
              <w:t xml:space="preserve">Canonical input SMILES</w:t>
            </w:r>
          </w:p>
        </w:tc>
        <w:tc>
          <w:tcPr/>
          <w:p>
            <w:pPr>
              <w:pStyle w:val="Compact"/>
              <w:jc w:val="left"/>
            </w:pPr>
            <w:r>
              <w:t xml:space="preserve">Exact reproduction; cache key; equivalence verification</w:t>
            </w:r>
          </w:p>
        </w:tc>
      </w:tr>
    </w:tbl>
    <w:bookmarkEnd w:id="155"/>
    <w:bookmarkStart w:id="156" w:name="X0e2483a83519995493aa87563508ad159e22b0b"/>
    <w:p>
      <w:pPr>
        <w:pStyle w:val="5"/>
      </w:pPr>
      <w:r>
        <w:t xml:space="preserve">8.2.1.3 Database Query Status Logging (Success/Failed/Cached)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Handling</w:t>
            </w:r>
          </w:p>
        </w:tc>
      </w:tr>
      <w:tr>
        <w:tc>
          <w:tcPr/>
          <w:p>
            <w:pPr>
              <w:pStyle w:val="Compact"/>
              <w:jc w:val="left"/>
            </w:pPr>
            <w:r>
              <w:t xml:space="preserve">Success</w:t>
            </w:r>
          </w:p>
        </w:tc>
        <w:tc>
          <w:tcPr/>
          <w:p>
            <w:pPr>
              <w:pStyle w:val="Compact"/>
              <w:jc w:val="left"/>
            </w:pPr>
            <w:r>
              <w:t xml:space="preserve">Data incorporated; timestamp recorded</w:t>
            </w:r>
          </w:p>
        </w:tc>
      </w:tr>
      <w:tr>
        <w:tc>
          <w:tcPr/>
          <w:p>
            <w:pPr>
              <w:pStyle w:val="Compact"/>
              <w:jc w:val="left"/>
            </w:pPr>
            <w:r>
              <w:t xml:space="preserve">Failed</w:t>
            </w:r>
          </w:p>
        </w:tc>
        <w:tc>
          <w:tcPr/>
          <w:p>
            <w:pPr>
              <w:pStyle w:val="Compact"/>
              <w:jc w:val="left"/>
            </w:pPr>
            <w:r>
              <w:t xml:space="preserve">Error logged; graceful degradation triggered; retry queued</w:t>
            </w:r>
          </w:p>
        </w:tc>
      </w:tr>
      <w:tr>
        <w:tc>
          <w:tcPr/>
          <w:p>
            <w:pPr>
              <w:pStyle w:val="Compact"/>
              <w:jc w:val="left"/>
            </w:pPr>
            <w:r>
              <w:t xml:space="preserve">Cached</w:t>
            </w:r>
          </w:p>
        </w:tc>
        <w:tc>
          <w:tcPr/>
          <w:p>
            <w:pPr>
              <w:pStyle w:val="Compact"/>
              <w:jc w:val="left"/>
            </w:pPr>
            <w:r>
              <w:t xml:space="preserve">Staleness flag if exceeds threshold; refresh offered</w:t>
            </w:r>
          </w:p>
        </w:tc>
      </w:tr>
    </w:tbl>
    <w:bookmarkEnd w:id="156"/>
    <w:bookmarkStart w:id="157" w:name="staleness-warning-flags"/>
    <w:p>
      <w:pPr>
        <w:pStyle w:val="5"/>
      </w:pPr>
      <w:r>
        <w:t xml:space="preserve">8.2.1.4 Staleness Warning Flags</w:t>
      </w:r>
    </w:p>
    <w:p>
      <w:pPr>
        <w:pStyle w:val="FirstParagraph"/>
      </w:pPr>
      <w:r>
        <w:t xml:space="preserve">Cached data exceeding</w:t>
      </w:r>
      <w:r>
        <w:t xml:space="preserve"> </w:t>
      </w:r>
      <w:r>
        <w:rPr>
          <w:b/>
          <w:bCs/>
        </w:rPr>
        <w:t xml:space="preserve">defined age thresholds</w:t>
      </w:r>
      <w:r>
        <w:t xml:space="preserve"> </w:t>
      </w:r>
      <w:r>
        <w:t xml:space="preserve">triggers explicit warning, enabling informed decision-making about data freshness.</w:t>
      </w:r>
    </w:p>
    <w:bookmarkEnd w:id="157"/>
    <w:bookmarkEnd w:id="158"/>
    <w:bookmarkStart w:id="163" w:name="haiops-critical-risk-classification"/>
    <w:p>
      <w:pPr>
        <w:pStyle w:val="4"/>
      </w:pPr>
      <w:r>
        <w:t xml:space="preserve">8.2.2 HAIOps Critical Risk Classification</w:t>
      </w:r>
    </w:p>
    <w:p>
      <w:pPr>
        <w:pStyle w:val="FirstParagraph"/>
      </w:pPr>
      <w:r>
        <w:t xml:space="preserve">Layer 1 engines are classified as</w:t>
      </w:r>
      <w:r>
        <w:t xml:space="preserve"> </w:t>
      </w:r>
      <w:r>
        <w:rPr>
          <w:b/>
          <w:bCs/>
        </w:rPr>
        <w:t xml:space="preserve">Critical Risk</w:t>
      </w:r>
      <w:r>
        <w:t xml:space="preserve"> </w:t>
      </w:r>
      <w:r>
        <w:t xml:space="preserve">in the Healthcare AI Operations framework due to</w:t>
      </w:r>
      <w:r>
        <w:t xml:space="preserve"> </w:t>
      </w:r>
      <w:r>
        <w:rPr>
          <w:b/>
          <w:bCs/>
        </w:rPr>
        <w:t xml:space="preserve">direct influence on safety decisions</w:t>
      </w:r>
      <w:r>
        <w:t xml:space="preserve">.</w:t>
      </w:r>
    </w:p>
    <w:bookmarkStart w:id="159" w:name="Xd51ab0fdf859c2d1f8df19e72fa5ec5e97f4376"/>
    <w:p>
      <w:pPr>
        <w:pStyle w:val="5"/>
      </w:pPr>
      <w:r>
        <w:t xml:space="preserve">8.2.2.1 Safety Flag Cascade with Full Traceability</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t xml:space="preserve">Immutable flag propagation</w:t>
            </w:r>
          </w:p>
        </w:tc>
        <w:tc>
          <w:tcPr/>
          <w:p>
            <w:pPr>
              <w:pStyle w:val="Compact"/>
              <w:jc w:val="left"/>
            </w:pPr>
            <w:r>
              <w:t xml:space="preserve">L1 → L2 → L3 → L4 with complete audit chain</w:t>
            </w:r>
          </w:p>
        </w:tc>
      </w:tr>
      <w:tr>
        <w:tc>
          <w:tcPr/>
          <w:p>
            <w:pPr>
              <w:pStyle w:val="Compact"/>
              <w:jc w:val="left"/>
            </w:pPr>
            <w:r>
              <w:t xml:space="preserve">Versioned flag structure</w:t>
            </w:r>
          </w:p>
        </w:tc>
        <w:tc>
          <w:tcPr/>
          <w:p>
            <w:pPr>
              <w:pStyle w:val="Compact"/>
              <w:jc w:val="left"/>
            </w:pPr>
            <w:r>
              <w:t xml:space="preserve">Regulatory reference, confidence, triggering conditions preserved</w:t>
            </w:r>
          </w:p>
        </w:tc>
      </w:tr>
    </w:tbl>
    <w:bookmarkEnd w:id="159"/>
    <w:bookmarkStart w:id="160" w:name="Xefd516dbfd391a4a68e65481ef478bb8db3b6b7"/>
    <w:p>
      <w:pPr>
        <w:pStyle w:val="5"/>
      </w:pPr>
      <w:r>
        <w:t xml:space="preserve">8.2.2.2 Clinician-in-the-Loop: Non-Dismissible Review Requirements</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t xml:space="preserve">Mandatory acknowledgment</w:t>
            </w:r>
          </w:p>
        </w:tc>
        <w:tc>
          <w:tcPr/>
          <w:p>
            <w:pPr>
              <w:pStyle w:val="Compact"/>
              <w:jc w:val="left"/>
            </w:pPr>
            <w:r>
              <w:t xml:space="preserve">Interface blocking until explicit user action</w:t>
            </w:r>
          </w:p>
        </w:tc>
      </w:tr>
      <w:tr>
        <w:tc>
          <w:tcPr/>
          <w:p>
            <w:pPr>
              <w:pStyle w:val="Compact"/>
              <w:jc w:val="left"/>
            </w:pPr>
            <w:r>
              <w:t xml:space="preserve">Timestamped record</w:t>
            </w:r>
          </w:p>
        </w:tc>
        <w:tc>
          <w:tcPr/>
          <w:p>
            <w:pPr>
              <w:pStyle w:val="Compact"/>
              <w:jc w:val="left"/>
            </w:pPr>
            <w:r>
              <w:t xml:space="preserve">Complete audit trail for regulatory inspection</w:t>
            </w:r>
          </w:p>
        </w:tc>
      </w:tr>
    </w:tbl>
    <w:bookmarkEnd w:id="160"/>
    <w:bookmarkStart w:id="161" w:name="audit-trail-regulatory-reference-logging"/>
    <w:p>
      <w:pPr>
        <w:pStyle w:val="5"/>
      </w:pPr>
      <w:r>
        <w:t xml:space="preserve">8.2.2.3 Audit Trail: Regulatory Reference Logging</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t xml:space="preserve">ICH/FDA guideline citation</w:t>
            </w:r>
          </w:p>
        </w:tc>
        <w:tc>
          <w:tcPr/>
          <w:p>
            <w:pPr>
              <w:pStyle w:val="Compact"/>
              <w:jc w:val="left"/>
            </w:pPr>
            <w:r>
              <w:t xml:space="preserve">Every safety flag linked to specific regulatory standard</w:t>
            </w:r>
          </w:p>
        </w:tc>
      </w:tr>
      <w:tr>
        <w:tc>
          <w:tcPr/>
          <w:p>
            <w:pPr>
              <w:pStyle w:val="Compact"/>
              <w:jc w:val="left"/>
            </w:pPr>
            <w:r>
              <w:t xml:space="preserve">Decision rationale capture</w:t>
            </w:r>
          </w:p>
        </w:tc>
        <w:tc>
          <w:tcPr/>
          <w:p>
            <w:pPr>
              <w:pStyle w:val="Compact"/>
              <w:jc w:val="left"/>
            </w:pPr>
            <w:r>
              <w:t xml:space="preserve">Structured justification for overrides or deviations</w:t>
            </w:r>
          </w:p>
        </w:tc>
      </w:tr>
    </w:tbl>
    <w:bookmarkEnd w:id="161"/>
    <w:bookmarkStart w:id="162" w:name="Xd1748fbdb043f76daa7ce3839aa01634c739360"/>
    <w:p>
      <w:pPr>
        <w:pStyle w:val="5"/>
      </w:pPr>
      <w:r>
        <w:t xml:space="preserve">8.2.2.4 Graceful Degradation: Transparent Data Limitation Communication</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t xml:space="preserve">Explicit missing data indication</w:t>
            </w:r>
          </w:p>
        </w:tc>
        <w:tc>
          <w:tcPr/>
          <w:p>
            <w:pPr>
              <w:pStyle w:val="Compact"/>
              <w:jc w:val="left"/>
            </w:pPr>
            <w:r>
              <w:t xml:space="preserve">UI warnings when enrichment unavailable</w:t>
            </w:r>
          </w:p>
        </w:tc>
      </w:tr>
      <w:tr>
        <w:tc>
          <w:tcPr/>
          <w:p>
            <w:pPr>
              <w:pStyle w:val="Compact"/>
              <w:jc w:val="left"/>
            </w:pPr>
            <w:r>
              <w:t xml:space="preserve">Confidence adjustment</w:t>
            </w:r>
          </w:p>
        </w:tc>
        <w:tc>
          <w:tcPr/>
          <w:p>
            <w:pPr>
              <w:pStyle w:val="Compact"/>
              <w:jc w:val="left"/>
            </w:pPr>
            <w:r>
              <w:t xml:space="preserve">Reduced certainty flags when predictions rely on limited data</w:t>
            </w:r>
          </w:p>
        </w:tc>
      </w:tr>
    </w:tbl>
    <w:p>
      <w:r>
        <w:pict>
          <v:rect style="width:0;height:1.5pt" o:hralign="center" o:hrstd="t" o:hr="t"/>
        </w:pict>
      </w:r>
    </w:p>
    <w:bookmarkEnd w:id="162"/>
    <w:bookmarkEnd w:id="163"/>
    <w:bookmarkEnd w:id="164"/>
    <w:bookmarkEnd w:id="165"/>
    <w:bookmarkStart w:id="172" w:name="implementation-architecture"/>
    <w:p>
      <w:pPr>
        <w:pStyle w:val="2"/>
      </w:pPr>
      <w:r>
        <w:t xml:space="preserve">9. Implementation Architecture</w:t>
      </w:r>
    </w:p>
    <w:bookmarkStart w:id="166" w:name="core-source-file-organization"/>
    <w:p>
      <w:pPr>
        <w:pStyle w:val="3"/>
      </w:pPr>
      <w:r>
        <w:t xml:space="preserve">9.1 Core Source File Organization</w:t>
      </w:r>
    </w:p>
    <w:tbl>
      <w:tblPr>
        <w:tblStyle w:val="Table"/>
        <w:tblW w:type="pct" w:w="5000"/>
        <w:jc w:val="left"/>
        <w:tblLayout w:type="fixed"/>
        <w:tblLook w:firstRow="1" w:lastRow="0" w:firstColumn="0" w:lastColumn="0" w:noHBand="0" w:noVBand="0" w:val="0020"/>
      </w:tblPr>
      <w:tblGrid>
        <w:gridCol w:w="1900"/>
        <w:gridCol w:w="1900"/>
        <w:gridCol w:w="4118"/>
      </w:tblGrid>
      <w:tr>
        <w:trPr>
          <w:tblHeader w:val="on"/>
        </w:trPr>
        <w:tc>
          <w:tcPr/>
          <w:p>
            <w:pPr>
              <w:pStyle w:val="Compact"/>
              <w:jc w:val="left"/>
            </w:pPr>
            <w:r>
              <w:t xml:space="preserve">File</w:t>
            </w:r>
          </w:p>
        </w:tc>
        <w:tc>
          <w:tcPr/>
          <w:p>
            <w:pPr>
              <w:pStyle w:val="Compact"/>
              <w:jc w:val="left"/>
            </w:pPr>
            <w:r>
              <w:t xml:space="preserve">Role</w:t>
            </w:r>
          </w:p>
        </w:tc>
        <w:tc>
          <w:tcPr/>
          <w:p>
            <w:pPr>
              <w:pStyle w:val="Compact"/>
              <w:jc w:val="left"/>
            </w:pPr>
            <w:r>
              <w:t xml:space="preserve">Key Functions</w:t>
            </w:r>
          </w:p>
        </w:tc>
      </w:tr>
      <w:tr>
        <w:tc>
          <w:tcPr/>
          <w:p>
            <w:pPr>
              <w:pStyle w:val="Compact"/>
              <w:jc w:val="left"/>
            </w:pPr>
            <w:r>
              <w:rPr>
                <w:rStyle w:val="VerbatimChar"/>
              </w:rPr>
              <w:t xml:space="preserve">src/lib/chemistry.ts</w:t>
            </w:r>
          </w:p>
        </w:tc>
        <w:tc>
          <w:tcPr/>
          <w:p>
            <w:pPr>
              <w:pStyle w:val="Compact"/>
              <w:jc w:val="left"/>
            </w:pPr>
            <w:r>
              <w:rPr>
                <w:b/>
                <w:bCs/>
              </w:rPr>
              <w:t xml:space="preserve">RDKit integration, properties, pharmacophores</w:t>
            </w:r>
          </w:p>
        </w:tc>
        <w:tc>
          <w:tcPr/>
          <w:p>
            <w:pPr>
              <w:pStyle w:val="Compact"/>
              <w:jc w:val="left"/>
            </w:pPr>
            <w:r>
              <w:t xml:space="preserve">Descriptor computation; SMARTS pattern matching; canonicalization</w:t>
            </w:r>
          </w:p>
        </w:tc>
      </w:tr>
      <w:tr>
        <w:tc>
          <w:tcPr/>
          <w:p>
            <w:pPr>
              <w:pStyle w:val="Compact"/>
              <w:jc w:val="left"/>
            </w:pPr>
            <w:r>
              <w:rPr>
                <w:rStyle w:val="VerbatimChar"/>
              </w:rPr>
              <w:t xml:space="preserve">src/lib/targetSuggestion.ts</w:t>
            </w:r>
          </w:p>
        </w:tc>
        <w:tc>
          <w:tcPr/>
          <w:p>
            <w:pPr>
              <w:pStyle w:val="Compact"/>
              <w:jc w:val="left"/>
            </w:pPr>
            <w:r>
              <w:rPr>
                <w:b/>
                <w:bCs/>
              </w:rPr>
              <w:t xml:space="preserve">29-target catalog, heuristic scoring</w:t>
            </w:r>
          </w:p>
        </w:tc>
        <w:tc>
          <w:tcPr/>
          <w:p>
            <w:pPr>
              <w:pStyle w:val="Compact"/>
              <w:jc w:val="left"/>
            </w:pPr>
            <w:r>
              <w:t xml:space="preserve">Custom scoring functions; confidence calculation; therapeutic area mapping</w:t>
            </w:r>
          </w:p>
        </w:tc>
      </w:tr>
      <w:tr>
        <w:tc>
          <w:tcPr/>
          <w:p>
            <w:pPr>
              <w:pStyle w:val="Compact"/>
              <w:jc w:val="left"/>
            </w:pPr>
            <w:r>
              <w:rPr>
                <w:rStyle w:val="VerbatimChar"/>
              </w:rPr>
              <w:t xml:space="preserve">src/lib/chemblTargetLookup.ts</w:t>
            </w:r>
          </w:p>
        </w:tc>
        <w:tc>
          <w:tcPr/>
          <w:p>
            <w:pPr>
              <w:pStyle w:val="Compact"/>
              <w:jc w:val="left"/>
            </w:pPr>
            <w:r>
              <w:rPr>
                <w:b/>
                <w:bCs/>
              </w:rPr>
              <w:t xml:space="preserve">ChEMBL API integration</w:t>
            </w:r>
          </w:p>
        </w:tc>
        <w:tc>
          <w:tcPr/>
          <w:p>
            <w:pPr>
              <w:pStyle w:val="Compact"/>
              <w:jc w:val="left"/>
            </w:pPr>
            <w:r>
              <w:t xml:space="preserve">Parallel query execution; experimental data parsing; result merging</w:t>
            </w:r>
          </w:p>
        </w:tc>
      </w:tr>
      <w:tr>
        <w:tc>
          <w:tcPr/>
          <w:p>
            <w:pPr>
              <w:pStyle w:val="Compact"/>
              <w:jc w:val="left"/>
            </w:pPr>
            <w:r>
              <w:rPr>
                <w:rStyle w:val="VerbatimChar"/>
              </w:rPr>
              <w:t xml:space="preserve">src/lib/admet.ts</w:t>
            </w:r>
          </w:p>
        </w:tc>
        <w:tc>
          <w:tcPr/>
          <w:p>
            <w:pPr>
              <w:pStyle w:val="Compact"/>
              <w:jc w:val="left"/>
            </w:pPr>
            <w:r>
              <w:rPr>
                <w:b/>
                <w:bCs/>
              </w:rPr>
              <w:t xml:space="preserve">ADMET, Lipinski, binding, Go/No-Go</w:t>
            </w:r>
          </w:p>
        </w:tc>
        <w:tc>
          <w:tcPr/>
          <w:p>
            <w:pPr>
              <w:pStyle w:val="Compact"/>
              <w:jc w:val="left"/>
            </w:pPr>
            <w:r>
              <w:t xml:space="preserve">Five-dimension scoring; rule checking; decision synthesis</w:t>
            </w:r>
          </w:p>
        </w:tc>
      </w:tr>
      <w:tr>
        <w:tc>
          <w:tcPr/>
          <w:p>
            <w:pPr>
              <w:pStyle w:val="Compact"/>
              <w:jc w:val="left"/>
            </w:pPr>
            <w:r>
              <w:rPr>
                <w:rStyle w:val="VerbatimChar"/>
              </w:rPr>
              <w:t xml:space="preserve">src/lib/inVitroSim.ts</w:t>
            </w:r>
          </w:p>
        </w:tc>
        <w:tc>
          <w:tcPr/>
          <w:p>
            <w:pPr>
              <w:pStyle w:val="Compact"/>
              <w:jc w:val="left"/>
            </w:pPr>
            <w:r>
              <w:rPr>
                <w:b/>
                <w:bCs/>
              </w:rPr>
              <w:t xml:space="preserve">Dose-response, permeability, metabolic stability</w:t>
            </w:r>
          </w:p>
        </w:tc>
        <w:tc>
          <w:tcPr/>
          <w:p>
            <w:pPr>
              <w:pStyle w:val="Compact"/>
              <w:jc w:val="left"/>
            </w:pPr>
            <w:r>
              <w:t xml:space="preserve">Hill equation modeling; Papp prediction; CLint estimation</w:t>
            </w:r>
          </w:p>
        </w:tc>
      </w:tr>
      <w:tr>
        <w:tc>
          <w:tcPr/>
          <w:p>
            <w:pPr>
              <w:pStyle w:val="Compact"/>
              <w:jc w:val="left"/>
            </w:pPr>
            <w:r>
              <w:rPr>
                <w:rStyle w:val="VerbatimChar"/>
              </w:rPr>
              <w:t xml:space="preserve">src/lib/bioactivationEngine.ts</w:t>
            </w:r>
          </w:p>
        </w:tc>
        <w:tc>
          <w:tcPr/>
          <w:p>
            <w:pPr>
              <w:pStyle w:val="Compact"/>
              <w:jc w:val="left"/>
            </w:pPr>
            <w:r>
              <w:rPr>
                <w:b/>
                <w:bCs/>
              </w:rPr>
              <w:t xml:space="preserve">Reactive metabolite detection</w:t>
            </w:r>
          </w:p>
        </w:tc>
        <w:tc>
          <w:tcPr/>
          <w:p>
            <w:pPr>
              <w:pStyle w:val="Compact"/>
              <w:jc w:val="left"/>
            </w:pPr>
            <w:r>
              <w:t xml:space="preserve">SMARTS alert scanning; AOP linkage; ICH reference mapping</w:t>
            </w:r>
          </w:p>
        </w:tc>
      </w:tr>
      <w:tr>
        <w:tc>
          <w:tcPr/>
          <w:p>
            <w:pPr>
              <w:pStyle w:val="Compact"/>
              <w:jc w:val="left"/>
            </w:pPr>
            <w:r>
              <w:rPr>
                <w:rStyle w:val="VerbatimChar"/>
              </w:rPr>
              <w:t xml:space="preserve">src/lib/safetyFlags.ts</w:t>
            </w:r>
          </w:p>
        </w:tc>
        <w:tc>
          <w:tcPr/>
          <w:p>
            <w:pPr>
              <w:pStyle w:val="Compact"/>
              <w:jc w:val="left"/>
            </w:pPr>
            <w:r>
              <w:rPr>
                <w:b/>
                <w:bCs/>
              </w:rPr>
              <w:t xml:space="preserve">ICH-referenced flag computation</w:t>
            </w:r>
          </w:p>
        </w:tc>
        <w:tc>
          <w:tcPr/>
          <w:p>
            <w:pPr>
              <w:pStyle w:val="Compact"/>
              <w:jc w:val="left"/>
            </w:pPr>
            <w:r>
              <w:t xml:space="preserve">Flag generation; persistence rules; cascade implementation</w:t>
            </w:r>
          </w:p>
        </w:tc>
      </w:tr>
      <w:tr>
        <w:tc>
          <w:tcPr/>
          <w:p>
            <w:pPr>
              <w:pStyle w:val="Compact"/>
              <w:jc w:val="left"/>
            </w:pPr>
            <w:r>
              <w:rPr>
                <w:rStyle w:val="VerbatimChar"/>
              </w:rPr>
              <w:t xml:space="preserve">src/lib/pdModel.ts</w:t>
            </w:r>
          </w:p>
        </w:tc>
        <w:tc>
          <w:tcPr/>
          <w:p>
            <w:pPr>
              <w:pStyle w:val="Compact"/>
              <w:jc w:val="left"/>
            </w:pPr>
            <w:r>
              <w:rPr>
                <w:b/>
                <w:bCs/>
              </w:rPr>
              <w:t xml:space="preserve">Emax model, ChEMBL parameter refinement</w:t>
            </w:r>
          </w:p>
        </w:tc>
        <w:tc>
          <w:tcPr/>
          <w:p>
            <w:pPr>
              <w:pStyle w:val="Compact"/>
              <w:jc w:val="left"/>
            </w:pPr>
            <w:r>
              <w:t xml:space="preserve">Pharmacodynamic modeling; experimental data integration</w:t>
            </w:r>
          </w:p>
        </w:tc>
      </w:tr>
      <w:tr>
        <w:tc>
          <w:tcPr/>
          <w:p>
            <w:pPr>
              <w:pStyle w:val="Compact"/>
              <w:jc w:val="left"/>
            </w:pPr>
            <w:r>
              <w:rPr>
                <w:rStyle w:val="VerbatimChar"/>
              </w:rPr>
              <w:t xml:space="preserve">src/pages/HakaseAI.tsx</w:t>
            </w:r>
          </w:p>
        </w:tc>
        <w:tc>
          <w:tcPr/>
          <w:p>
            <w:pPr>
              <w:pStyle w:val="Compact"/>
              <w:jc w:val="left"/>
            </w:pPr>
            <w:r>
              <w:rPr>
                <w:b/>
                <w:bCs/>
              </w:rPr>
              <w:t xml:space="preserve">UI orchestration, enrichment, provenance</w:t>
            </w:r>
          </w:p>
        </w:tc>
        <w:tc>
          <w:tcPr/>
          <w:p>
            <w:pPr>
              <w:pStyle w:val="Compact"/>
              <w:jc w:val="left"/>
            </w:pPr>
            <w:r>
              <w:t xml:space="preserve">Component coordination; database query management; HAIOps governance</w:t>
            </w:r>
          </w:p>
        </w:tc>
      </w:tr>
    </w:tbl>
    <w:bookmarkEnd w:id="166"/>
    <w:bookmarkStart w:id="171" w:name="design-principle-compliance"/>
    <w:p>
      <w:pPr>
        <w:pStyle w:val="3"/>
      </w:pPr>
      <w:r>
        <w:t xml:space="preserve">9.2 Design Principle Compliance</w:t>
      </w:r>
    </w:p>
    <w:bookmarkStart w:id="167" w:name="Xcdab5577216de2ba7043fd5875475fbe2362732"/>
    <w:p>
      <w:pPr>
        <w:pStyle w:val="4"/>
      </w:pPr>
      <w:r>
        <w:t xml:space="preserve">9.2.1 Absolute Confidence Scoring: Fixed Normalization (Score/12)</w:t>
      </w:r>
    </w:p>
    <w:tbl>
      <w:tblPr>
        <w:tblStyle w:val="Table"/>
        <w:tblW w:type="pct" w:w="5000"/>
        <w:jc w:val="left"/>
        <w:tblLayout w:type="fixed"/>
        <w:tblLook w:firstRow="1" w:lastRow="0" w:firstColumn="0" w:lastColumn="0" w:noHBand="0" w:noVBand="0" w:val="0020"/>
      </w:tblPr>
      <w:tblGrid>
        <w:gridCol w:w="2489"/>
        <w:gridCol w:w="3394"/>
        <w:gridCol w:w="2036"/>
      </w:tblGrid>
      <w:tr>
        <w:trPr>
          <w:tblHeader w:val="on"/>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Benefit</w:t>
            </w:r>
          </w:p>
        </w:tc>
      </w:tr>
      <w:tr>
        <w:tc>
          <w:tcPr/>
          <w:p>
            <w:pPr>
              <w:pStyle w:val="Compact"/>
              <w:jc w:val="left"/>
            </w:pPr>
            <w:r>
              <w:t xml:space="preserve">Fixed denominator (12)</w:t>
            </w:r>
          </w:p>
        </w:tc>
        <w:tc>
          <w:tcPr/>
          <w:p>
            <w:pPr>
              <w:pStyle w:val="Compact"/>
              <w:jc w:val="left"/>
            </w:pPr>
            <w:r>
              <w:t xml:space="preserve">Raw score / 12 = percentage</w:t>
            </w:r>
          </w:p>
        </w:tc>
        <w:tc>
          <w:tcPr/>
          <w:p>
            <w:pPr>
              <w:pStyle w:val="Compact"/>
              <w:jc w:val="left"/>
            </w:pPr>
            <w:r>
              <w:t xml:space="preserve">Honest signaling; no false confidence from relative ranking</w:t>
            </w:r>
          </w:p>
        </w:tc>
      </w:tr>
    </w:tbl>
    <w:bookmarkEnd w:id="167"/>
    <w:bookmarkStart w:id="168" w:name="X08c622c50845875e592d6f6f7b6858840ccbc4d"/>
    <w:p>
      <w:pPr>
        <w:pStyle w:val="4"/>
      </w:pPr>
      <w:r>
        <w:t xml:space="preserve">9.2.2 Experimental Data Supremacy: ChEMBL Override of Predictions</w:t>
      </w:r>
    </w:p>
    <w:tbl>
      <w:tblPr>
        <w:tblStyle w:val="Table"/>
        <w:tblW w:type="pct" w:w="5000"/>
        <w:jc w:val="left"/>
        <w:tblLayout w:type="fixed"/>
        <w:tblLook w:firstRow="1" w:lastRow="0" w:firstColumn="0" w:lastColumn="0" w:noHBand="0" w:noVBand="0" w:val="0020"/>
      </w:tblPr>
      <w:tblGrid>
        <w:gridCol w:w="2489"/>
        <w:gridCol w:w="3394"/>
        <w:gridCol w:w="2036"/>
      </w:tblGrid>
      <w:tr>
        <w:trPr>
          <w:tblHeader w:val="on"/>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Benefit</w:t>
            </w:r>
          </w:p>
        </w:tc>
      </w:tr>
      <w:tr>
        <w:tc>
          <w:tcPr/>
          <w:p>
            <w:pPr>
              <w:pStyle w:val="Compact"/>
              <w:jc w:val="left"/>
            </w:pPr>
            <w:r>
              <w:t xml:space="preserve">Unconditional experimental priority</w:t>
            </w:r>
          </w:p>
        </w:tc>
        <w:tc>
          <w:tcPr/>
          <w:p>
            <w:pPr>
              <w:pStyle w:val="Compact"/>
              <w:jc w:val="left"/>
            </w:pPr>
            <w:r>
              <w:t xml:space="preserve">“</w:t>
            </w:r>
            <w:r>
              <w:t xml:space="preserve">Experimental</w:t>
            </w:r>
            <w:r>
              <w:t xml:space="preserve">”</w:t>
            </w:r>
            <w:r>
              <w:t xml:space="preserve"> </w:t>
            </w:r>
            <w:r>
              <w:t xml:space="preserve">label; top list position; prediction override</w:t>
            </w:r>
          </w:p>
        </w:tc>
        <w:tc>
          <w:tcPr/>
          <w:p>
            <w:pPr>
              <w:pStyle w:val="Compact"/>
              <w:jc w:val="left"/>
            </w:pPr>
            <w:r>
              <w:t xml:space="preserve">Epistemic correctness; prevents misleading predictions</w:t>
            </w:r>
          </w:p>
        </w:tc>
      </w:tr>
    </w:tbl>
    <w:bookmarkEnd w:id="168"/>
    <w:bookmarkStart w:id="169" w:name="X05aea4f582ba1e53f07bf5b1afb238936bc371b"/>
    <w:p>
      <w:pPr>
        <w:pStyle w:val="4"/>
      </w:pPr>
      <w:r>
        <w:t xml:space="preserve">9.2.3 Safety-First Cascade: Non-Silent Flag Propagation</w:t>
      </w:r>
    </w:p>
    <w:tbl>
      <w:tblPr>
        <w:tblStyle w:val="Table"/>
        <w:tblW w:type="pct" w:w="5000"/>
        <w:jc w:val="left"/>
        <w:tblLayout w:type="fixed"/>
        <w:tblLook w:firstRow="1" w:lastRow="0" w:firstColumn="0" w:lastColumn="0" w:noHBand="0" w:noVBand="0" w:val="0020"/>
      </w:tblPr>
      <w:tblGrid>
        <w:gridCol w:w="2489"/>
        <w:gridCol w:w="3394"/>
        <w:gridCol w:w="2036"/>
      </w:tblGrid>
      <w:tr>
        <w:trPr>
          <w:tblHeader w:val="on"/>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Benefit</w:t>
            </w:r>
          </w:p>
        </w:tc>
      </w:tr>
      <w:tr>
        <w:tc>
          <w:tcPr/>
          <w:p>
            <w:pPr>
              <w:pStyle w:val="Compact"/>
              <w:jc w:val="left"/>
            </w:pPr>
            <w:r>
              <w:t xml:space="preserve">Immutable, non-droppable flags</w:t>
            </w:r>
          </w:p>
        </w:tc>
        <w:tc>
          <w:tcPr/>
          <w:p>
            <w:pPr>
              <w:pStyle w:val="Compact"/>
              <w:jc w:val="left"/>
            </w:pPr>
            <w:r>
              <w:t xml:space="preserve">Mandatory acknowledgment; L1→L2→L3→L4 persistence</w:t>
            </w:r>
          </w:p>
        </w:tc>
        <w:tc>
          <w:tcPr/>
          <w:p>
            <w:pPr>
              <w:pStyle w:val="Compact"/>
              <w:jc w:val="left"/>
            </w:pPr>
            <w:r>
              <w:t xml:space="preserve">No critical finding lost; complete traceability</w:t>
            </w:r>
          </w:p>
        </w:tc>
      </w:tr>
    </w:tbl>
    <w:bookmarkEnd w:id="169"/>
    <w:bookmarkStart w:id="170" w:name="Xab07968e1070dacc6150c4252cbcc6f9e0198fe"/>
    <w:p>
      <w:pPr>
        <w:pStyle w:val="4"/>
      </w:pPr>
      <w:r>
        <w:t xml:space="preserve">9.2.4 Graceful Degradation: Explicit Missing Data Flagging</w:t>
      </w:r>
    </w:p>
    <w:tbl>
      <w:tblPr>
        <w:tblStyle w:val="Table"/>
        <w:tblW w:type="pct" w:w="5000"/>
        <w:jc w:val="left"/>
        <w:tblLayout w:type="fixed"/>
        <w:tblLook w:firstRow="1" w:lastRow="0" w:firstColumn="0" w:lastColumn="0" w:noHBand="0" w:noVBand="0" w:val="0020"/>
      </w:tblPr>
      <w:tblGrid>
        <w:gridCol w:w="2489"/>
        <w:gridCol w:w="3394"/>
        <w:gridCol w:w="2036"/>
      </w:tblGrid>
      <w:tr>
        <w:trPr>
          <w:tblHeader w:val="on"/>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Benefit</w:t>
            </w:r>
          </w:p>
        </w:tc>
      </w:tr>
      <w:tr>
        <w:tc>
          <w:tcPr/>
          <w:p>
            <w:pPr>
              <w:pStyle w:val="Compact"/>
              <w:jc w:val="left"/>
            </w:pPr>
            <w:r>
              <w:t xml:space="preserve">Transparent limitation communication</w:t>
            </w:r>
          </w:p>
        </w:tc>
        <w:tc>
          <w:tcPr/>
          <w:p>
            <w:pPr>
              <w:pStyle w:val="Compact"/>
              <w:jc w:val="left"/>
            </w:pPr>
            <w:r>
              <w:t xml:space="preserve">UI warnings; provenance logging; confidence adjustment</w:t>
            </w:r>
          </w:p>
        </w:tc>
        <w:tc>
          <w:tcPr/>
          <w:p>
            <w:pPr>
              <w:pStyle w:val="Compact"/>
              <w:jc w:val="left"/>
            </w:pPr>
            <w:r>
              <w:t xml:space="preserve">Informed decision-making; appropriate uncertainty calibration</w:t>
            </w:r>
          </w:p>
        </w:tc>
      </w:tr>
    </w:tbl>
    <w:bookmarkEnd w:id="170"/>
    <w:bookmarkEnd w:id="171"/>
    <w:bookmarkEnd w:id="172"/>
    <w:bookmarkEnd w:id="17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2026-04-17T04:05:24Z</dcterms:created>
  <dcterms:modified xsi:type="dcterms:W3CDTF">2026-04-17T04:05:24Z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957e9-98d2-8769-8000-0962e4ebe2c8-20260417040524","ReservedCode1":"","ContentPropagator":"001191110108MACG2KBH8F20000","PropagateID":"anonymous-19d957e9-98d2-8769-8000-0962e4ebe2c8-20260417040524","ReservedCode2":""}</vt:lpwstr>
  </property>
</Properties>
</file>