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1B3A5C"/>
          <w:sz w:val="52"/>
          <w:szCs w:val="52"/>
        </w:rPr>
        <w:t xml:space="preserve">The Story of a Molecule</w:t>
      </w:r>
    </w:p>
    <w:p>
      <w:pPr>
        <w:spacing w:after="300"/>
        <w:jc w:val="center"/>
      </w:pPr>
      <w:r>
        <w:rPr>
          <w:rFonts w:ascii="Georgia" w:cs="Georgia" w:eastAsia="Georgia" w:hAnsi="Georgia"/>
          <w:color w:val="6B7280"/>
          <w:sz w:val="28"/>
          <w:szCs w:val="28"/>
        </w:rPr>
        <w:t xml:space="preserve">How HakaseAI Simulates an Entire Drug’s Journey</w:t>
      </w:r>
    </w:p>
    <w:p>
      <w:pPr>
        <w:spacing w:after="200"/>
        <w:jc w:val="center"/>
      </w:pPr>
      <w:r>
        <w:rPr>
          <w:rFonts w:ascii="Georgia" w:cs="Georgia" w:eastAsia="Georgia" w:hAnsi="Georgia"/>
          <w:i/>
          <w:iCs/>
          <w:color w:val="9CA3AF"/>
          <w:sz w:val="22"/>
          <w:szCs w:val="22"/>
        </w:rPr>
        <w:t xml:space="preserve">A Plain-Language Guide to the BioDigital Twin Platform</w:t>
      </w:r>
    </w:p>
    <w:p>
      <w:pPr>
        <w:spacing w:before="1600"/>
        <w:jc w:val="center"/>
      </w:pPr>
      <w:r>
        <w:rPr>
          <w:rFonts w:ascii="Georgia" w:cs="Georgia" w:eastAsia="Georgia" w:hAnsi="Georgia"/>
          <w:color w:val="9CA3AF"/>
          <w:sz w:val="20"/>
          <w:szCs w:val="20"/>
        </w:rPr>
        <w:t xml:space="preserve">Hakase AI  |  March 2026</w:t>
      </w:r>
    </w:p>
    <w:p>
      <w:r>
        <w:br w:type="page"/>
      </w:r>
    </w:p>
    <w:p>
      <w:pPr>
        <w:pStyle w:val="Heading1"/>
        <w:spacing w:after="240" w:before="400"/>
      </w:pPr>
      <w:r>
        <w:rPr>
          <w:rFonts w:ascii="Georgia" w:cs="Georgia" w:eastAsia="Georgia" w:hAnsi="Georgia"/>
          <w:b/>
          <w:bCs/>
          <w:color w:val="1B3A5C"/>
          <w:sz w:val="34"/>
          <w:szCs w:val="34"/>
        </w:rPr>
        <w:t xml:space="preserve">Prologue: The Problem Worth Solving</w:t>
      </w:r>
    </w:p>
    <w:p>
      <w:pPr>
        <w:spacing w:after="140" w:line="340"/>
      </w:pPr>
      <w:r>
        <w:rPr>
          <w:rFonts w:ascii="Georgia" w:cs="Georgia" w:eastAsia="Georgia" w:hAnsi="Georgia"/>
          <w:sz w:val="22"/>
          <w:szCs w:val="22"/>
        </w:rPr>
        <w:t xml:space="preserve">Imagine you’ve just designed a molecule that you believe could cure a devastating disease. It looks perfect on paper. But between that molecule and a patient’s medicine cabinet lies a gauntlet that takes 10–15 years, costs over $2 billion, and fails 90% of the time.</w:t>
      </w:r>
    </w:p>
    <w:p>
      <w:pPr>
        <w:spacing w:after="140" w:line="340"/>
      </w:pPr>
      <w:r>
        <w:rPr>
          <w:rFonts w:ascii="Georgia" w:cs="Georgia" w:eastAsia="Georgia" w:hAnsi="Georgia"/>
          <w:sz w:val="22"/>
          <w:szCs w:val="22"/>
        </w:rPr>
        <w:t xml:space="preserve">Most of those failures don’t happen because the science was wrong. They happen because nobody could see the failure coming. The molecule turned out to be toxic to the heart. Or it was metabolised too quickly by the liver. Or the clinical trial was designed for 200 patients when it needed 400.</w:t>
      </w:r>
    </w:p>
    <w:p>
      <w:pPr>
        <w:spacing w:after="140" w:line="340"/>
      </w:pPr>
      <w:r>
        <w:rPr>
          <w:rFonts w:ascii="Georgia" w:cs="Georgia" w:eastAsia="Georgia" w:hAnsi="Georgia"/>
          <w:sz w:val="22"/>
          <w:szCs w:val="22"/>
        </w:rPr>
        <w:t xml:space="preserve">Each of these failures could have been predicted — if someone had run the right simulation early enough.</w:t>
      </w:r>
    </w:p>
    <w:p>
      <w:pPr>
        <w:spacing w:after="140" w:line="340"/>
      </w:pPr>
      <w:r>
        <w:rPr>
          <w:rFonts w:ascii="Georgia" w:cs="Georgia" w:eastAsia="Georgia" w:hAnsi="Georgia"/>
          <w:b/>
          <w:bCs/>
          <w:sz w:val="22"/>
          <w:szCs w:val="22"/>
        </w:rPr>
        <w:t xml:space="preserve">That’s what HakaseAI does.</w:t>
      </w:r>
      <w:r>
        <w:rPr>
          <w:rFonts w:ascii="Georgia" w:cs="Georgia" w:eastAsia="Georgia" w:hAnsi="Georgia"/>
          <w:sz w:val="22"/>
          <w:szCs w:val="22"/>
        </w:rPr>
        <w:t xml:space="preserve"> It builds a digital twin of the entire drug development journey — from molecule to clinical trial — and lets you see what will happen before you spend a single dollar in the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Digital Twin</w:t>
            </w:r>
          </w:p>
          <w:p>
            <w:pPr>
              <w:spacing w:after="0"/>
            </w:pPr>
            <w:r>
              <w:rPr>
                <w:rFonts w:ascii="Georgia" w:cs="Georgia" w:eastAsia="Georgia" w:hAnsi="Georgia"/>
                <w:color w:val="4B5563"/>
                <w:sz w:val="20"/>
                <w:szCs w:val="20"/>
              </w:rPr>
              <w:t xml:space="preserve">A virtual replica of something real. An aircraft manufacturer might build a digital twin of a jet engine to simulate wear before building the physical engine. HakaseAI builds a digital twin of a drug’s journey through the human body and through clinical trials.</w:t>
            </w:r>
          </w:p>
        </w:tc>
      </w:tr>
    </w:tbl>
    <w:p>
      <w:pPr>
        <w:spacing w:after="80"/>
      </w:pPr>
    </w:p>
    <w:p>
      <w:pPr>
        <w:spacing w:after="140" w:line="340"/>
      </w:pPr>
      <w:r>
        <w:rPr>
          <w:rFonts w:ascii="Georgia" w:cs="Georgia" w:eastAsia="Georgia" w:hAnsi="Georgia"/>
          <w:sz w:val="22"/>
          <w:szCs w:val="22"/>
        </w:rPr>
        <w:t xml:space="preserve">The platform is organised into four stages, each one simulating a different phase of drug development. Think of them as four rooms in a laboratory, each one asking a different question about your molecule.</w:t>
      </w:r>
    </w:p>
    <w:p>
      <w:r>
        <w:br w:type="page"/>
      </w:r>
    </w:p>
    <w:p>
      <w:pPr>
        <w:pStyle w:val="Heading1"/>
        <w:spacing w:after="240" w:before="400"/>
      </w:pPr>
      <w:r>
        <w:rPr>
          <w:rFonts w:ascii="Georgia" w:cs="Georgia" w:eastAsia="Georgia" w:hAnsi="Georgia"/>
          <w:b/>
          <w:bCs/>
          <w:color w:val="1B3A5C"/>
          <w:sz w:val="34"/>
          <w:szCs w:val="34"/>
        </w:rPr>
        <w:t xml:space="preserve">Chapter 1: Meeting the Molecule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1"/>
              <w:left w:val="single" w:color="38BDF8" w:sz="12"/>
              <w:bottom w:val="single" w:color="7DD3FC" w:sz="1"/>
              <w:right w:val="single" w:color="7DD3FC" w:sz="1"/>
            </w:tcBorders>
            <w:shd w:fill="F0F9FF" w:val="clear"/>
            <w:tcMar>
              <w:top w:type="dxa" w:w="80"/>
              <w:left w:type="dxa" w:w="160"/>
              <w:bottom w:type="dxa" w:w="80"/>
              <w:right w:type="dxa" w:w="160"/>
            </w:tcMar>
          </w:tcPr>
          <w:p>
            <w:pPr>
              <w:spacing w:after="60" w:line="320"/>
            </w:pPr>
            <w:r>
              <w:rPr>
                <w:rFonts w:ascii="Georgia" w:cs="Georgia" w:eastAsia="Georgia" w:hAnsi="Georgia"/>
                <w:i/>
                <w:iCs/>
                <w:color w:val="1E3A5F"/>
                <w:sz w:val="20"/>
                <w:szCs w:val="20"/>
              </w:rPr>
              <w:t xml:space="preserve">A scientist types a string of characters into HakaseAI: CC(=O)OC1=CC=CC=C1C(=O)O</w:t>
            </w:r>
          </w:p>
          <w:p>
            <w:pPr>
              <w:spacing w:after="60" w:line="320"/>
            </w:pPr>
            <w:r>
              <w:rPr>
                <w:rFonts w:ascii="Georgia" w:cs="Georgia" w:eastAsia="Georgia" w:hAnsi="Georgia"/>
                <w:i/>
                <w:iCs/>
                <w:color w:val="1E3A5F"/>
                <w:sz w:val="20"/>
                <w:szCs w:val="20"/>
              </w:rPr>
              <w:t xml:space="preserve">To a human, it looks like gibberish. To the platform, it’s a complete blueprint of Aspirin.</w:t>
            </w:r>
          </w:p>
          <w:p>
            <w:pPr>
              <w:spacing w:after="60" w:line="320"/>
            </w:pPr>
            <w:r>
              <w:rPr>
                <w:rFonts w:ascii="Georgia" w:cs="Georgia" w:eastAsia="Georgia" w:hAnsi="Georgia"/>
                <w:i/>
                <w:iCs/>
                <w:color w:val="1E3A5F"/>
                <w:sz w:val="20"/>
                <w:szCs w:val="20"/>
              </w:rPr>
              <w:t xml:space="preserve">Within seconds, the screen fills with charts, scores, and a verdict: GO.</w:t>
            </w:r>
          </w:p>
        </w:tc>
      </w:tr>
    </w:tbl>
    <w:p>
      <w:pPr>
        <w:spacing w:after="80"/>
      </w:pPr>
    </w:p>
    <w:p>
      <w:pPr>
        <w:spacing w:after="140" w:line="340"/>
      </w:pPr>
      <w:r>
        <w:rPr>
          <w:rFonts w:ascii="Georgia" w:cs="Georgia" w:eastAsia="Georgia" w:hAnsi="Georgia"/>
          <w:sz w:val="22"/>
          <w:szCs w:val="22"/>
        </w:rPr>
        <w:t xml:space="preserve">Every drug starts as a molecule, and every molecule can be described as a text string called SMILES.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SMILES (Simplified Molecular Input Line Entry System)</w:t>
            </w:r>
          </w:p>
          <w:p>
            <w:pPr>
              <w:spacing w:after="0"/>
            </w:pPr>
            <w:r>
              <w:rPr>
                <w:rFonts w:ascii="Georgia" w:cs="Georgia" w:eastAsia="Georgia" w:hAnsi="Georgia"/>
                <w:color w:val="4B5563"/>
                <w:sz w:val="20"/>
                <w:szCs w:val="20"/>
              </w:rPr>
              <w:t xml:space="preserve">A way to write a chemical structure as text, like a molecular barcode. Water is just "O". Ethanol is "CCO". Aspirin is "CC(=O)OC1=CC=CC=C1C(=O)O". Computers can read this barcode and reconstruct the entire 3D shape of the molecule.</w:t>
            </w:r>
          </w:p>
        </w:tc>
      </w:tr>
    </w:tbl>
    <w:p>
      <w:pPr>
        <w:spacing w:after="80"/>
      </w:pPr>
    </w:p>
    <w:p>
      <w:pPr>
        <w:spacing w:after="140" w:line="340"/>
      </w:pPr>
      <w:r>
        <w:rPr>
          <w:rFonts w:ascii="Georgia" w:cs="Georgia" w:eastAsia="Georgia" w:hAnsi="Georgia"/>
          <w:sz w:val="22"/>
          <w:szCs w:val="22"/>
        </w:rPr>
        <w:t xml:space="preserve">When you enter a SMILES string into HakaseAI, the platform’s first layer — the In Vitro Digital Twin — springs to life. “In vitro” is Latin for “in glass” — it refers to experiments done in test tubes and petri dishes, outside a living organism.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In Vitro</w:t>
            </w:r>
          </w:p>
          <w:p>
            <w:pPr>
              <w:spacing w:after="0"/>
            </w:pPr>
            <w:r>
              <w:rPr>
                <w:rFonts w:ascii="Georgia" w:cs="Georgia" w:eastAsia="Georgia" w:hAnsi="Georgia"/>
                <w:color w:val="4B5563"/>
                <w:sz w:val="20"/>
                <w:szCs w:val="20"/>
              </w:rPr>
              <w:t xml:space="preserve">Experiments performed in controlled laboratory environments (test tubes, cell cultures, assay plates) rather than in a living animal or human. The In Vitro Digital Twin simulates these experiments digitally, without any actual lab work.</w:t>
            </w:r>
          </w:p>
        </w:tc>
      </w:tr>
    </w:tbl>
    <w:p>
      <w:pPr>
        <w:spacing w:after="80"/>
      </w:pPr>
    </w:p>
    <w:p>
      <w:pPr>
        <w:spacing w:after="140" w:line="340"/>
      </w:pPr>
      <w:r>
        <w:rPr>
          <w:rFonts w:ascii="Georgia" w:cs="Georgia" w:eastAsia="Georgia" w:hAnsi="Georgia"/>
          <w:sz w:val="22"/>
          <w:szCs w:val="22"/>
        </w:rPr>
        <w:t xml:space="preserve">This first layer runs your molecule through a comprehensive panel of simulated laboratory tests — the same experiments a medicinal chemistry team would spend weeks and hundreds of thousands of dollars performing in a physical lab.</w:t>
      </w:r>
    </w:p>
    <w:p>
      <w:pPr>
        <w:pStyle w:val="Heading2"/>
        <w:spacing w:after="180" w:before="320"/>
      </w:pPr>
      <w:r>
        <w:rPr>
          <w:rFonts w:ascii="Georgia" w:cs="Georgia" w:eastAsia="Georgia" w:hAnsi="Georgia"/>
          <w:b/>
          <w:bCs/>
          <w:color w:val="1E40AF"/>
          <w:sz w:val="28"/>
          <w:szCs w:val="28"/>
        </w:rPr>
        <w:t xml:space="preserve">What You Tell the Platform</w:t>
      </w:r>
    </w:p>
    <w:p>
      <w:pPr>
        <w:spacing w:after="140" w:line="340"/>
      </w:pPr>
      <w:r>
        <w:rPr>
          <w:rFonts w:ascii="Georgia" w:cs="Georgia" w:eastAsia="Georgia" w:hAnsi="Georgia"/>
          <w:sz w:val="22"/>
          <w:szCs w:val="22"/>
        </w:rPr>
        <w:t xml:space="preserve">Before the simulation runs, the platform needs a few pieces of information from you. Think of it as filling out a lab request form — except instead of sending it to a technician, you’re handing it to a simulation engine that returns results in seconds.</w:t>
      </w:r>
    </w:p>
    <w:p>
      <w:pPr>
        <w:spacing w:after="140" w:line="340"/>
      </w:pPr>
      <w:r>
        <w:rPr>
          <w:rFonts w:ascii="Georgia" w:cs="Georgia" w:eastAsia="Georgia" w:hAnsi="Georgia"/>
          <w:b/>
          <w:bCs/>
          <w:sz w:val="22"/>
          <w:szCs w:val="22"/>
        </w:rPr>
        <w:t xml:space="preserve">The molecule itself: </w:t>
      </w:r>
      <w:r>
        <w:rPr>
          <w:rFonts w:ascii="Georgia" w:cs="Georgia" w:eastAsia="Georgia" w:hAnsi="Georgia"/>
          <w:sz w:val="22"/>
          <w:szCs w:val="22"/>
        </w:rPr>
        <w:t xml:space="preserve">You enter a SMILES string — the text barcode of your compound. You can type it directly, paste it from your design software, upload a structure file (SDF or MOL2), or import it from a public database like ChEMBL or PubChem by searching for a compound name or ID. If your team uses Diagen AI to generate candidate molecules, you can pull them in directly with a single click.</w:t>
      </w:r>
    </w:p>
    <w:p>
      <w:pPr>
        <w:spacing w:after="140" w:line="340"/>
      </w:pPr>
      <w:r>
        <w:rPr>
          <w:rFonts w:ascii="Georgia" w:cs="Georgia" w:eastAsia="Georgia" w:hAnsi="Georgia"/>
          <w:b/>
          <w:bCs/>
          <w:sz w:val="22"/>
          <w:szCs w:val="22"/>
        </w:rPr>
        <w:t xml:space="preserve">The target protein: </w:t>
      </w:r>
      <w:r>
        <w:rPr>
          <w:rFonts w:ascii="Georgia" w:cs="Georgia" w:eastAsia="Georgia" w:hAnsi="Georgia"/>
          <w:sz w:val="22"/>
          <w:szCs w:val="22"/>
        </w:rPr>
        <w:t xml:space="preserve">Which protein is this drug supposed to hit? You enter a UniProt ID — a standardised code for proteins. For example, P00533 is EGFR (a common cancer target). The platform looks up the protein’s structure, finds the best available crystal structure from the Protein Data Bank, and prepares it for binding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UniProt ID</w:t>
            </w:r>
          </w:p>
          <w:p>
            <w:pPr>
              <w:spacing w:after="0"/>
            </w:pPr>
            <w:r>
              <w:rPr>
                <w:rFonts w:ascii="Georgia" w:cs="Georgia" w:eastAsia="Georgia" w:hAnsi="Georgia"/>
                <w:color w:val="4B5563"/>
                <w:sz w:val="20"/>
                <w:szCs w:val="20"/>
              </w:rPr>
              <w:t xml:space="preserve">A unique identifier for a protein in the Universal Protein database. Think of it like a social security number for proteins. P00533 is the epidermal growth factor receptor (EGFR), a target in many cancer drugs. Q06187 is Bruton’s tyrosine kinase (BTK), the target of ibrutinib for blood cancers. Entering this ID tells the platform exactly which lock your molecular key is designed to fit.</w:t>
            </w:r>
          </w:p>
        </w:tc>
      </w:tr>
    </w:tbl>
    <w:p>
      <w:pPr>
        <w:spacing w:after="80"/>
      </w:pPr>
    </w:p>
    <w:p>
      <w:pPr>
        <w:spacing w:after="140" w:line="340"/>
      </w:pPr>
      <w:r>
        <w:rPr>
          <w:rFonts w:ascii="Georgia" w:cs="Georgia" w:eastAsia="Georgia" w:hAnsi="Georgia"/>
          <w:b/>
          <w:bCs/>
          <w:sz w:val="22"/>
          <w:szCs w:val="22"/>
        </w:rPr>
        <w:t xml:space="preserve">The therapeutic area: </w:t>
      </w:r>
      <w:r>
        <w:rPr>
          <w:rFonts w:ascii="Georgia" w:cs="Georgia" w:eastAsia="Georgia" w:hAnsi="Georgia"/>
          <w:sz w:val="22"/>
          <w:szCs w:val="22"/>
        </w:rPr>
        <w:t xml:space="preserve">A dropdown that tells the platform the disease context — Oncology, CNS, Cardiovascular, Metabolic, Rare Disease, Infectious Disease, or Immunology. This isn’t just a label. It adjusts the expected potency ranges, the toxicity profiles to watch for, and the relevant off-target panels.</w:t>
      </w:r>
    </w:p>
    <w:p>
      <w:pPr>
        <w:spacing w:after="140" w:line="340"/>
      </w:pPr>
      <w:r>
        <w:rPr>
          <w:rFonts w:ascii="Georgia" w:cs="Georgia" w:eastAsia="Georgia" w:hAnsi="Georgia"/>
          <w:b/>
          <w:bCs/>
          <w:sz w:val="22"/>
          <w:szCs w:val="22"/>
        </w:rPr>
        <w:t xml:space="preserve">Simulation options: </w:t>
      </w:r>
      <w:r>
        <w:rPr>
          <w:rFonts w:ascii="Georgia" w:cs="Georgia" w:eastAsia="Georgia" w:hAnsi="Georgia"/>
          <w:sz w:val="22"/>
          <w:szCs w:val="22"/>
        </w:rPr>
        <w:t xml:space="preserve">A set of toggles that control which tests to run. The core in vitro assay panel always runs. Binding simulation requires a target protein. Toxicity signal detection cross-references your molecule against 20 million adverse event reports in the FDA’s FAERS database. Behavioural fingerprinting (optional) simulates the molecule across different tissue types — liver, kidney, brain, heart, gut, lung — to see if it behaves differently in different environments.</w:t>
      </w:r>
    </w:p>
    <w:p>
      <w:pPr>
        <w:spacing w:after="140" w:line="340"/>
      </w:pPr>
      <w:r>
        <w:rPr>
          <w:rFonts w:ascii="Georgia" w:cs="Georgia" w:eastAsia="Georgia" w:hAnsi="Georgia"/>
          <w:b/>
          <w:bCs/>
          <w:sz w:val="22"/>
          <w:szCs w:val="22"/>
        </w:rPr>
        <w:t xml:space="preserve">Confidence threshold: </w:t>
      </w:r>
      <w:r>
        <w:rPr>
          <w:rFonts w:ascii="Georgia" w:cs="Georgia" w:eastAsia="Georgia" w:hAnsi="Georgia"/>
          <w:sz w:val="22"/>
          <w:szCs w:val="22"/>
        </w:rPr>
        <w:t xml:space="preserve">A slider (0.50 to 0.95) that controls how sensitive the platform is to potential problems. Set it low (0.50) and the platform flags everything that looks even slightly suspicious — useful early in a programme when you want to cast a wide net. Set it high (0.95) and it only flags issues where the evidence is very strong — useful later when you want to focus on confirmed liabilities.</w:t>
      </w:r>
    </w:p>
    <w:p>
      <w:pPr>
        <w:spacing w:after="140" w:line="340"/>
      </w:pPr>
      <w:r>
        <w:rPr>
          <w:rFonts w:ascii="Georgia" w:cs="Georgia" w:eastAsia="Georgia" w:hAnsi="Georgia"/>
          <w:b/>
          <w:bCs/>
          <w:sz w:val="22"/>
          <w:szCs w:val="22"/>
        </w:rPr>
        <w:t xml:space="preserve">For batch screening: </w:t>
      </w:r>
      <w:r>
        <w:rPr>
          <w:rFonts w:ascii="Georgia" w:cs="Georgia" w:eastAsia="Georgia" w:hAnsi="Georgia"/>
          <w:sz w:val="22"/>
          <w:szCs w:val="22"/>
        </w:rPr>
        <w:t xml:space="preserve">If you’re screening multiple molecules at once (up to 500 via CSV upload), you can choose how to rank the results — by drug-likeness (QED score), by toxicity risk (safest first), by binding affinity (strongest first), or by a composite blend of all three. You can also set a Top-N filter to show only the best candidates.</w:t>
      </w:r>
    </w:p>
    <w:p>
      <w:pPr>
        <w:spacing w:after="80"/>
      </w:pPr>
    </w:p>
    <w:p>
      <w:pPr>
        <w:pStyle w:val="Heading2"/>
        <w:spacing w:after="180" w:before="320"/>
      </w:pPr>
      <w:r>
        <w:rPr>
          <w:rFonts w:ascii="Georgia" w:cs="Georgia" w:eastAsia="Georgia" w:hAnsi="Georgia"/>
          <w:b/>
          <w:bCs/>
          <w:color w:val="1E40AF"/>
          <w:sz w:val="28"/>
          <w:szCs w:val="28"/>
        </w:rPr>
        <w:t xml:space="preserve">The Seven Tests Your Molecule Faces</w:t>
      </w:r>
    </w:p>
    <w:p>
      <w:pPr>
        <w:spacing w:after="140" w:line="340"/>
      </w:pPr>
      <w:r>
        <w:rPr>
          <w:rFonts w:ascii="Georgia" w:cs="Georgia" w:eastAsia="Georgia" w:hAnsi="Georgia"/>
          <w:b/>
          <w:bCs/>
          <w:sz w:val="22"/>
          <w:szCs w:val="22"/>
        </w:rPr>
        <w:t xml:space="preserve">Test 1 — Dose-Response: </w:t>
      </w:r>
      <w:r>
        <w:rPr>
          <w:rFonts w:ascii="Georgia" w:cs="Georgia" w:eastAsia="Georgia" w:hAnsi="Georgia"/>
          <w:sz w:val="22"/>
          <w:szCs w:val="22"/>
        </w:rPr>
        <w:t xml:space="preserve">How potent is this molecule? The platform generates a curve showing how much drug you need to shut down the target. The key number is the IC50 — the concentration at which the molecule inhibits half of the target’s activity. A lower IC50 means a more potent drug.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IC50 (Half-Maximal Inhibitory Concentration)</w:t>
            </w:r>
          </w:p>
          <w:p>
            <w:pPr>
              <w:spacing w:after="0"/>
            </w:pPr>
            <w:r>
              <w:rPr>
                <w:rFonts w:ascii="Georgia" w:cs="Georgia" w:eastAsia="Georgia" w:hAnsi="Georgia"/>
                <w:color w:val="4B5563"/>
                <w:sz w:val="20"/>
                <w:szCs w:val="20"/>
              </w:rPr>
              <w:t xml:space="preserve">The amount of drug needed to block 50% of the target’s activity. Measured in nanomolar (nM) — billionths of a mole per litre. A good IC50 for a kinase inhibitor is typically below 100 nM. Think of it like this: if you need only a tiny amount to do the job, that’s a potent drug.</w:t>
            </w:r>
          </w:p>
        </w:tc>
      </w:tr>
    </w:tbl>
    <w:p>
      <w:pPr>
        <w:spacing w:after="80"/>
      </w:pPr>
    </w:p>
    <w:p>
      <w:pPr>
        <w:spacing w:after="140" w:line="340"/>
      </w:pPr>
      <w:r>
        <w:rPr>
          <w:rFonts w:ascii="Georgia" w:cs="Georgia" w:eastAsia="Georgia" w:hAnsi="Georgia"/>
          <w:b/>
          <w:bCs/>
          <w:sz w:val="22"/>
          <w:szCs w:val="22"/>
        </w:rPr>
        <w:t xml:space="preserve">Test 2 — Permeability: </w:t>
      </w:r>
      <w:r>
        <w:rPr>
          <w:rFonts w:ascii="Georgia" w:cs="Georgia" w:eastAsia="Georgia" w:hAnsi="Georgia"/>
          <w:sz w:val="22"/>
          <w:szCs w:val="22"/>
        </w:rPr>
        <w:t xml:space="preserve">Can this molecule actually get through cell membranes? If you swallow a pill, the drug needs to cross the wall of your intestine to reach your bloodstream. The platform simulates two standard permeability assays — Caco-2 and PAMPA — to predict whether the molecule can make that crossing, and whether cellular pumps might push it back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Permeability (Caco-2 / PAMPA)</w:t>
            </w:r>
          </w:p>
          <w:p>
            <w:pPr>
              <w:spacing w:after="0"/>
            </w:pPr>
            <w:r>
              <w:rPr>
                <w:rFonts w:ascii="Georgia" w:cs="Georgia" w:eastAsia="Georgia" w:hAnsi="Georgia"/>
                <w:color w:val="4B5563"/>
                <w:sz w:val="20"/>
                <w:szCs w:val="20"/>
              </w:rPr>
              <w:t xml:space="preserve">Caco-2 cells are human intestinal cells grown in a lab dish. PAMPA is an artificial membrane. Both are used to test whether a molecule can cross biological barriers. High permeability = the drug gets absorbed well. Low permeability = the drug may never reach its target, no matter how potent it is.</w:t>
            </w:r>
          </w:p>
        </w:tc>
      </w:tr>
    </w:tbl>
    <w:p>
      <w:pPr>
        <w:spacing w:after="80"/>
      </w:pPr>
    </w:p>
    <w:p>
      <w:pPr>
        <w:spacing w:after="140" w:line="340"/>
      </w:pPr>
      <w:r>
        <w:rPr>
          <w:rFonts w:ascii="Georgia" w:cs="Georgia" w:eastAsia="Georgia" w:hAnsi="Georgia"/>
          <w:b/>
          <w:bCs/>
          <w:sz w:val="22"/>
          <w:szCs w:val="22"/>
        </w:rPr>
        <w:t xml:space="preserve">Test 3 — Metabolic Stability: </w:t>
      </w:r>
      <w:r>
        <w:rPr>
          <w:rFonts w:ascii="Georgia" w:cs="Georgia" w:eastAsia="Georgia" w:hAnsi="Georgia"/>
          <w:sz w:val="22"/>
          <w:szCs w:val="22"/>
        </w:rPr>
        <w:t xml:space="preserve">How quickly will the liver destroy this molecule? Your liver is a chemical processing plant that breaks down foreign substances using enzymes called CYPs. If a drug is metabolised too quickly, it disappears from the bloodstream before it can work. The platform predicts the intrinsic clearance rate — how fast liver enzymes chew through the molecule.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CYP450 Enzymes (Cytochrome P450)</w:t>
            </w:r>
          </w:p>
          <w:p>
            <w:pPr>
              <w:spacing w:after="0"/>
            </w:pPr>
            <w:r>
              <w:rPr>
                <w:rFonts w:ascii="Georgia" w:cs="Georgia" w:eastAsia="Georgia" w:hAnsi="Georgia"/>
                <w:color w:val="4B5563"/>
                <w:sz w:val="20"/>
                <w:szCs w:val="20"/>
              </w:rPr>
              <w:t xml:space="preserve">A family of enzymes in the liver that metabolise (break down) most drugs. CYP3A4 alone handles about 50% of all drugs on the market. Genetic differences in CYP enzymes are why the same dose of a drug can work perfectly for one patient and cause side effects in another.</w:t>
            </w:r>
          </w:p>
        </w:tc>
      </w:tr>
    </w:tbl>
    <w:p>
      <w:pPr>
        <w:spacing w:after="80"/>
      </w:pPr>
    </w:p>
    <w:p>
      <w:pPr>
        <w:spacing w:after="140" w:line="340"/>
      </w:pPr>
      <w:r>
        <w:rPr>
          <w:rFonts w:ascii="Georgia" w:cs="Georgia" w:eastAsia="Georgia" w:hAnsi="Georgia"/>
          <w:b/>
          <w:bCs/>
          <w:sz w:val="22"/>
          <w:szCs w:val="22"/>
        </w:rPr>
        <w:t xml:space="preserve">Test 4 — CYP Inhibition Panel: </w:t>
      </w:r>
      <w:r>
        <w:rPr>
          <w:rFonts w:ascii="Georgia" w:cs="Georgia" w:eastAsia="Georgia" w:hAnsi="Georgia"/>
          <w:sz w:val="22"/>
          <w:szCs w:val="22"/>
        </w:rPr>
        <w:t xml:space="preserve">Will this molecule interfere with other drugs? If your molecule blocks CYP3A4, then every other drug metabolised by that enzyme will build up in the patient’s body to potentially dangerous levels. The platform screens against five major CYP enzymes and flags drug-drug interaction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Drug-Drug Interaction (DDI)</w:t>
            </w:r>
          </w:p>
          <w:p>
            <w:pPr>
              <w:spacing w:after="0"/>
            </w:pPr>
            <w:r>
              <w:rPr>
                <w:rFonts w:ascii="Georgia" w:cs="Georgia" w:eastAsia="Georgia" w:hAnsi="Georgia"/>
                <w:color w:val="4B5563"/>
                <w:sz w:val="20"/>
                <w:szCs w:val="20"/>
              </w:rPr>
              <w:t xml:space="preserve">When one drug changes how another drug works in the body. Most DDIs happen because Drug A inhibits a CYP enzyme that Drug B needs for metabolism. The result: Drug B builds up to toxic levels. This is why grapefruit juice (which inhibits CYP3A4) comes with warnings on so many medications.</w:t>
            </w:r>
          </w:p>
        </w:tc>
      </w:tr>
    </w:tbl>
    <w:p>
      <w:pPr>
        <w:spacing w:after="80"/>
      </w:pPr>
    </w:p>
    <w:p>
      <w:pPr>
        <w:spacing w:after="140" w:line="340"/>
      </w:pPr>
      <w:r>
        <w:rPr>
          <w:rFonts w:ascii="Georgia" w:cs="Georgia" w:eastAsia="Georgia" w:hAnsi="Georgia"/>
          <w:b/>
          <w:bCs/>
          <w:sz w:val="22"/>
          <w:szCs w:val="22"/>
        </w:rPr>
        <w:t xml:space="preserve">Test 5 — hERG Cardiac Safety: </w:t>
      </w:r>
      <w:r>
        <w:rPr>
          <w:rFonts w:ascii="Georgia" w:cs="Georgia" w:eastAsia="Georgia" w:hAnsi="Georgia"/>
          <w:sz w:val="22"/>
          <w:szCs w:val="22"/>
        </w:rPr>
        <w:t xml:space="preserve">Could this molecule stop a heart? This is the single most important safety screen in drug development. The hERG channel is a potassium gate in heart cells that keeps your heartbeat regular. If a drug blocks it, the heart rhythm goes haywire. hERG toxicity is the number one reason approved drugs get pulled from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hERG (Human Ether-à-go-go-Related Gene)</w:t>
            </w:r>
          </w:p>
          <w:p>
            <w:pPr>
              <w:spacing w:after="0"/>
            </w:pPr>
            <w:r>
              <w:rPr>
                <w:rFonts w:ascii="Georgia" w:cs="Georgia" w:eastAsia="Georgia" w:hAnsi="Georgia"/>
                <w:color w:val="4B5563"/>
                <w:sz w:val="20"/>
                <w:szCs w:val="20"/>
              </w:rPr>
              <w:t xml:space="preserve">A potassium channel in heart muscle cells. When drugs accidentally block hERG, the heart’s electrical rhythm is disrupted, causing a condition called QT prolongation. In severe cases, this leads to a fatal arrhythmia called Torsades de Pointes. The hERG safety test has killed more drug programmes than any other single assay.</w:t>
            </w:r>
          </w:p>
        </w:tc>
      </w:tr>
    </w:tbl>
    <w:p>
      <w:pPr>
        <w:spacing w:after="80"/>
      </w:pPr>
    </w:p>
    <w:p>
      <w:pPr>
        <w:spacing w:after="140" w:line="340"/>
      </w:pPr>
      <w:r>
        <w:rPr>
          <w:rFonts w:ascii="Georgia" w:cs="Georgia" w:eastAsia="Georgia" w:hAnsi="Georgia"/>
          <w:b/>
          <w:bCs/>
          <w:sz w:val="22"/>
          <w:szCs w:val="22"/>
        </w:rPr>
        <w:t xml:space="preserve">Test 6 — Selectivity Profiling: </w:t>
      </w:r>
      <w:r>
        <w:rPr>
          <w:rFonts w:ascii="Georgia" w:cs="Georgia" w:eastAsia="Georgia" w:hAnsi="Georgia"/>
          <w:sz w:val="22"/>
          <w:szCs w:val="22"/>
        </w:rPr>
        <w:t xml:space="preserve">Does this molecule hit only its intended target, or does it hit everything? A drug designed to block one specific kinase might accidentally block dozens of related kinases, causing unexpected side effects. The platform calculates a selectivity score — how precisely the molecule binds its target versus the broader family.</w:t>
      </w:r>
    </w:p>
    <w:p>
      <w:pPr>
        <w:spacing w:after="80"/>
      </w:pPr>
    </w:p>
    <w:p>
      <w:pPr>
        <w:spacing w:after="140" w:line="340"/>
      </w:pPr>
      <w:r>
        <w:rPr>
          <w:rFonts w:ascii="Georgia" w:cs="Georgia" w:eastAsia="Georgia" w:hAnsi="Georgia"/>
          <w:b/>
          <w:bCs/>
          <w:sz w:val="22"/>
          <w:szCs w:val="22"/>
        </w:rPr>
        <w:t xml:space="preserve">Test 7 — Cell Viability: </w:t>
      </w:r>
      <w:r>
        <w:rPr>
          <w:rFonts w:ascii="Georgia" w:cs="Georgia" w:eastAsia="Georgia" w:hAnsi="Georgia"/>
          <w:sz w:val="22"/>
          <w:szCs w:val="22"/>
        </w:rPr>
        <w:t xml:space="preserve">Is this molecule just a poison? Some molecules kill target cells beautifully but also kill healthy cells at similar concentrations. The platform predicts the CC50 (the concentration that kills half the cells) and calculates a therapeutic index — the gap between the dose that works and the dose that 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Therapeutic Index</w:t>
            </w:r>
          </w:p>
          <w:p>
            <w:pPr>
              <w:spacing w:after="0"/>
            </w:pPr>
            <w:r>
              <w:rPr>
                <w:rFonts w:ascii="Georgia" w:cs="Georgia" w:eastAsia="Georgia" w:hAnsi="Georgia"/>
                <w:color w:val="4B5563"/>
                <w:sz w:val="20"/>
                <w:szCs w:val="20"/>
              </w:rPr>
              <w:t xml:space="preserve">The ratio between the toxic dose and the therapeutic dose. A drug with a therapeutic index of 100 means you’d need to give 100 times the effective dose before it becomes dangerous. A therapeutic index below 10 is a red flag — the margin between helping and harming is dangerously thin.</w:t>
            </w:r>
          </w:p>
        </w:tc>
      </w:tr>
    </w:tbl>
    <w:p>
      <w:pPr>
        <w:spacing w:after="80"/>
      </w:pPr>
    </w:p>
    <w:p>
      <w:pPr>
        <w:pStyle w:val="Heading2"/>
        <w:spacing w:after="180" w:before="320"/>
      </w:pPr>
      <w:r>
        <w:rPr>
          <w:rFonts w:ascii="Georgia" w:cs="Georgia" w:eastAsia="Georgia" w:hAnsi="Georgia"/>
          <w:b/>
          <w:bCs/>
          <w:color w:val="1E40AF"/>
          <w:sz w:val="28"/>
          <w:szCs w:val="28"/>
        </w:rPr>
        <w:t xml:space="preserve">The Directional Compass: ADMET</w:t>
      </w:r>
    </w:p>
    <w:p>
      <w:pPr>
        <w:spacing w:after="140" w:line="340"/>
      </w:pPr>
      <w:r>
        <w:rPr>
          <w:rFonts w:ascii="Georgia" w:cs="Georgia" w:eastAsia="Georgia" w:hAnsi="Georgia"/>
          <w:sz w:val="22"/>
          <w:szCs w:val="22"/>
        </w:rPr>
        <w:t xml:space="preserve">Alongside these seven detailed assays, the platform also generates an ADMET score — a quick directional compass that shows whether the molecule’s overall drug-like properties are headed in the right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ADMET (Absorption, Distribution, Metabolism, Excretion, Toxicity)</w:t>
            </w:r>
          </w:p>
          <w:p>
            <w:pPr>
              <w:spacing w:after="0"/>
            </w:pPr>
            <w:r>
              <w:rPr>
                <w:rFonts w:ascii="Georgia" w:cs="Georgia" w:eastAsia="Georgia" w:hAnsi="Georgia"/>
                <w:color w:val="4B5563"/>
                <w:sz w:val="20"/>
                <w:szCs w:val="20"/>
              </w:rPr>
              <w:t xml:space="preserve">The five fundamental questions about any drug molecule. Can it be absorbed into the blood? Does it distribute to the right tissues? How fast is it metabolised by the liver? How is it excreted (cleared) from the body? And does it cause unacceptable toxicity? The ADMET score is a directional indicator — a quick health check, not a definitive prediction. The detailed assay results above are what actually drive decisions.</w:t>
            </w:r>
          </w:p>
        </w:tc>
      </w:tr>
    </w:tbl>
    <w:p>
      <w:pPr>
        <w:spacing w:after="80"/>
      </w:pPr>
    </w:p>
    <w:p>
      <w:pPr>
        <w:spacing w:after="140" w:line="340"/>
      </w:pPr>
      <w:r>
        <w:rPr>
          <w:rFonts w:ascii="Georgia" w:cs="Georgia" w:eastAsia="Georgia" w:hAnsi="Georgia"/>
          <w:sz w:val="22"/>
          <w:szCs w:val="22"/>
        </w:rPr>
        <w:t xml:space="preserve">Think of ADMET like a weather forecast. It tells you “expect rain” or “looks sunny.” The seven in vitro assays are the actual weather stations measuring temperature, humidity, wind speed, and barometric pressure. The forecast is useful for planning; the measurements are what you base critical decisions on.</w:t>
      </w:r>
    </w:p>
    <w:p>
      <w:pPr>
        <w:pStyle w:val="Heading2"/>
        <w:spacing w:after="180" w:before="320"/>
      </w:pPr>
      <w:r>
        <w:rPr>
          <w:rFonts w:ascii="Georgia" w:cs="Georgia" w:eastAsia="Georgia" w:hAnsi="Georgia"/>
          <w:b/>
          <w:bCs/>
          <w:color w:val="1E40AF"/>
          <w:sz w:val="28"/>
          <w:szCs w:val="28"/>
        </w:rPr>
        <w:t xml:space="preserve">The Verdict</w:t>
      </w:r>
    </w:p>
    <w:p>
      <w:pPr>
        <w:spacing w:after="140" w:line="340"/>
      </w:pPr>
      <w:r>
        <w:rPr>
          <w:rFonts w:ascii="Georgia" w:cs="Georgia" w:eastAsia="Georgia" w:hAnsi="Georgia"/>
          <w:sz w:val="22"/>
          <w:szCs w:val="22"/>
        </w:rPr>
        <w:t xml:space="preserve">After running all these simulations, the platform delivers a verdict:</w:t>
      </w:r>
    </w:p>
    <w:p>
      <w:pPr>
        <w:spacing w:after="140" w:line="340"/>
      </w:pPr>
      <w:r>
        <w:rPr>
          <w:rFonts w:ascii="Georgia" w:cs="Georgia" w:eastAsia="Georgia" w:hAnsi="Georgia"/>
          <w:b/>
          <w:bCs/>
          <w:color w:val="16A34A"/>
          <w:sz w:val="22"/>
          <w:szCs w:val="22"/>
        </w:rPr>
        <w:t xml:space="preserve">GO </w:t>
      </w:r>
      <w:r>
        <w:rPr>
          <w:rFonts w:ascii="Georgia" w:cs="Georgia" w:eastAsia="Georgia" w:hAnsi="Georgia"/>
          <w:sz w:val="22"/>
          <w:szCs w:val="22"/>
        </w:rPr>
        <w:t xml:space="preserve">— The molecule passes. Advance to the next stage.</w:t>
      </w:r>
    </w:p>
    <w:p>
      <w:pPr>
        <w:spacing w:after="140" w:line="340"/>
      </w:pPr>
      <w:r>
        <w:rPr>
          <w:rFonts w:ascii="Georgia" w:cs="Georgia" w:eastAsia="Georgia" w:hAnsi="Georgia"/>
          <w:b/>
          <w:bCs/>
          <w:color w:val="CA8A04"/>
          <w:sz w:val="22"/>
          <w:szCs w:val="22"/>
        </w:rPr>
        <w:t xml:space="preserve">WATCH </w:t>
      </w:r>
      <w:r>
        <w:rPr>
          <w:rFonts w:ascii="Georgia" w:cs="Georgia" w:eastAsia="Georgia" w:hAnsi="Georgia"/>
          <w:sz w:val="22"/>
          <w:szCs w:val="22"/>
        </w:rPr>
        <w:t xml:space="preserve">— There are concerns, but they might be fixable. Proceed with caution.</w:t>
      </w:r>
    </w:p>
    <w:p>
      <w:pPr>
        <w:spacing w:after="140" w:line="340"/>
      </w:pPr>
      <w:r>
        <w:rPr>
          <w:rFonts w:ascii="Georgia" w:cs="Georgia" w:eastAsia="Georgia" w:hAnsi="Georgia"/>
          <w:b/>
          <w:bCs/>
          <w:color w:val="DC2626"/>
          <w:sz w:val="22"/>
          <w:szCs w:val="22"/>
        </w:rPr>
        <w:t xml:space="preserve">NO-GO </w:t>
      </w:r>
      <w:r>
        <w:rPr>
          <w:rFonts w:ascii="Georgia" w:cs="Georgia" w:eastAsia="Georgia" w:hAnsi="Georgia"/>
          <w:sz w:val="22"/>
          <w:szCs w:val="22"/>
        </w:rPr>
        <w:t xml:space="preserve">— The molecule has fundamental problems. Don’t invest further.</w:t>
      </w:r>
    </w:p>
    <w:p>
      <w:pPr>
        <w:spacing w:after="140" w:line="340"/>
      </w:pPr>
      <w:r>
        <w:rPr>
          <w:rFonts w:ascii="Georgia" w:cs="Georgia" w:eastAsia="Georgia" w:hAnsi="Georgia"/>
          <w:sz w:val="22"/>
          <w:szCs w:val="22"/>
        </w:rPr>
        <w:t xml:space="preserve">A NO-GO here saves the company from spending $50,000–$200,000 on wet-lab experiments that would have reached the same conclusion weeks later.</w:t>
      </w:r>
    </w:p>
    <w:p>
      <w:r>
        <w:br w:type="page"/>
      </w:r>
    </w:p>
    <w:p>
      <w:pPr>
        <w:pStyle w:val="Heading1"/>
        <w:spacing w:after="240" w:before="400"/>
      </w:pPr>
      <w:r>
        <w:rPr>
          <w:rFonts w:ascii="Georgia" w:cs="Georgia" w:eastAsia="Georgia" w:hAnsi="Georgia"/>
          <w:b/>
          <w:bCs/>
          <w:color w:val="1B3A5C"/>
          <w:sz w:val="34"/>
          <w:szCs w:val="34"/>
        </w:rPr>
        <w:t xml:space="preserve">Chapter 2: From Test Tube to Living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1"/>
              <w:left w:val="single" w:color="38BDF8" w:sz="12"/>
              <w:bottom w:val="single" w:color="7DD3FC" w:sz="1"/>
              <w:right w:val="single" w:color="7DD3FC" w:sz="1"/>
            </w:tcBorders>
            <w:shd w:fill="F0F9FF" w:val="clear"/>
            <w:tcMar>
              <w:top w:type="dxa" w:w="80"/>
              <w:left w:type="dxa" w:w="160"/>
              <w:bottom w:type="dxa" w:w="80"/>
              <w:right w:type="dxa" w:w="160"/>
            </w:tcMar>
          </w:tcPr>
          <w:p>
            <w:pPr>
              <w:spacing w:after="60" w:line="320"/>
            </w:pPr>
            <w:r>
              <w:rPr>
                <w:rFonts w:ascii="Georgia" w:cs="Georgia" w:eastAsia="Georgia" w:hAnsi="Georgia"/>
                <w:i/>
                <w:iCs/>
                <w:color w:val="1E3A5F"/>
                <w:sz w:val="20"/>
                <w:szCs w:val="20"/>
              </w:rPr>
              <w:t xml:space="preserve">The molecule passed its in vitro tests. But a test tube is not a living body.</w:t>
            </w:r>
          </w:p>
          <w:p>
            <w:pPr>
              <w:spacing w:after="60" w:line="320"/>
            </w:pPr>
            <w:r>
              <w:rPr>
                <w:rFonts w:ascii="Georgia" w:cs="Georgia" w:eastAsia="Georgia" w:hAnsi="Georgia"/>
                <w:i/>
                <w:iCs/>
                <w:color w:val="1E3A5F"/>
                <w:sz w:val="20"/>
                <w:szCs w:val="20"/>
              </w:rPr>
              <w:t xml:space="preserve">Before this molecule can ever touch a human, regulatory agencies require proof that</w:t>
            </w:r>
          </w:p>
          <w:p>
            <w:pPr>
              <w:spacing w:after="60" w:line="320"/>
            </w:pPr>
            <w:r>
              <w:rPr>
                <w:rFonts w:ascii="Georgia" w:cs="Georgia" w:eastAsia="Georgia" w:hAnsi="Georgia"/>
                <w:i/>
                <w:iCs/>
                <w:color w:val="1E3A5F"/>
                <w:sz w:val="20"/>
                <w:szCs w:val="20"/>
              </w:rPr>
              <w:t xml:space="preserve">it’s safe in animals. The Animal Cohort Digital Twin simulates those studies.</w:t>
            </w:r>
          </w:p>
        </w:tc>
      </w:tr>
    </w:tbl>
    <w:p>
      <w:pPr>
        <w:spacing w:after="80"/>
      </w:pPr>
    </w:p>
    <w:p>
      <w:pPr>
        <w:spacing w:after="140" w:line="340"/>
      </w:pPr>
      <w:r>
        <w:rPr>
          <w:rFonts w:ascii="Georgia" w:cs="Georgia" w:eastAsia="Georgia" w:hAnsi="Georgia"/>
          <w:sz w:val="22"/>
          <w:szCs w:val="22"/>
        </w:rPr>
        <w:t xml:space="preserve">In real drug development, this is where things get expensive and slow. A single rodent PK study costs $50,000–$150,000 and takes 6–10 weeks. A full GLP toxicology package across two species can run $500,000+ and take 6 months.</w:t>
      </w:r>
    </w:p>
    <w:p>
      <w:pPr>
        <w:spacing w:after="140" w:line="340"/>
      </w:pPr>
      <w:r>
        <w:rPr>
          <w:rFonts w:ascii="Georgia" w:cs="Georgia" w:eastAsia="Georgia" w:hAnsi="Georgia"/>
          <w:sz w:val="22"/>
          <w:szCs w:val="22"/>
        </w:rPr>
        <w:t xml:space="preserve">The second layer — the Animal Cohort Digital Twin — simulates preclinical animal studies using PBPK modelling across seven different species, from mice to monkeys.</w:t>
      </w:r>
    </w:p>
    <w:p>
      <w:pPr>
        <w:pStyle w:val="Heading2"/>
        <w:spacing w:after="180" w:before="320"/>
      </w:pPr>
      <w:r>
        <w:rPr>
          <w:rFonts w:ascii="Georgia" w:cs="Georgia" w:eastAsia="Georgia" w:hAnsi="Georgia"/>
          <w:b/>
          <w:bCs/>
          <w:color w:val="1E40AF"/>
          <w:sz w:val="28"/>
          <w:szCs w:val="28"/>
        </w:rPr>
        <w:t xml:space="preserve">Setting Up the Animal Study</w:t>
      </w:r>
    </w:p>
    <w:p>
      <w:pPr>
        <w:spacing w:after="140" w:line="340"/>
      </w:pPr>
      <w:r>
        <w:rPr>
          <w:rFonts w:ascii="Georgia" w:cs="Georgia" w:eastAsia="Georgia" w:hAnsi="Georgia"/>
          <w:sz w:val="22"/>
          <w:szCs w:val="22"/>
        </w:rPr>
        <w:t xml:space="preserve">Before running this simulation, you configure it the same way a preclinical scientist would design an actual animal study:</w:t>
      </w:r>
    </w:p>
    <w:p>
      <w:pPr>
        <w:spacing w:after="140" w:line="340"/>
      </w:pPr>
      <w:r>
        <w:rPr>
          <w:rFonts w:ascii="Georgia" w:cs="Georgia" w:eastAsia="Georgia" w:hAnsi="Georgia"/>
          <w:b/>
          <w:bCs/>
          <w:sz w:val="22"/>
          <w:szCs w:val="22"/>
        </w:rPr>
        <w:t xml:space="preserve">Species and strain: </w:t>
      </w:r>
      <w:r>
        <w:rPr>
          <w:rFonts w:ascii="Georgia" w:cs="Georgia" w:eastAsia="Georgia" w:hAnsi="Georgia"/>
          <w:sz w:val="22"/>
          <w:szCs w:val="22"/>
        </w:rPr>
        <w:t xml:space="preserve">You pick from seven validated options: Mouse (CD-1 or C57BL/6), Rat (Sprague Dawley or Wistar), Dog (Beagle), or Cynomolgus Monkey. Each species comes with pre-loaded physiological parameters — organ volumes, blood flow rates, enzyme activity levels — that drive the PBPK model. A projected Human Translation Panel runs automatically in the background for comparison.</w:t>
      </w:r>
    </w:p>
    <w:p>
      <w:pPr>
        <w:spacing w:after="140" w:line="340"/>
      </w:pPr>
      <w:r>
        <w:rPr>
          <w:rFonts w:ascii="Georgia" w:cs="Georgia" w:eastAsia="Georgia" w:hAnsi="Georgia"/>
          <w:b/>
          <w:bCs/>
          <w:sz w:val="22"/>
          <w:szCs w:val="22"/>
        </w:rPr>
        <w:t xml:space="preserve">Study type: </w:t>
      </w:r>
      <w:r>
        <w:rPr>
          <w:rFonts w:ascii="Georgia" w:cs="Georgia" w:eastAsia="Georgia" w:hAnsi="Georgia"/>
          <w:sz w:val="22"/>
          <w:szCs w:val="22"/>
        </w:rPr>
        <w:t xml:space="preserve">Single Dose (a one-time dose to see basic PK), Repeat Dose (multiple doses over days or weeks to assess accumulation), or other standard designs. This determines whether the simulation shows a single PK curve or a steady-state accumulation profile.</w:t>
      </w:r>
    </w:p>
    <w:p>
      <w:pPr>
        <w:spacing w:after="140" w:line="340"/>
      </w:pPr>
      <w:r>
        <w:rPr>
          <w:rFonts w:ascii="Georgia" w:cs="Georgia" w:eastAsia="Georgia" w:hAnsi="Georgia"/>
          <w:b/>
          <w:bCs/>
          <w:sz w:val="22"/>
          <w:szCs w:val="22"/>
        </w:rPr>
        <w:t xml:space="preserve">Route of administration: </w:t>
      </w:r>
      <w:r>
        <w:rPr>
          <w:rFonts w:ascii="Georgia" w:cs="Georgia" w:eastAsia="Georgia" w:hAnsi="Georgia"/>
          <w:sz w:val="22"/>
          <w:szCs w:val="22"/>
        </w:rPr>
        <w:t xml:space="preserve">How the drug enters the animal — oral (by mouth), intravenous (IV, directly into the bloodstream), subcutaneous (under the skin), or others. The route fundamentally changes the PK curve. An IV dose hits the bloodstream instantly; an oral dose has to survive the stomach, cross the gut wall, and pass through the liver first.</w:t>
      </w:r>
    </w:p>
    <w:p>
      <w:pPr>
        <w:spacing w:after="140" w:line="340"/>
      </w:pPr>
      <w:r>
        <w:rPr>
          <w:rFonts w:ascii="Georgia" w:cs="Georgia" w:eastAsia="Georgia" w:hAnsi="Georgia"/>
          <w:b/>
          <w:bCs/>
          <w:sz w:val="22"/>
          <w:szCs w:val="22"/>
        </w:rPr>
        <w:t xml:space="preserve">Formulation type: </w:t>
      </w:r>
      <w:r>
        <w:rPr>
          <w:rFonts w:ascii="Georgia" w:cs="Georgia" w:eastAsia="Georgia" w:hAnsi="Georgia"/>
          <w:sz w:val="22"/>
          <w:szCs w:val="22"/>
        </w:rPr>
        <w:t xml:space="preserve">The physical form of the drug — solution, suspension, capsule, etc. The platform is BCS-aware, meaning it knows that some molecules dissolve poorly in water and adjusts the absorption prediction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BCS (Biopharmaceutics Classification System)</w:t>
            </w:r>
          </w:p>
          <w:p>
            <w:pPr>
              <w:spacing w:after="0"/>
            </w:pPr>
            <w:r>
              <w:rPr>
                <w:rFonts w:ascii="Georgia" w:cs="Georgia" w:eastAsia="Georgia" w:hAnsi="Georgia"/>
                <w:color w:val="4B5563"/>
                <w:sz w:val="20"/>
                <w:szCs w:val="20"/>
              </w:rPr>
              <w:t xml:space="preserve">A framework that classifies drugs into four groups based on their solubility (does it dissolve?) and permeability (can it cross membranes?). Class I drugs dissolve easily and cross membranes well — they’re the easiest to formulate. Class IV drugs have poor solubility AND poor permeability — they’re the hardest. The BCS class determines which formulation strategies will 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PBPK (Physiologically-Based Pharmacokinetic) Modelling</w:t>
            </w:r>
          </w:p>
          <w:p>
            <w:pPr>
              <w:spacing w:after="0"/>
            </w:pPr>
            <w:r>
              <w:rPr>
                <w:rFonts w:ascii="Georgia" w:cs="Georgia" w:eastAsia="Georgia" w:hAnsi="Georgia"/>
                <w:color w:val="4B5563"/>
                <w:sz w:val="20"/>
                <w:szCs w:val="20"/>
              </w:rPr>
              <w:t xml:space="preserve">A mathematical model that simulates how a drug moves through the body by treating each organ as a separate compartment with its own blood flow, enzyme activity, and tissue binding. Instead of treating the body as one big container (as simpler models do), PBPK models the actual physiology — liver metabolism, kidney excretion, gut absorption — for much more realistic predictions.</w:t>
            </w:r>
          </w:p>
        </w:tc>
      </w:tr>
    </w:tbl>
    <w:p>
      <w:pPr>
        <w:spacing w:after="80"/>
      </w:pPr>
    </w:p>
    <w:p>
      <w:pPr>
        <w:spacing w:after="140" w:line="340"/>
      </w:pPr>
      <w:r>
        <w:rPr>
          <w:rFonts w:ascii="Georgia" w:cs="Georgia" w:eastAsia="Georgia" w:hAnsi="Georgia"/>
          <w:sz w:val="22"/>
          <w:szCs w:val="22"/>
        </w:rPr>
        <w:t xml:space="preserve">The key question this layer answers is: what should the First-in-Human dose be?</w:t>
      </w:r>
    </w:p>
    <w:p>
      <w:pPr>
        <w:spacing w:after="140" w:line="340"/>
      </w:pPr>
      <w:r>
        <w:rPr>
          <w:rFonts w:ascii="Georgia" w:cs="Georgia" w:eastAsia="Georgia" w:hAnsi="Georgia"/>
          <w:sz w:val="22"/>
          <w:szCs w:val="22"/>
        </w:rPr>
        <w:t xml:space="preserve">It does this through allometric scaling — a technique that translates animal doses to human-equivalent doses based on body surface area. If a drug is safe at 10 mg/kg in a rat, what’s the equivalent safe starting dose in a 70 kg human? The platform calculates this, applies FDA-required safety factors, and outputs a Maximum Recommended Starting Dose.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NOAEL (No Observed Adverse Effect Level)</w:t>
            </w:r>
          </w:p>
          <w:p>
            <w:pPr>
              <w:spacing w:after="0"/>
            </w:pPr>
            <w:r>
              <w:rPr>
                <w:rFonts w:ascii="Georgia" w:cs="Georgia" w:eastAsia="Georgia" w:hAnsi="Georgia"/>
                <w:color w:val="4B5563"/>
                <w:sz w:val="20"/>
                <w:szCs w:val="20"/>
              </w:rPr>
              <w:t xml:space="preserve">The highest dose tested in an animal study where no harmful effects were seen. This is the starting point for calculating the human dose. Regulators require you to divide the NOAEL by safety factors (typically 10x or more) to get a cautious human starting dose.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First-in-Human (FIH) Dose</w:t>
            </w:r>
          </w:p>
          <w:p>
            <w:pPr>
              <w:spacing w:after="0"/>
            </w:pPr>
            <w:r>
              <w:rPr>
                <w:rFonts w:ascii="Georgia" w:cs="Georgia" w:eastAsia="Georgia" w:hAnsi="Georgia"/>
                <w:color w:val="4B5563"/>
                <w:sz w:val="20"/>
                <w:szCs w:val="20"/>
              </w:rPr>
              <w:t xml:space="preserve">The very first dose given to a human volunteer in a Phase 1 clinical trial. Getting this number right is critical — too low and you waste months on subtherapeutic dosing, too high and you risk harming the first patients. The platform calculates this from animal data using FDA-approved scaling methods.</w:t>
            </w:r>
          </w:p>
        </w:tc>
      </w:tr>
    </w:tbl>
    <w:p>
      <w:pPr>
        <w:spacing w:after="80"/>
      </w:pPr>
    </w:p>
    <w:p>
      <w:pPr>
        <w:spacing w:after="140" w:line="340"/>
      </w:pPr>
      <w:r>
        <w:rPr>
          <w:rFonts w:ascii="Georgia" w:cs="Georgia" w:eastAsia="Georgia" w:hAnsi="Georgia"/>
          <w:sz w:val="22"/>
          <w:szCs w:val="22"/>
        </w:rPr>
        <w:t xml:space="preserve">Once computed, the FIH dose automatically flows into the next layer. The molecule has graduated from the test tube, survived the animal studies, and is ready to meet virtual patients.</w:t>
      </w:r>
    </w:p>
    <w:p>
      <w:r>
        <w:br w:type="page"/>
      </w:r>
    </w:p>
    <w:p>
      <w:pPr>
        <w:pStyle w:val="Heading1"/>
        <w:spacing w:after="240" w:before="400"/>
      </w:pPr>
      <w:r>
        <w:rPr>
          <w:rFonts w:ascii="Georgia" w:cs="Georgia" w:eastAsia="Georgia" w:hAnsi="Georgia"/>
          <w:b/>
          <w:bCs/>
          <w:color w:val="1B3A5C"/>
          <w:sz w:val="34"/>
          <w:szCs w:val="34"/>
        </w:rPr>
        <w:t xml:space="preserve">Chapter 3: A Thousand Virtual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1"/>
              <w:left w:val="single" w:color="38BDF8" w:sz="12"/>
              <w:bottom w:val="single" w:color="7DD3FC" w:sz="1"/>
              <w:right w:val="single" w:color="7DD3FC" w:sz="1"/>
            </w:tcBorders>
            <w:shd w:fill="F0F9FF" w:val="clear"/>
            <w:tcMar>
              <w:top w:type="dxa" w:w="80"/>
              <w:left w:type="dxa" w:w="160"/>
              <w:bottom w:type="dxa" w:w="80"/>
              <w:right w:type="dxa" w:w="160"/>
            </w:tcMar>
          </w:tcPr>
          <w:p>
            <w:pPr>
              <w:spacing w:after="60" w:line="320"/>
            </w:pPr>
            <w:r>
              <w:rPr>
                <w:rFonts w:ascii="Georgia" w:cs="Georgia" w:eastAsia="Georgia" w:hAnsi="Georgia"/>
                <w:i/>
                <w:iCs/>
                <w:color w:val="1E3A5F"/>
                <w:sz w:val="20"/>
                <w:szCs w:val="20"/>
              </w:rPr>
              <w:t xml:space="preserve">The platform generates 5,000 virtual patients. Each one has a unique age, weight, kidney function,</w:t>
            </w:r>
          </w:p>
          <w:p>
            <w:pPr>
              <w:spacing w:after="60" w:line="320"/>
            </w:pPr>
            <w:r>
              <w:rPr>
                <w:rFonts w:ascii="Georgia" w:cs="Georgia" w:eastAsia="Georgia" w:hAnsi="Georgia"/>
                <w:i/>
                <w:iCs/>
                <w:color w:val="1E3A5F"/>
                <w:sz w:val="20"/>
                <w:szCs w:val="20"/>
              </w:rPr>
              <w:t xml:space="preserve">liver enzyme activity, and genetic profile. Some metabolise drugs quickly. Some slowly.</w:t>
            </w:r>
          </w:p>
          <w:p>
            <w:pPr>
              <w:spacing w:after="60" w:line="320"/>
            </w:pPr>
            <w:r>
              <w:rPr>
                <w:rFonts w:ascii="Georgia" w:cs="Georgia" w:eastAsia="Georgia" w:hAnsi="Georgia"/>
                <w:i/>
                <w:iCs/>
                <w:color w:val="1E3A5F"/>
                <w:sz w:val="20"/>
                <w:szCs w:val="20"/>
              </w:rPr>
              <w:t xml:space="preserve">The molecule enters their virtual bloodstreams, and we watch what happens.</w:t>
            </w:r>
          </w:p>
        </w:tc>
      </w:tr>
    </w:tbl>
    <w:p>
      <w:pPr>
        <w:spacing w:after="80"/>
      </w:pPr>
    </w:p>
    <w:p>
      <w:pPr>
        <w:spacing w:after="140" w:line="340"/>
      </w:pPr>
      <w:r>
        <w:rPr>
          <w:rFonts w:ascii="Georgia" w:cs="Georgia" w:eastAsia="Georgia" w:hAnsi="Georgia"/>
          <w:sz w:val="22"/>
          <w:szCs w:val="22"/>
        </w:rPr>
        <w:t xml:space="preserve">The third layer — the Patient Cohort Digital Twin — answers the questions that keep clinical pharmacologists up at night. What dose range is safe? Which patients will respond? What adverse events should we expect? And in which patient subgroups will the drug work best — or worst?</w:t>
      </w:r>
    </w:p>
    <w:p>
      <w:pPr>
        <w:pStyle w:val="Heading2"/>
        <w:spacing w:after="180" w:before="320"/>
      </w:pPr>
      <w:r>
        <w:rPr>
          <w:rFonts w:ascii="Georgia" w:cs="Georgia" w:eastAsia="Georgia" w:hAnsi="Georgia"/>
          <w:b/>
          <w:bCs/>
          <w:color w:val="1E40AF"/>
          <w:sz w:val="28"/>
          <w:szCs w:val="28"/>
        </w:rPr>
        <w:t xml:space="preserve">Defining Your Virtual Population</w:t>
      </w:r>
    </w:p>
    <w:p>
      <w:pPr>
        <w:spacing w:after="140" w:line="340"/>
      </w:pPr>
      <w:r>
        <w:rPr>
          <w:rFonts w:ascii="Georgia" w:cs="Georgia" w:eastAsia="Georgia" w:hAnsi="Georgia"/>
          <w:sz w:val="22"/>
          <w:szCs w:val="22"/>
        </w:rPr>
        <w:t xml:space="preserve">This is where you describe the patients you want to simulate. Each parameter shapes the virtual cohort and changes the results in meaningful ways.</w:t>
      </w:r>
    </w:p>
    <w:p>
      <w:pPr>
        <w:spacing w:after="140" w:line="340"/>
      </w:pPr>
      <w:r>
        <w:rPr>
          <w:rFonts w:ascii="Georgia" w:cs="Georgia" w:eastAsia="Georgia" w:hAnsi="Georgia"/>
          <w:b/>
          <w:bCs/>
          <w:sz w:val="22"/>
          <w:szCs w:val="22"/>
        </w:rPr>
        <w:t xml:space="preserve">The disease: </w:t>
      </w:r>
      <w:r>
        <w:rPr>
          <w:rFonts w:ascii="Georgia" w:cs="Georgia" w:eastAsia="Georgia" w:hAnsi="Georgia"/>
          <w:sz w:val="22"/>
          <w:szCs w:val="22"/>
        </w:rPr>
        <w:t xml:space="preserve">You enter the target indication as an ICD-10 code — the global standard for classifying diseases. Type “non-small cell lung cancer” and the platform auto-completes to C34.1. You also set the disease severity: Mild, Moderate, Severe, or Critical. Sicker patients are harder to treat, but they also have the most to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ICD-10 (International Classification of Diseases, 10th Revision)</w:t>
            </w:r>
          </w:p>
          <w:p>
            <w:pPr>
              <w:spacing w:after="0"/>
            </w:pPr>
            <w:r>
              <w:rPr>
                <w:rFonts w:ascii="Georgia" w:cs="Georgia" w:eastAsia="Georgia" w:hAnsi="Georgia"/>
                <w:color w:val="4B5563"/>
                <w:sz w:val="20"/>
                <w:szCs w:val="20"/>
              </w:rPr>
              <w:t xml:space="preserve">A coding system used worldwide to categorise every known disease and condition. C34.1 is non-small cell lung cancer. E11 is type 2 diabetes. G30 is Alzheimer’s disease. These codes aren’t just labels — they determine which patient data the platform pulls, which adverse event profiles are relevant, and which clinical trial benchmarks to compare against.</w:t>
            </w:r>
          </w:p>
        </w:tc>
      </w:tr>
    </w:tbl>
    <w:p>
      <w:pPr>
        <w:spacing w:after="80"/>
      </w:pPr>
    </w:p>
    <w:p>
      <w:pPr>
        <w:spacing w:after="140" w:line="340"/>
      </w:pPr>
      <w:r>
        <w:rPr>
          <w:rFonts w:ascii="Georgia" w:cs="Georgia" w:eastAsia="Georgia" w:hAnsi="Georgia"/>
          <w:b/>
          <w:bCs/>
          <w:sz w:val="22"/>
          <w:szCs w:val="22"/>
        </w:rPr>
        <w:t xml:space="preserve">Cohort size: </w:t>
      </w:r>
      <w:r>
        <w:rPr>
          <w:rFonts w:ascii="Georgia" w:cs="Georgia" w:eastAsia="Georgia" w:hAnsi="Georgia"/>
          <w:sz w:val="22"/>
          <w:szCs w:val="22"/>
        </w:rPr>
        <w:t xml:space="preserve">How many virtual patients to generate — from 500 to 10,000. A larger cohort gives more statistically robust results (narrower confidence intervals) but takes longer to compute. 5,000 is a good default for most analyses.</w:t>
      </w:r>
    </w:p>
    <w:p>
      <w:pPr>
        <w:spacing w:after="140" w:line="340"/>
      </w:pPr>
      <w:r>
        <w:rPr>
          <w:rFonts w:ascii="Georgia" w:cs="Georgia" w:eastAsia="Georgia" w:hAnsi="Georgia"/>
          <w:b/>
          <w:bCs/>
          <w:sz w:val="22"/>
          <w:szCs w:val="22"/>
        </w:rPr>
        <w:t xml:space="preserve">Demographics: </w:t>
      </w:r>
      <w:r>
        <w:rPr>
          <w:rFonts w:ascii="Georgia" w:cs="Georgia" w:eastAsia="Georgia" w:hAnsi="Georgia"/>
          <w:sz w:val="22"/>
          <w:szCs w:val="22"/>
        </w:rPr>
        <w:t xml:space="preserve">Age range (e.g., 18–75 years), sex distribution (e.g., 50/50 male/female), and body weight range (e.g., 50–120 kg). These aren’t just labels on a chart — age affects kidney function and drug clearance, body weight changes the volume of distribution, and sex influences CYP enzyme activity.</w:t>
      </w:r>
    </w:p>
    <w:p>
      <w:pPr>
        <w:spacing w:after="140" w:line="340"/>
      </w:pPr>
      <w:r>
        <w:rPr>
          <w:rFonts w:ascii="Georgia" w:cs="Georgia" w:eastAsia="Georgia" w:hAnsi="Georgia"/>
          <w:b/>
          <w:bCs/>
          <w:sz w:val="22"/>
          <w:szCs w:val="22"/>
        </w:rPr>
        <w:t xml:space="preserve">Organ function: </w:t>
      </w:r>
      <w:r>
        <w:rPr>
          <w:rFonts w:ascii="Georgia" w:cs="Georgia" w:eastAsia="Georgia" w:hAnsi="Georgia"/>
          <w:sz w:val="22"/>
          <w:szCs w:val="22"/>
        </w:rPr>
        <w:t xml:space="preserve">You set ranges for kidney function (eGFR), liver enzymes (ALT), and cardiac function (LVEF). A patient with impaired kidneys clears drugs more slowly, leading to higher blood levels and increased toxicity risk. The platform models this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eGFR (Estimated Glomerular Filtration Rate)</w:t>
            </w:r>
          </w:p>
          <w:p>
            <w:pPr>
              <w:spacing w:after="0"/>
            </w:pPr>
            <w:r>
              <w:rPr>
                <w:rFonts w:ascii="Georgia" w:cs="Georgia" w:eastAsia="Georgia" w:hAnsi="Georgia"/>
                <w:color w:val="4B5563"/>
                <w:sz w:val="20"/>
                <w:szCs w:val="20"/>
              </w:rPr>
              <w:t xml:space="preserve">A measure of how well the kidneys are filtering blood, expressed in mL/min/1.73m². Above 90 is normal. 60–89 is mildly reduced (CKD Stage 2). 30–59 is moderately reduced (Stage 3). Below 15 is kidney failure (Stage 5). For drugs cleared by the kidneys, eGFR is the single biggest driver of dose adjustment.</w:t>
            </w:r>
          </w:p>
        </w:tc>
      </w:tr>
    </w:tbl>
    <w:p>
      <w:pPr>
        <w:spacing w:after="80"/>
      </w:pPr>
    </w:p>
    <w:p>
      <w:pPr>
        <w:spacing w:after="140" w:line="340"/>
      </w:pPr>
      <w:r>
        <w:rPr>
          <w:rFonts w:ascii="Georgia" w:cs="Georgia" w:eastAsia="Georgia" w:hAnsi="Georgia"/>
          <w:b/>
          <w:bCs/>
          <w:sz w:val="22"/>
          <w:szCs w:val="22"/>
        </w:rPr>
        <w:t xml:space="preserve">Dose and administration: </w:t>
      </w:r>
      <w:r>
        <w:rPr>
          <w:rFonts w:ascii="Georgia" w:cs="Georgia" w:eastAsia="Georgia" w:hAnsi="Georgia"/>
          <w:sz w:val="22"/>
          <w:szCs w:val="22"/>
        </w:rPr>
        <w:t xml:space="preserve">The starting dose (auto-populated from Layer 2’s FIH calculation, or entered manually), the route (oral, IV, subcutaneous, etc.), and the dosing frequency — QD means once daily, BID means twice daily, QW means once weekly. The platform simulates each regimen and shows you how drug levels build up over repeated doses.</w:t>
      </w:r>
    </w:p>
    <w:p>
      <w:pPr>
        <w:spacing w:after="140" w:line="340"/>
      </w:pPr>
      <w:r>
        <w:rPr>
          <w:rFonts w:ascii="Georgia" w:cs="Georgia" w:eastAsia="Georgia" w:hAnsi="Georgia"/>
          <w:b/>
          <w:bCs/>
          <w:sz w:val="22"/>
          <w:szCs w:val="22"/>
        </w:rPr>
        <w:t xml:space="preserve">Pharmacogenomics toggles: </w:t>
      </w:r>
      <w:r>
        <w:rPr>
          <w:rFonts w:ascii="Georgia" w:cs="Georgia" w:eastAsia="Georgia" w:hAnsi="Georgia"/>
          <w:sz w:val="22"/>
          <w:szCs w:val="22"/>
        </w:rPr>
        <w:t xml:space="preserve">CYP2D6, CYP3A4, and CYP2C19 metaboliser variation can be toggled on or off. When enabled, the virtual cohort includes a realistic mix of poor metabolisers (who clear the drug slowly and are at higher toxicity risk), normal metabolisers, and ultra-rapid metabolisers (who clear the drug so fast it may not work). This is precision medicine in simulation form.</w:t>
      </w:r>
    </w:p>
    <w:p>
      <w:pPr>
        <w:spacing w:after="140" w:line="340"/>
      </w:pPr>
      <w:r>
        <w:rPr>
          <w:rFonts w:ascii="Georgia" w:cs="Georgia" w:eastAsia="Georgia" w:hAnsi="Georgia"/>
          <w:b/>
          <w:bCs/>
          <w:sz w:val="22"/>
          <w:szCs w:val="22"/>
        </w:rPr>
        <w:t xml:space="preserve">Comorbidities: </w:t>
      </w:r>
      <w:r>
        <w:rPr>
          <w:rFonts w:ascii="Georgia" w:cs="Georgia" w:eastAsia="Georgia" w:hAnsi="Georgia"/>
          <w:sz w:val="22"/>
          <w:szCs w:val="22"/>
        </w:rPr>
        <w:t xml:space="preserve">You can add up to 10 additional conditions — hypertension, type 2 diabetes, chronic kidney disease, etc. — that are common in your target population. Each comorbidity adjusts the virtual patients’ organ function parameters and can introduce additional drug interactions.</w:t>
      </w:r>
    </w:p>
    <w:p>
      <w:pPr>
        <w:spacing w:after="80"/>
      </w:pPr>
    </w:p>
    <w:p>
      <w:pPr>
        <w:spacing w:after="140" w:line="340"/>
      </w:pPr>
      <w:r>
        <w:rPr>
          <w:rFonts w:ascii="Georgia" w:cs="Georgia" w:eastAsia="Georgia" w:hAnsi="Georgia"/>
          <w:sz w:val="22"/>
          <w:szCs w:val="22"/>
        </w:rPr>
        <w:t xml:space="preserve">The platform builds its virtual patients using real-world population data from NHANES — a massive US government survey that tracks the health and nutritional status of Americans. This gives the simulation realistic distributions of age, weight, organ function, and body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NHANES (National Health and Nutrition Examination Survey)</w:t>
            </w:r>
          </w:p>
          <w:p>
            <w:pPr>
              <w:spacing w:after="0"/>
            </w:pPr>
            <w:r>
              <w:rPr>
                <w:rFonts w:ascii="Georgia" w:cs="Georgia" w:eastAsia="Georgia" w:hAnsi="Georgia"/>
                <w:color w:val="4B5563"/>
                <w:sz w:val="20"/>
                <w:szCs w:val="20"/>
              </w:rPr>
              <w:t xml:space="preserve">A programme run by the US Centers for Disease Control (CDC) that examines about 5,000 Americans each year. It measures everything from blood pressure to kidney function to body fat percentage. HakaseAI uses this data to ensure its virtual patients look like real patients — not idealised textbook averages.</w:t>
            </w:r>
          </w:p>
        </w:tc>
      </w:tr>
    </w:tbl>
    <w:p>
      <w:pPr>
        <w:spacing w:after="80"/>
      </w:pPr>
    </w:p>
    <w:p>
      <w:pPr>
        <w:pStyle w:val="Heading2"/>
        <w:spacing w:after="180" w:before="320"/>
      </w:pPr>
      <w:r>
        <w:rPr>
          <w:rFonts w:ascii="Georgia" w:cs="Georgia" w:eastAsia="Georgia" w:hAnsi="Georgia"/>
          <w:b/>
          <w:bCs/>
          <w:color w:val="1E40AF"/>
          <w:sz w:val="28"/>
          <w:szCs w:val="28"/>
        </w:rPr>
        <w:t xml:space="preserve">What the Body Does to the Drug</w:t>
      </w:r>
    </w:p>
    <w:p>
      <w:pPr>
        <w:spacing w:after="140" w:line="340"/>
      </w:pPr>
      <w:r>
        <w:rPr>
          <w:rFonts w:ascii="Georgia" w:cs="Georgia" w:eastAsia="Georgia" w:hAnsi="Georgia"/>
          <w:sz w:val="22"/>
          <w:szCs w:val="22"/>
        </w:rPr>
        <w:t xml:space="preserve">For each virtual patient, the platform solves a set of differential equations that track the drug’s concentration in the blood over time. The result is a PK curve — a line that rises as the drug is absorbed, peaks, and then falls as it’s metabolised and excreted.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PK Curve (Pharmacokinetic Curve)</w:t>
            </w:r>
          </w:p>
          <w:p>
            <w:pPr>
              <w:spacing w:after="0"/>
            </w:pPr>
            <w:r>
              <w:rPr>
                <w:rFonts w:ascii="Georgia" w:cs="Georgia" w:eastAsia="Georgia" w:hAnsi="Georgia"/>
                <w:color w:val="4B5563"/>
                <w:sz w:val="20"/>
                <w:szCs w:val="20"/>
              </w:rPr>
              <w:t xml:space="preserve">A graph showing drug concentration in the blood over time. The peak is called Cmax (maximum concentration). The time to reach the peak is Tmax. The total area under the curve (AUC) represents total drug exposure. And the half-life (t½) tells you how long it takes for the concentration to drop by half — which determines whether the patient takes the drug once a day, twice a day, or once a week.</w:t>
            </w:r>
          </w:p>
        </w:tc>
      </w:tr>
    </w:tbl>
    <w:p>
      <w:pPr>
        <w:spacing w:after="80"/>
      </w:pPr>
    </w:p>
    <w:p>
      <w:pPr>
        <w:spacing w:after="140" w:line="340"/>
      </w:pPr>
      <w:r>
        <w:rPr>
          <w:rFonts w:ascii="Georgia" w:cs="Georgia" w:eastAsia="Georgia" w:hAnsi="Georgia"/>
          <w:sz w:val="22"/>
          <w:szCs w:val="22"/>
        </w:rPr>
        <w:t xml:space="preserve">Because each virtual patient has different physiology, each one gets a slightly different PK curve. The platform overlays all 5,000 curves and shows you the population mean with confidence intervals — a band that captures the range of expected responses.</w:t>
      </w:r>
    </w:p>
    <w:p>
      <w:pPr>
        <w:pStyle w:val="Heading2"/>
        <w:spacing w:after="180" w:before="320"/>
      </w:pPr>
      <w:r>
        <w:rPr>
          <w:rFonts w:ascii="Georgia" w:cs="Georgia" w:eastAsia="Georgia" w:hAnsi="Georgia"/>
          <w:b/>
          <w:bCs/>
          <w:color w:val="1E40AF"/>
          <w:sz w:val="28"/>
          <w:szCs w:val="28"/>
        </w:rPr>
        <w:t xml:space="preserve">What the Drug Does to the Body</w:t>
      </w:r>
    </w:p>
    <w:p>
      <w:pPr>
        <w:spacing w:after="140" w:line="340"/>
      </w:pPr>
      <w:r>
        <w:rPr>
          <w:rFonts w:ascii="Georgia" w:cs="Georgia" w:eastAsia="Georgia" w:hAnsi="Georgia"/>
          <w:sz w:val="22"/>
          <w:szCs w:val="22"/>
        </w:rPr>
        <w:t xml:space="preserve">The PK curve tells you how much drug is in the blood. The PD model tells you what that drug concentration actually does. The platform uses an Emax model — a mathematical function that relates drug concentration to clinical effect along a sigmoidal (S-shaped)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Emax Model</w:t>
            </w:r>
          </w:p>
          <w:p>
            <w:pPr>
              <w:spacing w:after="0"/>
            </w:pPr>
            <w:r>
              <w:rPr>
                <w:rFonts w:ascii="Georgia" w:cs="Georgia" w:eastAsia="Georgia" w:hAnsi="Georgia"/>
                <w:color w:val="4B5563"/>
                <w:sz w:val="20"/>
                <w:szCs w:val="20"/>
              </w:rPr>
              <w:t xml:space="preserve">A pharmacodynamic model shaped like an S-curve. At low drug concentrations, there’s little effect. As concentration increases, the effect climbs steeply. Eventually it plateaus — adding more drug doesn’t increase the effect further. The concentration at the midpoint of the S-curve is called the EC50. This model is the workhorse of clinical pharmacology.</w:t>
            </w:r>
          </w:p>
        </w:tc>
      </w:tr>
    </w:tbl>
    <w:p>
      <w:pPr>
        <w:spacing w:after="80"/>
      </w:pPr>
    </w:p>
    <w:p>
      <w:pPr>
        <w:spacing w:after="140" w:line="340"/>
      </w:pPr>
      <w:r>
        <w:rPr>
          <w:rFonts w:ascii="Georgia" w:cs="Georgia" w:eastAsia="Georgia" w:hAnsi="Georgia"/>
          <w:sz w:val="22"/>
          <w:szCs w:val="22"/>
        </w:rPr>
        <w:t xml:space="preserve">The model classifies each virtual patient as a Responder (meaningful clinical improvement), Partial Responder, or Non-Responder. It also predicts adverse events — side effects graded on the CTCAE scale from mild (Grade 1) to fatal (Grade 5) — calibrated against real-world safety data from the FDA’s FAERS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FAERS (FDA Adverse Event Reporting System)</w:t>
            </w:r>
          </w:p>
          <w:p>
            <w:pPr>
              <w:spacing w:after="0"/>
            </w:pPr>
            <w:r>
              <w:rPr>
                <w:rFonts w:ascii="Georgia" w:cs="Georgia" w:eastAsia="Georgia" w:hAnsi="Georgia"/>
                <w:color w:val="4B5563"/>
                <w:sz w:val="20"/>
                <w:szCs w:val="20"/>
              </w:rPr>
              <w:t xml:space="preserve">A database containing over 20 million reports of adverse reactions to drugs, submitted by doctors, patients, and pharmaceutical companies to the US FDA. When HakaseAI predicts adverse events, it calibrates its estimates against this real-world safety data to ensure the predictions are grounded in actual clinical experience.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CTCAE (Common Terminology Criteria for Adverse Events)</w:t>
            </w:r>
          </w:p>
          <w:p>
            <w:pPr>
              <w:spacing w:after="0"/>
            </w:pPr>
            <w:r>
              <w:rPr>
                <w:rFonts w:ascii="Georgia" w:cs="Georgia" w:eastAsia="Georgia" w:hAnsi="Georgia"/>
                <w:color w:val="4B5563"/>
                <w:sz w:val="20"/>
                <w:szCs w:val="20"/>
              </w:rPr>
              <w:t xml:space="preserve">The universal grading scale for drug side effects. Grade 1 = mild (you barely notice it). Grade 2 = moderate (it’s uncomfortable but manageable). Grade 3 = severe (requires medical intervention). Grade 4 = life-threatening. Grade 5 = death. Clinical trials track Grade 3+ events very carefully because they determine whether a drug is safe enough to approve.</w:t>
            </w:r>
          </w:p>
        </w:tc>
      </w:tr>
    </w:tbl>
    <w:p>
      <w:r>
        <w:br w:type="page"/>
      </w:r>
    </w:p>
    <w:p>
      <w:pPr>
        <w:pStyle w:val="Heading1"/>
        <w:spacing w:after="240" w:before="400"/>
      </w:pPr>
      <w:r>
        <w:rPr>
          <w:rFonts w:ascii="Georgia" w:cs="Georgia" w:eastAsia="Georgia" w:hAnsi="Georgia"/>
          <w:b/>
          <w:bCs/>
          <w:color w:val="1B3A5C"/>
          <w:sz w:val="34"/>
          <w:szCs w:val="34"/>
        </w:rPr>
        <w:t xml:space="preserve">Chapter 4: Running the Trial Before Running the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1"/>
              <w:left w:val="single" w:color="38BDF8" w:sz="12"/>
              <w:bottom w:val="single" w:color="7DD3FC" w:sz="1"/>
              <w:right w:val="single" w:color="7DD3FC" w:sz="1"/>
            </w:tcBorders>
            <w:shd w:fill="F0F9FF" w:val="clear"/>
            <w:tcMar>
              <w:top w:type="dxa" w:w="80"/>
              <w:left w:type="dxa" w:w="160"/>
              <w:bottom w:type="dxa" w:w="80"/>
              <w:right w:type="dxa" w:w="160"/>
            </w:tcMar>
          </w:tcPr>
          <w:p>
            <w:pPr>
              <w:spacing w:after="60" w:line="320"/>
            </w:pPr>
            <w:r>
              <w:rPr>
                <w:rFonts w:ascii="Georgia" w:cs="Georgia" w:eastAsia="Georgia" w:hAnsi="Georgia"/>
                <w:i/>
                <w:iCs/>
                <w:color w:val="1E3A5F"/>
                <w:sz w:val="20"/>
                <w:szCs w:val="20"/>
              </w:rPr>
              <w:t xml:space="preserve">A clinical trial is one of the most expensive experiments a company will ever run.</w:t>
            </w:r>
          </w:p>
          <w:p>
            <w:pPr>
              <w:spacing w:after="60" w:line="320"/>
            </w:pPr>
            <w:r>
              <w:rPr>
                <w:rFonts w:ascii="Georgia" w:cs="Georgia" w:eastAsia="Georgia" w:hAnsi="Georgia"/>
                <w:i/>
                <w:iCs/>
                <w:color w:val="1E3A5F"/>
                <w:sz w:val="20"/>
                <w:szCs w:val="20"/>
              </w:rPr>
              <w:t xml:space="preserve">A Phase III oncology trial can cost $100 million and take 5 years.</w:t>
            </w:r>
          </w:p>
          <w:p>
            <w:pPr>
              <w:spacing w:after="60" w:line="320"/>
            </w:pPr>
            <w:r>
              <w:rPr>
                <w:rFonts w:ascii="Georgia" w:cs="Georgia" w:eastAsia="Georgia" w:hAnsi="Georgia"/>
                <w:i/>
                <w:iCs/>
                <w:color w:val="1E3A5F"/>
                <w:sz w:val="20"/>
                <w:szCs w:val="20"/>
              </w:rPr>
              <w:t xml:space="preserve">What if you could simulate it first — in an afternoon?</w:t>
            </w:r>
          </w:p>
        </w:tc>
      </w:tr>
    </w:tbl>
    <w:p>
      <w:pPr>
        <w:spacing w:after="80"/>
      </w:pPr>
    </w:p>
    <w:p>
      <w:pPr>
        <w:spacing w:after="140" w:line="340"/>
      </w:pPr>
      <w:r>
        <w:rPr>
          <w:rFonts w:ascii="Georgia" w:cs="Georgia" w:eastAsia="Georgia" w:hAnsi="Georgia"/>
          <w:sz w:val="22"/>
          <w:szCs w:val="22"/>
        </w:rPr>
        <w:t xml:space="preserve">The fourth and final layer — the Trial Digital Twin — simulates an entire clinical trial using Monte Carlo methods. It creates virtual treatment and control groups, models enrolment across clinical sites worldwide, simulates dropout, runs the statistical analysis, and tells you the probability that your trial will succeed.</w:t>
      </w:r>
    </w:p>
    <w:p>
      <w:pPr>
        <w:pStyle w:val="Heading2"/>
        <w:spacing w:after="180" w:before="320"/>
      </w:pPr>
      <w:r>
        <w:rPr>
          <w:rFonts w:ascii="Georgia" w:cs="Georgia" w:eastAsia="Georgia" w:hAnsi="Georgia"/>
          <w:b/>
          <w:bCs/>
          <w:color w:val="1E40AF"/>
          <w:sz w:val="28"/>
          <w:szCs w:val="28"/>
        </w:rPr>
        <w:t xml:space="preserve">Designing the Trial</w:t>
      </w:r>
    </w:p>
    <w:p>
      <w:pPr>
        <w:spacing w:after="140" w:line="340"/>
      </w:pPr>
      <w:r>
        <w:rPr>
          <w:rFonts w:ascii="Georgia" w:cs="Georgia" w:eastAsia="Georgia" w:hAnsi="Georgia"/>
          <w:sz w:val="22"/>
          <w:szCs w:val="22"/>
        </w:rPr>
        <w:t xml:space="preserve">This layer has the most configuration of any layer — because clinical trial design is where billions of dollars of decisions are made. Every parameter here mirrors a decision that a real biostatistician and clinical team would debate for weeks.</w:t>
      </w:r>
    </w:p>
    <w:p>
      <w:pPr>
        <w:spacing w:after="140" w:line="340"/>
      </w:pPr>
      <w:r>
        <w:rPr>
          <w:rFonts w:ascii="Georgia" w:cs="Georgia" w:eastAsia="Georgia" w:hAnsi="Georgia"/>
          <w:b/>
          <w:bCs/>
          <w:sz w:val="22"/>
          <w:szCs w:val="22"/>
        </w:rPr>
        <w:t xml:space="preserve">Trial phase: </w:t>
      </w:r>
      <w:r>
        <w:rPr>
          <w:rFonts w:ascii="Georgia" w:cs="Georgia" w:eastAsia="Georgia" w:hAnsi="Georgia"/>
          <w:sz w:val="22"/>
          <w:szCs w:val="22"/>
        </w:rPr>
        <w:t xml:space="preserve">Phase I (first-in-human, safety focus, small), Phase I/II (safety + early efficacy), Phase II (does it work?), Phase II/III (bridge to registration), or Phase III (large-scale proof for regulatory approval). The phase determines default parameter ranges, validation rules, and the statistical model.</w:t>
      </w:r>
    </w:p>
    <w:p>
      <w:pPr>
        <w:spacing w:after="140" w:line="340"/>
      </w:pPr>
      <w:r>
        <w:rPr>
          <w:rFonts w:ascii="Georgia" w:cs="Georgia" w:eastAsia="Georgia" w:hAnsi="Georgia"/>
          <w:b/>
          <w:bCs/>
          <w:sz w:val="22"/>
          <w:szCs w:val="22"/>
        </w:rPr>
        <w:t xml:space="preserve">Study type: </w:t>
      </w:r>
      <w:r>
        <w:rPr>
          <w:rFonts w:ascii="Georgia" w:cs="Georgia" w:eastAsia="Georgia" w:hAnsi="Georgia"/>
          <w:sz w:val="22"/>
          <w:szCs w:val="22"/>
        </w:rPr>
        <w:t xml:space="preserve">Randomised Controlled (the gold standard — patients are randomly assigned to treatment or placebo), Single-Arm + Synthetic Control (all patients get the drug, with a virtual control group built from historical data), Open-Label (everyone knows who gets what), or Crossover (patients switch between treatment and placebo).</w:t>
      </w:r>
    </w:p>
    <w:p>
      <w:pPr>
        <w:spacing w:after="140" w:line="340"/>
      </w:pPr>
      <w:r>
        <w:rPr>
          <w:rFonts w:ascii="Georgia" w:cs="Georgia" w:eastAsia="Georgia" w:hAnsi="Georgia"/>
          <w:b/>
          <w:bCs/>
          <w:sz w:val="22"/>
          <w:szCs w:val="22"/>
        </w:rPr>
        <w:t xml:space="preserve">Number of arms and randomisation: </w:t>
      </w:r>
      <w:r>
        <w:rPr>
          <w:rFonts w:ascii="Georgia" w:cs="Georgia" w:eastAsia="Georgia" w:hAnsi="Georgia"/>
          <w:sz w:val="22"/>
          <w:szCs w:val="22"/>
        </w:rPr>
        <w:t xml:space="preserve">A 2-arm trial (treatment vs control) is standard. Multi-arm trials (3–4 arms) test multiple doses or multiple drugs simultaneously. The randomisation ratio (e.g., 2:1) determines how many patients go to treatment vs control — 2:1 means twice as many patients get the real drug, which helps with enrolment in rare diseases where patients are reluctant to accept placebo.</w:t>
      </w:r>
    </w:p>
    <w:p>
      <w:pPr>
        <w:spacing w:after="140" w:line="340"/>
      </w:pPr>
      <w:r>
        <w:rPr>
          <w:rFonts w:ascii="Georgia" w:cs="Georgia" w:eastAsia="Georgia" w:hAnsi="Georgia"/>
          <w:b/>
          <w:bCs/>
          <w:sz w:val="22"/>
          <w:szCs w:val="22"/>
        </w:rPr>
        <w:t xml:space="preserve">Primary endpoint: </w:t>
      </w:r>
      <w:r>
        <w:rPr>
          <w:rFonts w:ascii="Georgia" w:cs="Georgia" w:eastAsia="Georgia" w:hAnsi="Georgia"/>
          <w:sz w:val="22"/>
          <w:szCs w:val="22"/>
        </w:rPr>
        <w:t xml:space="preserve">The main outcome measure the trial is powered to detect. For a cancer trial, this might be Progression-Free Survival measured in months. For a pain trial, it might be a continuous score on a pain scale. For an infectious disease trial, it might be a binary outcome: cured or not cured. The endpoint type (Time-to-Event, Continuous, Binary, Composite, Count) determines which statistical model the Monte Carlo engine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Endpoint</w:t>
            </w:r>
          </w:p>
          <w:p>
            <w:pPr>
              <w:spacing w:after="0"/>
            </w:pPr>
            <w:r>
              <w:rPr>
                <w:rFonts w:ascii="Georgia" w:cs="Georgia" w:eastAsia="Georgia" w:hAnsi="Georgia"/>
                <w:color w:val="4B5563"/>
                <w:sz w:val="20"/>
                <w:szCs w:val="20"/>
              </w:rPr>
              <w:t xml:space="preserve">The measurable outcome that determines whether a drug works. A primary endpoint is the main question the trial is designed to answer (e.g., “does this drug extend survival?”). Secondary endpoints are additional questions (e.g., “does it improve quality of life?”). Choosing the right endpoint is one of the most consequential decisions in trial design — the wrong endpoint can doom a trial even if the drug works.</w:t>
            </w:r>
          </w:p>
        </w:tc>
      </w:tr>
    </w:tbl>
    <w:p>
      <w:pPr>
        <w:spacing w:after="80"/>
      </w:pPr>
    </w:p>
    <w:p>
      <w:pPr>
        <w:spacing w:after="140" w:line="340"/>
      </w:pPr>
      <w:r>
        <w:rPr>
          <w:rFonts w:ascii="Georgia" w:cs="Georgia" w:eastAsia="Georgia" w:hAnsi="Georgia"/>
          <w:b/>
          <w:bCs/>
          <w:sz w:val="22"/>
          <w:szCs w:val="22"/>
        </w:rPr>
        <w:t xml:space="preserve">Effect size: </w:t>
      </w:r>
      <w:r>
        <w:rPr>
          <w:rFonts w:ascii="Georgia" w:cs="Georgia" w:eastAsia="Georgia" w:hAnsi="Georgia"/>
          <w:sz w:val="22"/>
          <w:szCs w:val="22"/>
        </w:rPr>
        <w:t xml:space="preserve">The clinically meaningful difference you’re trying to detect. A hazard ratio of 0.7 means you expect the drug to reduce the risk of death by 30%. A mean difference of 5 points on a pain scale means you expect 5 points of improvement. Larger effect sizes are easier to detect (fewer patients needed), but if you overestimate the effect, your trial will be underpowered.</w:t>
      </w:r>
    </w:p>
    <w:p>
      <w:pPr>
        <w:spacing w:after="140" w:line="340"/>
      </w:pPr>
      <w:r>
        <w:rPr>
          <w:rFonts w:ascii="Georgia" w:cs="Georgia" w:eastAsia="Georgia" w:hAnsi="Georgia"/>
          <w:b/>
          <w:bCs/>
          <w:sz w:val="22"/>
          <w:szCs w:val="22"/>
        </w:rPr>
        <w:t xml:space="preserve">Significance and power targets: </w:t>
      </w:r>
      <w:r>
        <w:rPr>
          <w:rFonts w:ascii="Georgia" w:cs="Georgia" w:eastAsia="Georgia" w:hAnsi="Georgia"/>
          <w:sz w:val="22"/>
          <w:szCs w:val="22"/>
        </w:rPr>
        <w:t xml:space="preserve">Alpha (default 0.05) and power (default 80%) are the two statistical cornerstones. Together they determine the sample size. A more ambitious target (e.g., 90% power at alpha 0.025) requires substantially more patients.</w:t>
      </w:r>
    </w:p>
    <w:p>
      <w:pPr>
        <w:spacing w:after="140" w:line="340"/>
      </w:pPr>
      <w:r>
        <w:rPr>
          <w:rFonts w:ascii="Georgia" w:cs="Georgia" w:eastAsia="Georgia" w:hAnsi="Georgia"/>
          <w:b/>
          <w:bCs/>
          <w:sz w:val="22"/>
          <w:szCs w:val="22"/>
        </w:rPr>
        <w:t xml:space="preserve">Dropout modelling: </w:t>
      </w:r>
      <w:r>
        <w:rPr>
          <w:rFonts w:ascii="Georgia" w:cs="Georgia" w:eastAsia="Georgia" w:hAnsi="Georgia"/>
          <w:sz w:val="22"/>
          <w:szCs w:val="22"/>
        </w:rPr>
        <w:t xml:space="preserve">Patients leave trials — they move, they get sicker, they change their minds. You set the annual dropout rate (default 15%) and the dropout pattern: Uniform (steady drip), Front-loaded (early dropouts, common in difficult regimens), Back-loaded (late dropouts), or Exponential (decreasing rate). Every dropout inflates the sample size you need.</w:t>
      </w:r>
    </w:p>
    <w:p>
      <w:pPr>
        <w:spacing w:after="140" w:line="340"/>
      </w:pPr>
      <w:r>
        <w:rPr>
          <w:rFonts w:ascii="Georgia" w:cs="Georgia" w:eastAsia="Georgia" w:hAnsi="Georgia"/>
          <w:b/>
          <w:bCs/>
          <w:sz w:val="22"/>
          <w:szCs w:val="22"/>
        </w:rPr>
        <w:t xml:space="preserve">Adaptive design rules: </w:t>
      </w:r>
      <w:r>
        <w:rPr>
          <w:rFonts w:ascii="Georgia" w:cs="Georgia" w:eastAsia="Georgia" w:hAnsi="Georgia"/>
          <w:sz w:val="22"/>
          <w:szCs w:val="22"/>
        </w:rPr>
        <w:t xml:space="preserve">If enabled, you configure when to peek at the data (at 25%, 50%, or 75% enrolment), which spending function to use for futility and superiority boundaries (O’Brien-Fleming is conservative, Pocock is more aggressive), and whether to allow mid-trial sample size re-estimation.</w:t>
      </w:r>
    </w:p>
    <w:p>
      <w:pPr>
        <w:spacing w:after="140" w:line="340"/>
      </w:pPr>
      <w:r>
        <w:rPr>
          <w:rFonts w:ascii="Georgia" w:cs="Georgia" w:eastAsia="Georgia" w:hAnsi="Georgia"/>
          <w:b/>
          <w:bCs/>
          <w:sz w:val="22"/>
          <w:szCs w:val="22"/>
        </w:rPr>
        <w:t xml:space="preserve">Synthetic control arm: </w:t>
      </w:r>
      <w:r>
        <w:rPr>
          <w:rFonts w:ascii="Georgia" w:cs="Georgia" w:eastAsia="Georgia" w:hAnsi="Georgia"/>
          <w:sz w:val="22"/>
          <w:szCs w:val="22"/>
        </w:rPr>
        <w:t xml:space="preserve">For single-arm trials, you configure the virtual placebo group: the matching method (Propensity Score Matching, Inverse Probability Weighting, etc.), which covariates to match on (age, sex, disease stage, comorbidity index), the balance threshold (SMD &lt; 0.10 is good), and which real-world databases to draw from — MIMIC-IV (~47K patients), HCUP (~8M patients), or All of Us (~312K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Propensity Score Matching</w:t>
            </w:r>
          </w:p>
          <w:p>
            <w:pPr>
              <w:spacing w:after="0"/>
            </w:pPr>
            <w:r>
              <w:rPr>
                <w:rFonts w:ascii="Georgia" w:cs="Georgia" w:eastAsia="Georgia" w:hAnsi="Georgia"/>
                <w:color w:val="4B5563"/>
                <w:sz w:val="20"/>
                <w:szCs w:val="20"/>
              </w:rPr>
              <w:t xml:space="preserve">A statistical technique for creating a fair comparison group from historical data. It calculates the probability (propensity) of each historical patient being “like” a treatment patient, then matches them based on that probability. The result is a synthetic control group that looks statistically identical to the treatment group on key characteristics — so any difference in outcomes can be attributed to the drug, not to patient differences.</w:t>
            </w:r>
          </w:p>
        </w:tc>
      </w:tr>
    </w:tbl>
    <w:p>
      <w:pPr>
        <w:spacing w:after="80"/>
      </w:pPr>
    </w:p>
    <w:p>
      <w:pPr>
        <w:spacing w:after="140" w:line="340"/>
      </w:pPr>
      <w:r>
        <w:rPr>
          <w:rFonts w:ascii="Georgia" w:cs="Georgia" w:eastAsia="Georgia" w:hAnsi="Georgia"/>
          <w:b/>
          <w:bCs/>
          <w:sz w:val="22"/>
          <w:szCs w:val="22"/>
        </w:rPr>
        <w:t xml:space="preserve">Monte Carlo replications: </w:t>
      </w:r>
      <w:r>
        <w:rPr>
          <w:rFonts w:ascii="Georgia" w:cs="Georgia" w:eastAsia="Georgia" w:hAnsi="Georgia"/>
          <w:sz w:val="22"/>
          <w:szCs w:val="22"/>
        </w:rPr>
        <w:t xml:space="preserve">How many virtual trials to run — from 100 (quick estimate) to 10,000 (publication-grade precision). At 10,000 replications, each with slightly different random patients and events, the platform gives you a highly precise estimate of trial success probability.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Monte Carlo Simulation</w:t>
            </w:r>
          </w:p>
          <w:p>
            <w:pPr>
              <w:spacing w:after="0"/>
            </w:pPr>
            <w:r>
              <w:rPr>
                <w:rFonts w:ascii="Georgia" w:cs="Georgia" w:eastAsia="Georgia" w:hAnsi="Georgia"/>
                <w:color w:val="4B5563"/>
                <w:sz w:val="20"/>
                <w:szCs w:val="20"/>
              </w:rPr>
              <w:t xml:space="preserve">A technique that runs thousands of randomised “what-if” scenarios to estimate probabilities. Named after the famous casino, because it uses random sampling — like rolling dice thousands of times to figure out the odds. HakaseAI runs up to 10,000 virtual trials, each with slightly different patients, slightly different dropout rates, and slightly different treatment effects, then reports how often the trial succeeds.</w:t>
            </w:r>
          </w:p>
        </w:tc>
      </w:tr>
    </w:tbl>
    <w:p>
      <w:pPr>
        <w:spacing w:after="80"/>
      </w:pPr>
    </w:p>
    <w:p>
      <w:pPr>
        <w:pStyle w:val="Heading2"/>
        <w:spacing w:after="180" w:before="320"/>
      </w:pPr>
      <w:r>
        <w:rPr>
          <w:rFonts w:ascii="Georgia" w:cs="Georgia" w:eastAsia="Georgia" w:hAnsi="Georgia"/>
          <w:b/>
          <w:bCs/>
          <w:color w:val="1E40AF"/>
          <w:sz w:val="28"/>
          <w:szCs w:val="28"/>
        </w:rPr>
        <w:t xml:space="preserve">The Key Number: Statistical Power</w:t>
      </w:r>
    </w:p>
    <w:p>
      <w:pPr>
        <w:spacing w:after="140" w:line="340"/>
      </w:pPr>
      <w:r>
        <w:rPr>
          <w:rFonts w:ascii="Georgia" w:cs="Georgia" w:eastAsia="Georgia" w:hAnsi="Georgia"/>
          <w:sz w:val="22"/>
          <w:szCs w:val="22"/>
        </w:rPr>
        <w:t xml:space="preserve">The most important output of a clinical trial design is its statistical power. Power answers the question: if this drug truly works, what’s the probability that our trial will detect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Statistical Power</w:t>
            </w:r>
          </w:p>
          <w:p>
            <w:pPr>
              <w:spacing w:after="0"/>
            </w:pPr>
            <w:r>
              <w:rPr>
                <w:rFonts w:ascii="Georgia" w:cs="Georgia" w:eastAsia="Georgia" w:hAnsi="Georgia"/>
                <w:color w:val="4B5563"/>
                <w:sz w:val="20"/>
                <w:szCs w:val="20"/>
              </w:rPr>
              <w:t xml:space="preserve">The probability that a trial will find a real treatment effect if one exists. Industry standard is 80% power — meaning there’s a 20% chance of missing a real effect (a false negative). Higher power requires more patients, which costs more money. The platform helps you find the sweet spot between power, cost, and feasibility.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Significance Level (Alpha / α)</w:t>
            </w:r>
          </w:p>
          <w:p>
            <w:pPr>
              <w:spacing w:after="0"/>
            </w:pPr>
            <w:r>
              <w:rPr>
                <w:rFonts w:ascii="Georgia" w:cs="Georgia" w:eastAsia="Georgia" w:hAnsi="Georgia"/>
                <w:color w:val="4B5563"/>
                <w:sz w:val="20"/>
                <w:szCs w:val="20"/>
              </w:rPr>
              <w:t xml:space="preserve">The probability of a false positive — declaring the drug works when it actually doesn’t. The standard threshold is 0.05 (5%). This is why you see "p &lt; 0.05" in medical journals — it means there’s less than a 5% chance the result happened by luck alone.</w:t>
            </w:r>
          </w:p>
        </w:tc>
      </w:tr>
    </w:tbl>
    <w:p>
      <w:pPr>
        <w:spacing w:after="80"/>
      </w:pPr>
    </w:p>
    <w:p>
      <w:pPr>
        <w:spacing w:after="140" w:line="340"/>
      </w:pPr>
      <w:r>
        <w:rPr>
          <w:rFonts w:ascii="Georgia" w:cs="Georgia" w:eastAsia="Georgia" w:hAnsi="Georgia"/>
          <w:sz w:val="22"/>
          <w:szCs w:val="22"/>
        </w:rPr>
        <w:t xml:space="preserve">The platform calculates the exact sample size needed to achieve the target power, then models whether that many patients can actually be enrolled given the available clinical sites, geographic regions, and disease prevalence.</w:t>
      </w:r>
    </w:p>
    <w:p>
      <w:pPr>
        <w:pStyle w:val="Heading2"/>
        <w:spacing w:after="180" w:before="320"/>
      </w:pPr>
      <w:r>
        <w:rPr>
          <w:rFonts w:ascii="Georgia" w:cs="Georgia" w:eastAsia="Georgia" w:hAnsi="Georgia"/>
          <w:b/>
          <w:bCs/>
          <w:color w:val="1E40AF"/>
          <w:sz w:val="28"/>
          <w:szCs w:val="28"/>
        </w:rPr>
        <w:t xml:space="preserve">Survival Curves and Hazard Ratios</w:t>
      </w:r>
    </w:p>
    <w:p>
      <w:pPr>
        <w:spacing w:after="140" w:line="340"/>
      </w:pPr>
      <w:r>
        <w:rPr>
          <w:rFonts w:ascii="Georgia" w:cs="Georgia" w:eastAsia="Georgia" w:hAnsi="Georgia"/>
          <w:sz w:val="22"/>
          <w:szCs w:val="22"/>
        </w:rPr>
        <w:t xml:space="preserve">For time-to-event endpoints (like overall survival in cancer trials), the platform generates Kaplan-Meier curves — step-function graphs that show what percentage of patients are still alive (or event-free) at each time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Kaplan-Meier Curve</w:t>
            </w:r>
          </w:p>
          <w:p>
            <w:pPr>
              <w:spacing w:after="0"/>
            </w:pPr>
            <w:r>
              <w:rPr>
                <w:rFonts w:ascii="Georgia" w:cs="Georgia" w:eastAsia="Georgia" w:hAnsi="Georgia"/>
                <w:color w:val="4B5563"/>
                <w:sz w:val="20"/>
                <w:szCs w:val="20"/>
              </w:rPr>
              <w:t xml:space="preserve">A staircase-shaped graph used in clinical trials to show how many patients survive (or remain event-free) over time. The treatment arm and control arm each get their own curve. If the treatment works, its curve stays higher — meaning more patients survive longer. The wider the gap between the curves, the bigger the treatment effect.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Hazard Ratio (HR)</w:t>
            </w:r>
          </w:p>
          <w:p>
            <w:pPr>
              <w:spacing w:after="0"/>
            </w:pPr>
            <w:r>
              <w:rPr>
                <w:rFonts w:ascii="Georgia" w:cs="Georgia" w:eastAsia="Georgia" w:hAnsi="Georgia"/>
                <w:color w:val="4B5563"/>
                <w:sz w:val="20"/>
                <w:szCs w:val="20"/>
              </w:rPr>
              <w:t xml:space="preserve">A single number that summarises how much the treatment reduces (or increases) the risk of an event compared to the control. HR = 0.5 means the treatment cuts the risk in half. HR = 1.0 means no difference. HR &gt; 1.0 means the treatment is actually worse. In oncology, a hazard ratio below 0.7 is generally considered clinically meaningful.</w:t>
            </w:r>
          </w:p>
        </w:tc>
      </w:tr>
    </w:tbl>
    <w:p>
      <w:pPr>
        <w:spacing w:after="80"/>
      </w:pPr>
    </w:p>
    <w:p>
      <w:pPr>
        <w:pStyle w:val="Heading2"/>
        <w:spacing w:after="180" w:before="320"/>
      </w:pPr>
      <w:r>
        <w:rPr>
          <w:rFonts w:ascii="Georgia" w:cs="Georgia" w:eastAsia="Georgia" w:hAnsi="Georgia"/>
          <w:b/>
          <w:bCs/>
          <w:color w:val="1E40AF"/>
          <w:sz w:val="28"/>
          <w:szCs w:val="28"/>
        </w:rPr>
        <w:t xml:space="preserve">Adaptive Design: Peeking at the Data</w:t>
      </w:r>
    </w:p>
    <w:p>
      <w:pPr>
        <w:spacing w:after="140" w:line="340"/>
      </w:pPr>
      <w:r>
        <w:rPr>
          <w:rFonts w:ascii="Georgia" w:cs="Georgia" w:eastAsia="Georgia" w:hAnsi="Georgia"/>
          <w:sz w:val="22"/>
          <w:szCs w:val="22"/>
        </w:rPr>
        <w:t xml:space="preserve">Some trials are designed to “peek” at the results before the trial is finished. If the drug is working spectacularly, you might stop early to give all patients the better treatment. If it’s clearly failing, you stop early to save money and spare patients from an ineffective drug.</w:t>
      </w:r>
    </w:p>
    <w:p>
      <w:pPr>
        <w:spacing w:after="140" w:line="340"/>
      </w:pPr>
      <w:r>
        <w:rPr>
          <w:rFonts w:ascii="Georgia" w:cs="Georgia" w:eastAsia="Georgia" w:hAnsi="Georgia"/>
          <w:sz w:val="22"/>
          <w:szCs w:val="22"/>
        </w:rPr>
        <w:t xml:space="preserve">But peeking introduces a statistical problem: the more times you look, the more likely you are to see a false positive by chance. The platform uses O’Brien-Fleming boundaries to solve this — a mathematical method that sets very strict thresholds for early looks and gradually relaxes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O’Brien-Fleming Spending Function</w:t>
            </w:r>
          </w:p>
          <w:p>
            <w:pPr>
              <w:spacing w:after="0"/>
            </w:pPr>
            <w:r>
              <w:rPr>
                <w:rFonts w:ascii="Georgia" w:cs="Georgia" w:eastAsia="Georgia" w:hAnsi="Georgia"/>
                <w:color w:val="4B5563"/>
                <w:sz w:val="20"/>
                <w:szCs w:val="20"/>
              </w:rPr>
              <w:t xml:space="preserve">A method for controlling false positive rates in adaptive trials. At the first interim look (say, 25% of the way through), the threshold is extremely strict — the evidence needs to be overwhelming to stop. At later looks, the threshold relaxes. This ensures the overall false positive rate stays at 5%, even with multiple peeks at the data.</w:t>
            </w:r>
          </w:p>
        </w:tc>
      </w:tr>
    </w:tbl>
    <w:p>
      <w:pPr>
        <w:spacing w:after="80"/>
      </w:pPr>
    </w:p>
    <w:p>
      <w:pPr>
        <w:pStyle w:val="Heading2"/>
        <w:spacing w:after="180" w:before="320"/>
      </w:pPr>
      <w:r>
        <w:rPr>
          <w:rFonts w:ascii="Georgia" w:cs="Georgia" w:eastAsia="Georgia" w:hAnsi="Georgia"/>
          <w:b/>
          <w:bCs/>
          <w:color w:val="1E40AF"/>
          <w:sz w:val="28"/>
          <w:szCs w:val="28"/>
        </w:rPr>
        <w:t xml:space="preserve">The Trial Verdict</w:t>
      </w:r>
    </w:p>
    <w:p>
      <w:pPr>
        <w:spacing w:after="140" w:line="340"/>
      </w:pPr>
      <w:r>
        <w:rPr>
          <w:rFonts w:ascii="Georgia" w:cs="Georgia" w:eastAsia="Georgia" w:hAnsi="Georgia"/>
          <w:b/>
          <w:bCs/>
          <w:color w:val="16A34A"/>
          <w:sz w:val="22"/>
          <w:szCs w:val="22"/>
        </w:rPr>
        <w:t xml:space="preserve">TRIAL GO </w:t>
      </w:r>
      <w:r>
        <w:rPr>
          <w:rFonts w:ascii="Georgia" w:cs="Georgia" w:eastAsia="Georgia" w:hAnsi="Georgia"/>
          <w:sz w:val="22"/>
          <w:szCs w:val="22"/>
        </w:rPr>
        <w:t xml:space="preserve">— The trial is well-powered, feasible, and the molecule is safe enough. Proceed to IND filing.</w:t>
      </w:r>
    </w:p>
    <w:p>
      <w:pPr>
        <w:spacing w:after="140" w:line="340"/>
      </w:pPr>
      <w:r>
        <w:rPr>
          <w:rFonts w:ascii="Georgia" w:cs="Georgia" w:eastAsia="Georgia" w:hAnsi="Georgia"/>
          <w:b/>
          <w:bCs/>
          <w:color w:val="CA8A04"/>
          <w:sz w:val="22"/>
          <w:szCs w:val="22"/>
        </w:rPr>
        <w:t xml:space="preserve">CONDITIONAL GO </w:t>
      </w:r>
      <w:r>
        <w:rPr>
          <w:rFonts w:ascii="Georgia" w:cs="Georgia" w:eastAsia="Georgia" w:hAnsi="Georgia"/>
          <w:sz w:val="22"/>
          <w:szCs w:val="22"/>
        </w:rPr>
        <w:t xml:space="preserve">— The trial might work but has risks. Consider adaptive design, biomarker enrichment, or dose adjustment.</w:t>
      </w:r>
    </w:p>
    <w:p>
      <w:pPr>
        <w:spacing w:after="140" w:line="340"/>
      </w:pPr>
      <w:r>
        <w:rPr>
          <w:rFonts w:ascii="Georgia" w:cs="Georgia" w:eastAsia="Georgia" w:hAnsi="Georgia"/>
          <w:b/>
          <w:bCs/>
          <w:color w:val="DC2626"/>
          <w:sz w:val="22"/>
          <w:szCs w:val="22"/>
        </w:rPr>
        <w:t xml:space="preserve">TRIAL NO-GO </w:t>
      </w:r>
      <w:r>
        <w:rPr>
          <w:rFonts w:ascii="Georgia" w:cs="Georgia" w:eastAsia="Georgia" w:hAnsi="Georgia"/>
          <w:sz w:val="22"/>
          <w:szCs w:val="22"/>
        </w:rPr>
        <w:t xml:space="preserve">— The trial is underpowered, infeasible, or the molecule is too risky. Go back and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IND (Investigational New Drug Application)</w:t>
            </w:r>
          </w:p>
          <w:p>
            <w:pPr>
              <w:spacing w:after="0"/>
            </w:pPr>
            <w:r>
              <w:rPr>
                <w:rFonts w:ascii="Georgia" w:cs="Georgia" w:eastAsia="Georgia" w:hAnsi="Georgia"/>
                <w:color w:val="4B5563"/>
                <w:sz w:val="20"/>
                <w:szCs w:val="20"/>
              </w:rPr>
              <w:t xml:space="preserve">The formal application submitted to the FDA requesting permission to begin testing a new drug in humans. It includes all preclinical data, manufacturing details, and the clinical trial protocol. An IND approval is the gateway from the laboratory to the clinic.</w:t>
            </w:r>
          </w:p>
        </w:tc>
      </w:tr>
    </w:tbl>
    <w:p>
      <w:r>
        <w:br w:type="page"/>
      </w:r>
    </w:p>
    <w:p>
      <w:pPr>
        <w:pStyle w:val="Heading1"/>
        <w:spacing w:after="240" w:before="400"/>
      </w:pPr>
      <w:r>
        <w:rPr>
          <w:rFonts w:ascii="Georgia" w:cs="Georgia" w:eastAsia="Georgia" w:hAnsi="Georgia"/>
          <w:b/>
          <w:bCs/>
          <w:color w:val="1B3A5C"/>
          <w:sz w:val="34"/>
          <w:szCs w:val="34"/>
        </w:rPr>
        <w:t xml:space="preserve">Chapter 5: The Safety Net That Never Sleeps</w:t>
      </w:r>
    </w:p>
    <w:p>
      <w:pPr>
        <w:spacing w:after="140" w:line="340"/>
      </w:pPr>
      <w:r>
        <w:rPr>
          <w:rFonts w:ascii="Georgia" w:cs="Georgia" w:eastAsia="Georgia" w:hAnsi="Georgia"/>
          <w:sz w:val="22"/>
          <w:szCs w:val="22"/>
        </w:rPr>
        <w:t xml:space="preserve">Running through all four layers is a safety system called HAIOps — Healthcare AI Operations. It works like a chain of circuit breakers in an electrical system.</w:t>
      </w:r>
    </w:p>
    <w:p>
      <w:pPr>
        <w:spacing w:after="140" w:line="340"/>
      </w:pPr>
      <w:r>
        <w:rPr>
          <w:rFonts w:ascii="Georgia" w:cs="Georgia" w:eastAsia="Georgia" w:hAnsi="Georgia"/>
          <w:sz w:val="22"/>
          <w:szCs w:val="22"/>
        </w:rPr>
        <w:t xml:space="preserve">If Layer 1 detects a hERG cardiac safety flag, that flag doesn’t just appear in Layer 1’s results. It propagates through every downstream layer: Layer 2 increases cardiac monitoring in the animal study design, Layer 3 adds QT prolongation to the adverse event watch list, and Layer 4 factors the cardiac risk into the trial’s safety endpoints.</w:t>
      </w:r>
    </w:p>
    <w:p>
      <w:pPr>
        <w:spacing w:after="140" w:line="340"/>
      </w:pPr>
      <w:r>
        <w:rPr>
          <w:rFonts w:ascii="Georgia" w:cs="Georgia" w:eastAsia="Georgia" w:hAnsi="Georgia"/>
          <w:sz w:val="22"/>
          <w:szCs w:val="22"/>
        </w:rPr>
        <w:t xml:space="preserve">There are six flags in the safety cascade: Cardiac Risk, Hepatotoxicity (liver damage), Drug-Drug Interaction, Narrow Therapeutic Margin, High-Grade Adverse Events, and Subgroup Disparity. Each one, once triggered, follows the molecule through its entire simulated journey.</w:t>
      </w:r>
    </w:p>
    <w:p>
      <w:pPr>
        <w:spacing w:after="140" w:line="340"/>
      </w:pPr>
      <w:r>
        <w:rPr>
          <w:rFonts w:ascii="Georgia" w:cs="Georgia" w:eastAsia="Georgia" w:hAnsi="Georgia"/>
          <w:sz w:val="22"/>
          <w:szCs w:val="22"/>
        </w:rPr>
        <w:t xml:space="preserve">And here’s the critical rule: the AI can never override a safety flag. If the platform issues a NO-GO verdict and a human scientist decides to proceed anyway, they must document their reasoning. Their name, their rationale, and their decision are logged in an audit trail that regulators can inspect. The human is always in the loop. The AI is the advisor, never the authority.</w:t>
      </w:r>
    </w:p>
    <w:p>
      <w:pPr>
        <w:spacing w:after="200" w:before="200"/>
        <w:jc w:val="center"/>
      </w:pPr>
      <w:r>
        <w:rPr>
          <w:rFonts w:ascii="Georgia" w:cs="Georgia" w:eastAsia="Georgia" w:hAnsi="Georgia"/>
          <w:color w:val="9CA3AF"/>
          <w:sz w:val="24"/>
          <w:szCs w:val="24"/>
        </w:rPr>
        <w:t xml:space="preserve">•  •  •</w:t>
      </w:r>
    </w:p>
    <w:p>
      <w:pPr>
        <w:pStyle w:val="Heading1"/>
        <w:spacing w:after="240" w:before="400"/>
      </w:pPr>
      <w:r>
        <w:rPr>
          <w:rFonts w:ascii="Georgia" w:cs="Georgia" w:eastAsia="Georgia" w:hAnsi="Georgia"/>
          <w:b/>
          <w:bCs/>
          <w:color w:val="1B3A5C"/>
          <w:sz w:val="34"/>
          <w:szCs w:val="34"/>
        </w:rPr>
        <w:t xml:space="preserve">Chapter 6: Your Molecule Never Leaves the Room</w:t>
      </w:r>
    </w:p>
    <w:p>
      <w:pPr>
        <w:spacing w:after="140" w:line="340"/>
      </w:pPr>
      <w:r>
        <w:rPr>
          <w:rFonts w:ascii="Georgia" w:cs="Georgia" w:eastAsia="Georgia" w:hAnsi="Georgia"/>
          <w:sz w:val="22"/>
          <w:szCs w:val="22"/>
        </w:rPr>
        <w:t xml:space="preserve">A drug molecule’s chemical structure is the most valuable intellectual property a biotech company owns. If a competitor learned the structure of your lead compound, years of research would be compromised.</w:t>
      </w:r>
    </w:p>
    <w:p>
      <w:pPr>
        <w:spacing w:after="140" w:line="340"/>
      </w:pPr>
      <w:r>
        <w:rPr>
          <w:rFonts w:ascii="Georgia" w:cs="Georgia" w:eastAsia="Georgia" w:hAnsi="Georgia"/>
          <w:sz w:val="22"/>
          <w:szCs w:val="22"/>
        </w:rPr>
        <w:t xml:space="preserve">HakaseAI is built on a zero-knowledge architecture. Every simulation runs entirely in the user’s web browser. The SMILES string — the molecular blueprint — is never transmitted to any server. The chemistry engine (RDKit, compiled to WebAssembly) runs locally. The ADMET scoring runs locally. The PK models run locally.</w:t>
      </w:r>
    </w:p>
    <w:p>
      <w:pPr>
        <w:spacing w:after="140" w:line="340"/>
      </w:pPr>
      <w:r>
        <w:rPr>
          <w:rFonts w:ascii="Georgia" w:cs="Georgia" w:eastAsia="Georgia" w:hAnsi="Georgia"/>
          <w:sz w:val="22"/>
          <w:szCs w:val="22"/>
        </w:rPr>
        <w:t xml:space="preserve">Even when AI-powered models are added in the future, the architecture is designed so that only a molecular fingerprint — a one-way mathematical hash that cannot be reversed — is ever sent to a server. The server never sees the actual molecule. Not even HakaseAI itself can reconstruct what the user 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A8" w:sz="1"/>
              <w:left w:val="single" w:color="E879A8" w:sz="12"/>
              <w:bottom w:val="single" w:color="E879A8" w:sz="1"/>
              <w:right w:val="single" w:color="E879A8" w:sz="1"/>
            </w:tcBorders>
            <w:shd w:fill="FDF2F8" w:val="clear"/>
            <w:tcMar>
              <w:top w:type="dxa" w:w="80"/>
              <w:left w:type="dxa" w:w="160"/>
              <w:bottom w:type="dxa" w:w="80"/>
              <w:right w:type="dxa" w:w="160"/>
            </w:tcMar>
          </w:tcPr>
          <w:p>
            <w:pPr>
              <w:spacing w:after="40"/>
            </w:pPr>
            <w:r>
              <w:rPr>
                <w:rFonts w:ascii="Georgia" w:cs="Georgia" w:eastAsia="Georgia" w:hAnsi="Georgia"/>
                <w:b/>
                <w:bCs/>
                <w:color w:val="9D174D"/>
                <w:sz w:val="22"/>
                <w:szCs w:val="22"/>
              </w:rPr>
              <w:t xml:space="preserve">Zero-Knowledge Architecture</w:t>
            </w:r>
          </w:p>
          <w:p>
            <w:pPr>
              <w:spacing w:after="0"/>
            </w:pPr>
            <w:r>
              <w:rPr>
                <w:rFonts w:ascii="Georgia" w:cs="Georgia" w:eastAsia="Georgia" w:hAnsi="Georgia"/>
                <w:color w:val="4B5563"/>
                <w:sz w:val="20"/>
                <w:szCs w:val="20"/>
              </w:rPr>
              <w:t xml:space="preserve">A system design where the platform can process your data and return useful results without ever learning what your data actually is. It’s like asking a calculator to add two numbers while the calculator is blindfolded — it gives you the right answer, but it never saw the numbers.</w:t>
            </w:r>
          </w:p>
        </w:tc>
      </w:tr>
    </w:tbl>
    <w:p>
      <w:pPr>
        <w:spacing w:after="200" w:before="200"/>
        <w:jc w:val="center"/>
      </w:pPr>
      <w:r>
        <w:rPr>
          <w:rFonts w:ascii="Georgia" w:cs="Georgia" w:eastAsia="Georgia" w:hAnsi="Georgia"/>
          <w:color w:val="9CA3AF"/>
          <w:sz w:val="24"/>
          <w:szCs w:val="24"/>
        </w:rPr>
        <w:t xml:space="preserve">•  •  •</w:t>
      </w:r>
    </w:p>
    <w:p>
      <w:pPr>
        <w:pStyle w:val="Heading1"/>
        <w:spacing w:after="240" w:before="400"/>
      </w:pPr>
      <w:r>
        <w:rPr>
          <w:rFonts w:ascii="Georgia" w:cs="Georgia" w:eastAsia="Georgia" w:hAnsi="Georgia"/>
          <w:b/>
          <w:bCs/>
          <w:color w:val="1B3A5C"/>
          <w:sz w:val="34"/>
          <w:szCs w:val="34"/>
        </w:rPr>
        <w:t xml:space="preserve">Epilogue: What This All Means</w:t>
      </w:r>
    </w:p>
    <w:p>
      <w:pPr>
        <w:spacing w:after="140" w:line="340"/>
      </w:pPr>
      <w:r>
        <w:rPr>
          <w:rFonts w:ascii="Georgia" w:cs="Georgia" w:eastAsia="Georgia" w:hAnsi="Georgia"/>
          <w:sz w:val="22"/>
          <w:szCs w:val="22"/>
        </w:rPr>
        <w:t xml:space="preserve">Without HakaseAI, a biotech company might spend $750,000 screening 50 compounds in the wet lab, only to find that 40 of them fail basic safety tests. They might invest $300,000 in biostatistics consulting to design a trial, only to discover at the interim analysis that it was underpowered from the start.</w:t>
      </w:r>
    </w:p>
    <w:p>
      <w:pPr>
        <w:spacing w:after="140" w:line="340"/>
      </w:pPr>
      <w:r>
        <w:rPr>
          <w:rFonts w:ascii="Georgia" w:cs="Georgia" w:eastAsia="Georgia" w:hAnsi="Georgia"/>
          <w:sz w:val="22"/>
          <w:szCs w:val="22"/>
        </w:rPr>
        <w:t xml:space="preserve">With HakaseAI, the same company screens all 50 compounds digitally in an afternoon, eliminates 35–40 obvious failures, sends only the top 10 to the lab, and designs a trial that has been stress-tested across 10,000 Monte Carlo simulations before the first patient is enrolled.</w:t>
      </w:r>
    </w:p>
    <w:p>
      <w:pPr>
        <w:spacing w:after="140" w:line="340"/>
      </w:pPr>
      <w:r>
        <w:rPr>
          <w:rFonts w:ascii="Georgia" w:cs="Georgia" w:eastAsia="Georgia" w:hAnsi="Georgia"/>
          <w:b/>
          <w:bCs/>
          <w:sz w:val="22"/>
          <w:szCs w:val="22"/>
        </w:rPr>
        <w:t xml:space="preserve">The result: </w:t>
      </w:r>
      <w:r>
        <w:rPr>
          <w:rFonts w:ascii="Georgia" w:cs="Georgia" w:eastAsia="Georgia" w:hAnsi="Georgia"/>
          <w:sz w:val="22"/>
          <w:szCs w:val="22"/>
        </w:rPr>
        <w:t xml:space="preserve">$1M–$4M+ saved, 6–12 months compressed, and a dramatically higher probability of success.</w:t>
      </w:r>
    </w:p>
    <w:p>
      <w:pPr>
        <w:spacing w:after="140" w:line="340"/>
      </w:pPr>
      <w:r>
        <w:rPr>
          <w:rFonts w:ascii="Georgia" w:cs="Georgia" w:eastAsia="Georgia" w:hAnsi="Georgia"/>
          <w:sz w:val="22"/>
          <w:szCs w:val="22"/>
        </w:rPr>
        <w:t xml:space="preserve">The platform doesn’t replace scientists. It gives them superpowers. It lets a medicinal chemist test a hypothesis in seconds instead of weeks. It lets a biostatistician explore 50 trial designs in an hour instead of one design in a month. It lets a CEO make a go/no-go decision with data instead of gut feeling.</w:t>
      </w:r>
    </w:p>
    <w:p>
      <w:pPr>
        <w:spacing w:after="80"/>
      </w:pPr>
    </w:p>
    <w:p>
      <w:pPr>
        <w:spacing w:after="140" w:line="340"/>
      </w:pPr>
      <w:r>
        <w:rPr>
          <w:rFonts w:ascii="Georgia" w:cs="Georgia" w:eastAsia="Georgia" w:hAnsi="Georgia"/>
          <w:i/>
          <w:iCs/>
          <w:color w:val="6B7280"/>
          <w:sz w:val="22"/>
          <w:szCs w:val="22"/>
        </w:rPr>
        <w:t xml:space="preserve">That’s the story of a molecule’s journey through HakaseAI. Four layers. Four questions. One answer: should we bet on this drug?</w:t>
      </w:r>
    </w:p>
    <w:p>
      <w:pPr>
        <w:spacing w:after="80"/>
      </w:pPr>
    </w:p>
    <w:p>
      <w:pPr>
        <w:spacing w:after="80"/>
      </w:pPr>
    </w:p>
    <w:p>
      <w:pPr>
        <w:spacing w:after="140" w:line="340"/>
      </w:pPr>
      <w:r>
        <w:rPr>
          <w:rFonts w:ascii="Georgia" w:cs="Georgia" w:eastAsia="Georgia" w:hAnsi="Georgia"/>
          <w:i/>
          <w:iCs/>
          <w:color w:val="9CA3AF"/>
          <w:sz w:val="18"/>
          <w:szCs w:val="18"/>
        </w:rPr>
        <w:t xml:space="preserve">End of Document — HakaseAI BioDigital Twin Platform — The Story of a Molecule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CA3AF"/>
        <w:sz w:val="16"/>
        <w:szCs w:val="16"/>
      </w:rPr>
      <w:t xml:space="preserve">Hakase AI | Confidential | Page </w:t>
    </w:r>
    <w:r>
      <w:rPr>
        <w:rFonts w:ascii="Georgia" w:cs="Georgia" w:eastAsia="Georgia" w:hAnsi="Georgia"/>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tabs>
        <w:tab w:val="right" w:pos="9026"/>
      </w:tabs>
    </w:pPr>
    <w:r>
      <w:rPr>
        <w:rFonts w:ascii="Georgia" w:cs="Georgia" w:eastAsia="Georgia" w:hAnsi="Georgia"/>
        <w:i/>
        <w:iCs/>
        <w:color w:val="9CA3AF"/>
        <w:sz w:val="16"/>
        <w:szCs w:val="16"/>
      </w:rPr>
      <w:t xml:space="preserve">The Story of a Molecule</w:t>
    </w:r>
    <w:r>
      <w:rPr>
        <w:rFonts w:ascii="Georgia" w:cs="Georgia" w:eastAsia="Georgia" w:hAnsi="Georgia"/>
        <w:color w:val="9CA3AF"/>
        <w:sz w:val="16"/>
        <w:szCs w:val="16"/>
      </w:rPr>
      <w:t xml:space="preserve">	HakaseAI BioDigital Twin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1B3A5C"/>
      <w:sz w:val="34"/>
      <w:szCs w:val="34"/>
    </w:rPr>
  </w:style>
  <w:style w:type="paragraph" w:styleId="Heading2">
    <w:name w:val="Heading 2"/>
    <w:basedOn w:val="Normal"/>
    <w:next w:val="Normal"/>
    <w:qFormat/>
    <w:pPr>
      <w:spacing w:after="180" w:before="320"/>
      <w:outlineLvl w:val="1"/>
    </w:pPr>
    <w:rPr>
      <w:rFonts w:ascii="Georgia" w:cs="Georgia" w:eastAsia="Georgia" w:hAnsi="Georgia"/>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2026-03-31T08:37:03.056Z</dcterms:created>
  <dcterms:modified xsi:type="dcterms:W3CDTF">2026-03-31T08:37:03.056Z</dcterms:modified>
</cp:coreProperties>
</file>

<file path=docProps/custom.xml><?xml version="1.0" encoding="utf-8"?>
<Properties xmlns="http://schemas.openxmlformats.org/officeDocument/2006/custom-properties" xmlns:vt="http://schemas.openxmlformats.org/officeDocument/2006/docPropsVTypes"/>
</file>