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4"/>
          <w:szCs w:val="24"/>
        </w:rPr>
        <w:t xml:space="preserve"/>
      </w:r>
    </w:p>
    <w:p>
      <w:pPr>
        <w:spacing w:after="160"/>
        <w:jc w:val="center"/>
      </w:pPr>
      <w:r>
        <w:rPr>
          <w:b/>
          <w:bCs/>
          <w:color w:val="1F3864"/>
          <w:sz w:val="56"/>
          <w:szCs w:val="56"/>
        </w:rPr>
        <w:t xml:space="preserve">The Story of the Redesign</w:t>
      </w:r>
    </w:p>
    <w:p>
      <w:pPr>
        <w:spacing w:after="240"/>
        <w:jc w:val="center"/>
      </w:pPr>
      <w:r>
        <w:rPr>
          <w:b/>
          <w:bCs/>
          <w:color w:val="2E75B6"/>
          <w:sz w:val="32"/>
          <w:szCs w:val="32"/>
        </w:rPr>
        <w:t xml:space="preserve">How Hakase Bio Got Its Four Layers</w:t>
      </w:r>
    </w:p>
    <w:p>
      <w:pPr>
        <w:spacing w:after="1200"/>
        <w:jc w:val="center"/>
      </w:pPr>
      <w:r>
        <w:rPr>
          <w:i/>
          <w:iCs/>
          <w:color w:val="595959"/>
          <w:sz w:val="26"/>
          <w:szCs w:val="26"/>
        </w:rPr>
        <w:t xml:space="preserve">A Plain-Language Walkthrough for Engineers</w:t>
      </w:r>
    </w:p>
    <w:p>
      <w:pPr>
        <w:spacing w:after="1000"/>
        <w:jc w:val="center"/>
      </w:pPr>
      <w:r>
        <w:rPr>
          <w:color w:val="404040"/>
          <w:sz w:val="24"/>
          <w:szCs w:val="24"/>
        </w:rPr>
        <w:t xml:space="preserve">L1 In Vitro  →  L2 In-Silico  →  L3 Ex-Vivo  →  L4 Animal Cohort  →  Hakase Clinical</w:t>
      </w:r>
    </w:p>
    <w:p>
      <w:pPr>
        <w:spacing w:after="60"/>
        <w:jc w:val="center"/>
      </w:pPr>
      <w:r>
        <w:rPr>
          <w:b/>
          <w:bCs/>
          <w:sz w:val="24"/>
          <w:szCs w:val="24"/>
        </w:rPr>
        <w:t xml:space="preserve">AKTHealth · HakaseAI</w:t>
      </w:r>
    </w:p>
    <w:p>
      <w:pPr>
        <w:spacing w:after="60"/>
        <w:jc w:val="center"/>
      </w:pPr>
      <w:r>
        <w:rPr>
          <w:color w:val="595959"/>
          <w:sz w:val="22"/>
          <w:szCs w:val="22"/>
        </w:rPr>
        <w:t xml:space="preserve">Companion to the BioDigital Twin Platform</w:t>
      </w:r>
    </w:p>
    <w:p>
      <w:pPr>
        <w:spacing w:after="60"/>
        <w:jc w:val="center"/>
      </w:pPr>
      <w:r>
        <w:rPr>
          <w:color w:val="595959"/>
          <w:sz w:val="22"/>
          <w:szCs w:val="22"/>
        </w:rPr>
        <w:t xml:space="preserve">April 2026</w:t>
      </w:r>
    </w:p>
    <w:p>
      <w:pPr>
        <w:pStyle w:val="Heading1"/>
        <w:pageBreakBefore/>
      </w:pPr>
      <w:r>
        <w:t xml:space="preserve">Prologue: Why We Tore the Pipeline Apart</w:t>
      </w:r>
    </w:p>
    <w:p>
      <w:pPr>
        <w:spacing w:after="200" w:before="200"/>
        <w:ind w:left="360" w:right="360"/>
        <w:jc w:val="left"/>
      </w:pPr>
      <w:r>
        <w:rPr>
          <w:i/>
          <w:iCs/>
          <w:color w:val="404040"/>
        </w:rPr>
        <w:t xml:space="preserve">A Friday afternoon. Someone notices that the most expensive layer of Hakase Bio is running on candidates the cheap layer has never seen. The pipeline is doing the right work in the wrong order.</w:t>
      </w:r>
    </w:p>
    <w:p>
      <w:pPr>
        <w:spacing w:after="160"/>
        <w:jc w:val="left"/>
      </w:pPr>
      <w:r>
        <w:t xml:space="preserve">Hakase Bio — the BioDigital Twin — is the Pre-Clinical module of HakaseAI. Its job is to take a molecule that someone's chemistry team thinks could become a drug, and figure out, before anyone touches a real animal, whether it's worth pursuing. Not "is the science right" — the science is usually right. The harder question is: of the hundreds of molecules a programme produces, which ones survive contact with reality?</w:t>
      </w:r>
    </w:p>
    <w:p>
      <w:pPr>
        <w:spacing w:after="160"/>
        <w:jc w:val="left"/>
      </w:pPr>
      <w:r>
        <w:t xml:space="preserve">For a long time, our twin was structured around the data sources that already existed. In Vitro at the bottom (cheap, real), Animal at the top (expensive, regulated), and computational work scattered between them. That's how the field grew up. It's also how the field stayed expensive.</w:t>
      </w:r>
    </w:p>
    <w:p>
      <w:pPr>
        <w:spacing w:after="160"/>
        <w:jc w:val="left"/>
      </w:pPr>
      <w:r>
        <w:t xml:space="preserve">The problem with the old shape was simple. We were spending real money on wet-tissue and animal work for compounds that a few hours of computation would have killed. The cheapest filter we had — in-silico modelling — was sitting downstream of the most expensive steps. The cost curve was upside down.</w:t>
      </w:r>
    </w:p>
    <w:p>
      <w:pPr>
        <w:spacing w:after="160"/>
        <w:jc w:val="left"/>
      </w:pPr>
      <w:r>
        <w:t xml:space="preserve">So we redrew it. The new shape is four pre-clinical layers, in cost order, each feeding the next:</w:t>
      </w:r>
    </w:p>
    <w:p>
      <w:pPr>
        <w:spacing w:after="160"/>
      </w:pPr>
      <w:r>
        <w:t xml:space="preserve"/>
      </w:r>
    </w:p>
    <w:p>
      <w:pPr>
        <w:spacing w:after="160"/>
      </w:pPr>
      <w:r>
        <w:rPr>
          <w:b/>
          <w:bCs/>
        </w:rPr>
        <w:t xml:space="preserve">L1 In Vitro</w:t>
      </w:r>
      <w:r>
        <w:t xml:space="preserve"> — wet assays on isolated targets. The data factory.</w:t>
      </w:r>
    </w:p>
    <w:p>
      <w:pPr>
        <w:spacing w:after="160"/>
      </w:pPr>
      <w:r>
        <w:rPr>
          <w:b/>
          <w:bCs/>
        </w:rPr>
        <w:t xml:space="preserve">L2 In-Silico</w:t>
      </w:r>
      <w:r>
        <w:t xml:space="preserve"> — computational triage that consumes L1 outputs. The cheap filter.</w:t>
      </w:r>
    </w:p>
    <w:p>
      <w:pPr>
        <w:spacing w:after="160"/>
      </w:pPr>
      <w:r>
        <w:rPr>
          <w:b/>
          <w:bCs/>
        </w:rPr>
        <w:t xml:space="preserve">L3 Ex-Vivo</w:t>
      </w:r>
      <w:r>
        <w:t xml:space="preserve"> — real tissue, no live animal. The truth oven.</w:t>
      </w:r>
    </w:p>
    <w:p>
      <w:pPr>
        <w:spacing w:after="160"/>
      </w:pPr>
      <w:r>
        <w:rPr>
          <w:b/>
          <w:bCs/>
        </w:rPr>
        <w:t xml:space="preserve">L4 Animal Cohort</w:t>
      </w:r>
      <w:r>
        <w:t xml:space="preserve"> — ICH-compliant rodent + non-rodent studies. The regulator's gate.</w:t>
      </w:r>
    </w:p>
    <w:p>
      <w:pPr>
        <w:spacing w:after="160"/>
        <w:jc w:val="left"/>
      </w:pPr>
      <w:r>
        <w:t xml:space="preserve">And after L4, the twin hands off to Hakase Clinical. Not as a shared module — as an API call across a contract.</w:t>
      </w:r>
    </w:p>
    <w:p>
      <w:pPr>
        <w:spacing w:after="160"/>
        <w:jc w:val="left"/>
      </w:pPr>
      <w:r>
        <w:t xml:space="preserve">This document is the story of how a compound moves through that pipeline, what each layer does, what services and data each layer owns, and what an engineer needs to know to build inside it. Reading it end-to-end should take about thirty minutes. By the end you should be able to walk into any conversation about Hakase Bio and follow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BioDigital Twin</w:t>
            </w:r>
          </w:p>
          <w:p>
            <w:pPr>
              <w:spacing w:after="0"/>
            </w:pPr>
            <w:r>
              <w:rPr>
                <w:sz w:val="21"/>
                <w:szCs w:val="21"/>
              </w:rPr>
              <w:t xml:space="preserve">A virtual replica of something real. An aircraft manufacturer might build a digital twin of a jet engine to simulate wear before building the physical engine. Hakase Bio builds a digital twin of a drug's pre-clinical journey — from molecule to animal study — so we can predict failures before they cost real money.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Pre-Clinical</w:t>
            </w:r>
          </w:p>
          <w:p>
            <w:pPr>
              <w:spacing w:after="0"/>
            </w:pPr>
            <w:r>
              <w:rPr>
                <w:sz w:val="21"/>
                <w:szCs w:val="21"/>
              </w:rPr>
              <w:t xml:space="preserve">Everything that happens before a drug is given to a human. Test tubes, computers, cells, organoids, animals. Once a human takes the dose, you've crossed into Clinical. Hakase Bio lives entirely on the pre-clinical side of that line.</w:t>
            </w:r>
          </w:p>
        </w:tc>
      </w:tr>
    </w:tbl>
    <w:p>
      <w:pPr>
        <w:pStyle w:val="Heading1"/>
        <w:pageBreakBefore/>
      </w:pPr>
      <w:r>
        <w:t xml:space="preserve">Chapter 1: The Cost Curve, and Why Order Matters</w:t>
      </w:r>
    </w:p>
    <w:p>
      <w:pPr>
        <w:spacing w:after="200" w:before="200"/>
        <w:ind w:left="360" w:right="360"/>
        <w:jc w:val="left"/>
      </w:pPr>
      <w:r>
        <w:rPr>
          <w:i/>
          <w:iCs/>
          <w:color w:val="404040"/>
        </w:rPr>
        <w:t xml:space="preserve">A medicinal-chemistry team finishes a synthesis sprint and hands over 850 candidate compounds. The old pipeline would have run docking after animal work. The new pipeline does it in twenty minutes, on a laptop.</w:t>
      </w:r>
    </w:p>
    <w:p>
      <w:pPr>
        <w:spacing w:after="160"/>
        <w:jc w:val="left"/>
      </w:pPr>
      <w:r>
        <w:t xml:space="preserve">Drug discovery is, at its core, a filtering problem. You start with a lot of molecules. You end with one. Everything in between is finding ways to throw the bad ones out cheaply.</w:t>
      </w:r>
    </w:p>
    <w:p>
      <w:pPr>
        <w:spacing w:after="160"/>
        <w:jc w:val="left"/>
      </w:pPr>
      <w:r>
        <w:t xml:space="preserve">Here's what the four layers actually cost, per compound:</w:t>
      </w:r>
    </w:p>
    <w:p>
      <w:pPr>
        <w:spacing w:after="80"/>
      </w:pPr>
      <w:r>
        <w:t xml:space="preserve"/>
      </w:r>
    </w:p>
    <w:p>
      <w:pPr>
        <w:pStyle w:val="ListParagraph"/>
        <w:numPr>
          <w:ilvl w:val="0"/>
          <w:numId w:val="2"/>
        </w:numPr>
        <w:spacing w:after="80"/>
      </w:pPr>
      <w:r>
        <w:t xml:space="preserve">L1 In Vitro wet assay — about $50 to $2,000 per endpoint. Cheap because the assays are well-developed; expensive because someone in a lab still has to run them.</w:t>
      </w:r>
    </w:p>
    <w:p>
      <w:pPr>
        <w:pStyle w:val="ListParagraph"/>
        <w:numPr>
          <w:ilvl w:val="0"/>
          <w:numId w:val="2"/>
        </w:numPr>
        <w:spacing w:after="80"/>
      </w:pPr>
      <w:r>
        <w:t xml:space="preserve">L2 In-Silico — about $0.10 to $10 per compound per model. Essentially free once the models are built. You can run it on a coffee break.</w:t>
      </w:r>
    </w:p>
    <w:p>
      <w:pPr>
        <w:pStyle w:val="ListParagraph"/>
        <w:numPr>
          <w:ilvl w:val="0"/>
          <w:numId w:val="2"/>
        </w:numPr>
        <w:spacing w:after="80"/>
      </w:pPr>
      <w:r>
        <w:t xml:space="preserve">L3 Ex-Vivo — about $15,000 to $250,000 per compound, depending on tier. Real tissue, real instruments, real organoid orders.</w:t>
      </w:r>
    </w:p>
    <w:p>
      <w:pPr>
        <w:pStyle w:val="ListParagraph"/>
        <w:numPr>
          <w:ilvl w:val="0"/>
          <w:numId w:val="2"/>
        </w:numPr>
        <w:spacing w:after="80"/>
      </w:pPr>
      <w:r>
        <w:t xml:space="preserve">L4 Animal Cohort — hundreds of thousands to millions per study. GLP, regulatory-grade, slow.</w:t>
      </w:r>
    </w:p>
    <w:p>
      <w:pPr>
        <w:spacing w:after="160"/>
        <w:jc w:val="left"/>
      </w:pPr>
      <w:r>
        <w:t xml:space="preserve">The old order ran some L2 work after L4. That meant we were paying $300k to confirm something a $5 simulation could have flagged. Worse, the L2 verdict didn't actually change anything downstream — by the time we got it, the animals were dead.</w:t>
      </w:r>
    </w:p>
    <w:p>
      <w:pPr>
        <w:spacing w:after="160"/>
        <w:jc w:val="left"/>
      </w:pPr>
      <w:r>
        <w:t xml:space="preserve">The new order is the obvious one. The cheapest filter sits next to the cheapest data source. Each layer runs only on what survived the previous one. By the time a compound reaches L4, it's been through three rounds of progressively more rigorous evidence — and the L4 study is designed using everything the earlier layers learned.</w:t>
      </w:r>
    </w:p>
    <w:p>
      <w:pPr>
        <w:spacing w:after="160"/>
        <w:jc w:val="left"/>
      </w:pPr>
      <w:r>
        <w:t xml:space="preserve">That's the whole point of the redesign. Same data, same models, same regulatory targets — just in an order where the work compounds instead of overlapping.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Triage</w:t>
            </w:r>
          </w:p>
          <w:p>
            <w:pPr>
              <w:spacing w:after="0"/>
            </w:pPr>
            <w:r>
              <w:rPr>
                <w:sz w:val="21"/>
                <w:szCs w:val="21"/>
              </w:rPr>
              <w:t xml:space="preserve">In a hospital, triage means sorting patients by urgency so the limited resources get spent where they matter most. In the twin, triage means sorting compounds — letting the cheap layers (L1, L2) decide which ones deserve the expensive layers (L3, L4). The fewer compounds that reach L4, the more careful the L4 study can afford to be.</w:t>
            </w:r>
          </w:p>
        </w:tc>
      </w:tr>
    </w:tbl>
    <w:p>
      <w:pPr>
        <w:pStyle w:val="Heading2"/>
      </w:pPr>
      <w:r>
        <w:t xml:space="preserve">What this means for engineering</w:t>
      </w:r>
    </w:p>
    <w:p>
      <w:pPr>
        <w:spacing w:after="160"/>
        <w:jc w:val="left"/>
      </w:pPr>
      <w:r>
        <w:t xml:space="preserve">Each layer is a service. The contract between layers is fixed: a defined input shape, a defined output shape, a versioned model registry behind it. Layers don't reach across boundaries; they consume the previous layer's output and produce input for the next.</w:t>
      </w:r>
    </w:p>
    <w:p>
      <w:pPr>
        <w:spacing w:after="160"/>
        <w:jc w:val="left"/>
      </w:pPr>
      <w:r>
        <w:t xml:space="preserve">That's why the redesign is also a re-architecture. We're not just changing the order — we're tightening what each layer is responsible for. If you own L2, you don't need to know how L4 schedules its dog studies. You need to know what shape L1 hands you, and what shape L3 expects to receive.</w:t>
      </w:r>
    </w:p>
    <w:p>
      <w:pPr>
        <w:pStyle w:val="Heading1"/>
        <w:pageBreakBefore/>
      </w:pPr>
      <w:r>
        <w:t xml:space="preserve">Chapter 2: L1 — The Data Factory</w:t>
      </w:r>
    </w:p>
    <w:p>
      <w:pPr>
        <w:spacing w:after="200" w:before="200"/>
        <w:ind w:left="360" w:right="360"/>
        <w:jc w:val="left"/>
      </w:pPr>
      <w:r>
        <w:rPr>
          <w:i/>
          <w:iCs/>
          <w:color w:val="404040"/>
        </w:rPr>
        <w:t xml:space="preserve">A SMILES string lands in the inbox. CC(=O)Nc1ccc(O)cc1. Within a few hours, L1 has run a panel of forty-something assays against it and emitted a structured row in a Parquet file. The compound is now real to the rest of the pipeline.</w:t>
      </w:r>
    </w:p>
    <w:p>
      <w:pPr>
        <w:spacing w:after="160"/>
        <w:jc w:val="left"/>
      </w:pPr>
      <w:r>
        <w:t xml:space="preserve">L1 was the first layer we built and it's the layer that changed least in the redesign. Its job is unchanged: take a compound, run it through wet assays on isolated targets, produce ground-truth numbers.</w:t>
      </w:r>
    </w:p>
    <w:p>
      <w:pPr>
        <w:spacing w:after="160"/>
        <w:jc w:val="left"/>
      </w:pPr>
      <w:r>
        <w:t xml:space="preserve">What L1 measures, per compound:</w:t>
      </w:r>
    </w:p>
    <w:p>
      <w:pPr>
        <w:spacing w:after="80"/>
      </w:pPr>
      <w:r>
        <w:t xml:space="preserve"/>
      </w:r>
    </w:p>
    <w:p>
      <w:pPr>
        <w:pStyle w:val="ListParagraph"/>
        <w:numPr>
          <w:ilvl w:val="0"/>
          <w:numId w:val="2"/>
        </w:numPr>
        <w:spacing w:after="80"/>
      </w:pPr>
      <w:r>
        <w:t xml:space="preserve">IC50 against the primary target — how strongly the molecule shuts down what it's supposed to shut down.</w:t>
      </w:r>
    </w:p>
    <w:p>
      <w:pPr>
        <w:pStyle w:val="ListParagraph"/>
        <w:numPr>
          <w:ilvl w:val="0"/>
          <w:numId w:val="2"/>
        </w:numPr>
        <w:spacing w:after="80"/>
      </w:pPr>
      <w:r>
        <w:t xml:space="preserve">An ADMET panel — Absorption, Distribution, Metabolism, Excretion, Toxicity. Roughly 40 endpoints covering things like solubility, permeability across cell membranes, plasma protein binding, CYP inhibition, microsomal stability.</w:t>
      </w:r>
    </w:p>
    <w:p>
      <w:pPr>
        <w:pStyle w:val="ListParagraph"/>
        <w:numPr>
          <w:ilvl w:val="0"/>
          <w:numId w:val="2"/>
        </w:numPr>
        <w:spacing w:after="80"/>
      </w:pPr>
      <w:r>
        <w:t xml:space="preserve">hERG IC50 — does the molecule block the heart's potassium channel. The single biggest reason drugs get pulled from the market.</w:t>
      </w:r>
    </w:p>
    <w:p>
      <w:pPr>
        <w:pStyle w:val="ListParagraph"/>
        <w:numPr>
          <w:ilvl w:val="0"/>
          <w:numId w:val="2"/>
        </w:numPr>
        <w:spacing w:after="80"/>
      </w:pPr>
      <w:r>
        <w:t xml:space="preserve">Cytotoxicity — does it kill cells indiscriminately, or only the cells we want.</w:t>
      </w:r>
    </w:p>
    <w:p>
      <w:pPr>
        <w:pStyle w:val="ListParagraph"/>
        <w:numPr>
          <w:ilvl w:val="0"/>
          <w:numId w:val="2"/>
        </w:numPr>
        <w:spacing w:after="80"/>
      </w:pPr>
      <w:r>
        <w:t xml:space="preserve">A selectivity panel — does it hit only the target, or fifteen related proteins.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SMILES</w:t>
            </w:r>
          </w:p>
          <w:p>
            <w:pPr>
              <w:spacing w:after="0"/>
            </w:pPr>
            <w:r>
              <w:rPr>
                <w:sz w:val="21"/>
                <w:szCs w:val="21"/>
              </w:rPr>
              <w:t xml:space="preserve">A way of writing a molecule's structure as a text string. Aspirin is "CC(=O)OC1=CC=CC=C1C(=O)O". The string is a barcode — software reads it and reconstructs the 3D shape. Every layer of the twin treats SMILES as the primary key for a compound.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IC50</w:t>
            </w:r>
          </w:p>
          <w:p>
            <w:pPr>
              <w:spacing w:after="0"/>
            </w:pPr>
            <w:r>
              <w:rPr>
                <w:sz w:val="21"/>
                <w:szCs w:val="21"/>
              </w:rPr>
              <w:t xml:space="preserve">The concentration of drug needed to inhibit half of the target's activity. Smaller is better — it means a smaller dose does the job. A typical good kinase inhibitor has an IC50 below 100 nanomoles per litre.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ADMET</w:t>
            </w:r>
          </w:p>
          <w:p>
            <w:pPr>
              <w:spacing w:after="0"/>
            </w:pPr>
            <w:r>
              <w:rPr>
                <w:sz w:val="21"/>
                <w:szCs w:val="21"/>
              </w:rPr>
              <w:t xml:space="preserve">Absorption, Distribution, Metabolism, Excretion, Toxicity. The five questions a drug has to survive after it leaves the test tube. A compound can be wonderfully potent and still fail because the gut won't absorb it, or the liver destroys it in twenty minutes, or it accumulates in the wrong tissue.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hERG</w:t>
            </w:r>
          </w:p>
          <w:p>
            <w:pPr>
              <w:spacing w:after="0"/>
            </w:pPr>
            <w:r>
              <w:rPr>
                <w:sz w:val="21"/>
                <w:szCs w:val="21"/>
              </w:rPr>
              <w:t xml:space="preserve">A potassium channel in heart muscle cells. When a drug accidentally blocks it, the heart's electrical rhythm gets disrupted. The hERG safety test has killed more drug programmes than any other single assay. Every L1 panel runs it.</w:t>
            </w:r>
          </w:p>
        </w:tc>
      </w:tr>
    </w:tbl>
    <w:p>
      <w:pPr>
        <w:pStyle w:val="Heading2"/>
      </w:pPr>
      <w:r>
        <w:t xml:space="preserve">Where the data comes from</w:t>
      </w:r>
    </w:p>
    <w:p>
      <w:pPr>
        <w:spacing w:after="160"/>
        <w:jc w:val="left"/>
      </w:pPr>
      <w:r>
        <w:t xml:space="preserve">L1 doesn't make up assay numbers. It either runs assays in our lab and partner CROs, or it pulls reference numbers from public databases. The biggest sources we lean on:</w:t>
      </w:r>
    </w:p>
    <w:p>
      <w:pPr>
        <w:spacing w:after="80"/>
      </w:pPr>
      <w:r>
        <w:t xml:space="preserve"/>
      </w:r>
    </w:p>
    <w:p>
      <w:pPr>
        <w:spacing w:after="160"/>
      </w:pPr>
      <w:r>
        <w:rPr>
          <w:b/>
          <w:bCs/>
        </w:rPr>
        <w:t xml:space="preserve">ChEMBL</w:t>
      </w:r>
      <w:r>
        <w:t xml:space="preserve"> — about 2.4 million compounds with measured activity data. Maintained by EMBL-EBI in the UK. Free, open. The default reference for "what does the literature say this compound does."</w:t>
      </w:r>
    </w:p>
    <w:p>
      <w:pPr>
        <w:spacing w:after="160"/>
      </w:pPr>
      <w:r>
        <w:rPr>
          <w:b/>
          <w:bCs/>
        </w:rPr>
        <w:t xml:space="preserve">PubChem</w:t>
      </w:r>
      <w:r>
        <w:t xml:space="preserve"> — NIH-hosted, the largest open chemistry database in the world. About 115 million compounds, 1.6 million assays. Free, public domain.</w:t>
      </w:r>
    </w:p>
    <w:p>
      <w:pPr>
        <w:spacing w:after="160"/>
      </w:pPr>
      <w:r>
        <w:rPr>
          <w:b/>
          <w:bCs/>
        </w:rPr>
        <w:t xml:space="preserve">Tox21 and ToxCast</w:t>
      </w:r>
      <w:r>
        <w:t xml:space="preserve"> — joint NIH / EPA / FDA toxicity screens. Roughly ten thousand chemicals run through ~1,800 assays. The training set behind almost every modern toxicity prediction model.</w:t>
      </w:r>
    </w:p>
    <w:p>
      <w:pPr>
        <w:spacing w:after="160"/>
      </w:pPr>
      <w:r>
        <w:rPr>
          <w:b/>
          <w:bCs/>
        </w:rPr>
        <w:t xml:space="preserve">Cellosaurus</w:t>
      </w:r>
      <w:r>
        <w:t xml:space="preserve"> — a registry of cell lines with provenance, contamination flags, and unique identifiers (CVCL accessions). Every assay row in the twin carries a CVCL — that's the join key when we want to compare results across databases.</w:t>
      </w:r>
    </w:p>
    <w:p>
      <w:pPr>
        <w:spacing w:after="160"/>
      </w:pPr>
      <w:r>
        <w:rPr>
          <w:b/>
          <w:bCs/>
        </w:rPr>
        <w:t xml:space="preserve">DrugBank and BindingDB</w:t>
      </w:r>
      <w:r>
        <w:t xml:space="preserve"> — curated drug data and binding affinities. DrugBank's deeper ADMET fields require a commercial seat; BindingDB is fully open.</w:t>
      </w:r>
    </w:p>
    <w:p>
      <w:pPr>
        <w:pStyle w:val="Heading2"/>
      </w:pPr>
      <w:r>
        <w:t xml:space="preserve">What L1 hands to L2</w:t>
      </w:r>
    </w:p>
    <w:p>
      <w:pPr>
        <w:spacing w:after="160"/>
        <w:jc w:val="left"/>
      </w:pPr>
      <w:r>
        <w:t xml:space="preserve">Per compound, L1 emits a row to a Parquet store keyed on InChIKey (the canonical hash of the SMILES). The row contains the assay results, the assay metadata (which cell line via Cellosaurus, replicate count, statistical confidence), and a pointer to the raw data files. L2 reads from this Parquet store; it doesn't reach into L1's lab systems.</w:t>
      </w:r>
    </w:p>
    <w:p>
      <w:pPr>
        <w:spacing w:after="160"/>
        <w:jc w:val="left"/>
      </w:pPr>
      <w:r>
        <w:t xml:space="preserve">That's the L1 → L2 contract. Anything L1 wants to add — a new assay, a new database integration — is fine, as long as it appears as a column in the Parquet store. Anything L2 needs has to be in there. The contract is the schema.</w:t>
      </w:r>
    </w:p>
    <w:p>
      <w:pPr>
        <w:pStyle w:val="Heading1"/>
        <w:pageBreakBefore/>
      </w:pPr>
      <w:r>
        <w:t xml:space="preserve">Chapter 3: L2 — The Cheap Filter</w:t>
      </w:r>
    </w:p>
    <w:p>
      <w:pPr>
        <w:spacing w:after="200" w:before="200"/>
        <w:ind w:left="360" w:right="360"/>
        <w:jc w:val="left"/>
      </w:pPr>
      <w:r>
        <w:rPr>
          <w:i/>
          <w:iCs/>
          <w:color w:val="404040"/>
        </w:rPr>
        <w:t xml:space="preserve">Friday, 2 p.m. The L1 batch is finished. By 2:45 p.m. an L2 worker has read 850 rows, run them through PBPK simulation, docked them against the target structure, and emitted a ranked CSV with thirty survivors and predicted dose ranges. No human touched it.</w:t>
      </w:r>
    </w:p>
    <w:p>
      <w:pPr>
        <w:spacing w:after="160"/>
        <w:jc w:val="left"/>
      </w:pPr>
      <w:r>
        <w:t xml:space="preserve">L2 is the new layer. Its job is to take everything L1 measured and answer a different question: of these compounds, which ones are worth spending real money on?</w:t>
      </w:r>
    </w:p>
    <w:p>
      <w:pPr>
        <w:spacing w:after="160"/>
        <w:jc w:val="left"/>
      </w:pPr>
      <w:r>
        <w:t xml:space="preserve">It does this by simulating things. Not by re-running L1 — by combining L1's wet numbers with reference data (protein structures, pathway maps, physiology parameters) and projecting forward. What would happen in a human at this dose? What would the exposure margin be at the NOAEL? Does the molecule actually fit into the target's binding pocket? Does it dock so badly that we should go back to chemistry?</w:t>
      </w:r>
    </w:p>
    <w:p>
      <w:pPr>
        <w:spacing w:after="160"/>
        <w:jc w:val="left"/>
      </w:pPr>
      <w:r>
        <w:t xml:space="preserve">Five things happen at L2, roughly in order:</w:t>
      </w:r>
    </w:p>
    <w:p>
      <w:pPr>
        <w:spacing w:after="80"/>
      </w:pPr>
      <w:r>
        <w:t xml:space="preserve"/>
      </w:r>
    </w:p>
    <w:p>
      <w:pPr>
        <w:spacing w:after="160"/>
      </w:pPr>
      <w:r>
        <w:rPr>
          <w:b/>
          <w:bCs/>
        </w:rPr>
        <w:t xml:space="preserve">1. Structure preparation. </w:t>
      </w:r>
      <w:r>
        <w:t xml:space="preserve">We pull the target protein's structure — from the Protein Data Bank if we have an experimental crystal, from AlphaFold if we don't — fix the missing residues, find the binding pocket. This is the receptor everything else docks into.</w:t>
      </w:r>
    </w:p>
    <w:p>
      <w:pPr>
        <w:spacing w:after="160"/>
      </w:pPr>
      <w:r>
        <w:rPr>
          <w:b/>
          <w:bCs/>
        </w:rPr>
        <w:t xml:space="preserve">2. Docking. </w:t>
      </w:r>
      <w:r>
        <w:t xml:space="preserve">We run the compound against the prepared pocket, using a mix of classical methods (AutoDock Vina, GNINA) and modern co-folding (Boltz-1 — the open-source equivalent of AlphaFold 3 that we can actually use commercially). Each method produces poses; we filter the poses through PoseBusters to throw out the physically impossible ones.</w:t>
      </w:r>
    </w:p>
    <w:p>
      <w:pPr>
        <w:spacing w:after="160"/>
      </w:pPr>
      <w:r>
        <w:rPr>
          <w:b/>
          <w:bCs/>
        </w:rPr>
        <w:t xml:space="preserve">3. ML affinity and ADMET cross-check. </w:t>
      </w:r>
      <w:r>
        <w:t xml:space="preserve">Foundation models (MoLFormer-XL, Uni-Mol2) generate predicted Ki values from the SMILES alone. We compare to what L1 measured. If they disagree by more than a log unit, the compound is flagged for inspection — somebody is wrong, and we need to know who.</w:t>
      </w:r>
    </w:p>
    <w:p>
      <w:pPr>
        <w:spacing w:after="160"/>
      </w:pPr>
      <w:r>
        <w:rPr>
          <w:b/>
          <w:bCs/>
        </w:rPr>
        <w:t xml:space="preserve">4. PBPK projection. </w:t>
      </w:r>
      <w:r>
        <w:t xml:space="preserve">We build a whole-body simulation in PK-Sim using L1's ADMET as inputs. The simulation walks the compound through stomach, intestine, blood, liver, kidney, fat, brain. It tells us predicted human Cmax, AUC, half-life, and how much of the compound ends up bound to its target.</w:t>
      </w:r>
    </w:p>
    <w:p>
      <w:pPr>
        <w:spacing w:after="160"/>
      </w:pPr>
      <w:r>
        <w:rPr>
          <w:b/>
          <w:bCs/>
        </w:rPr>
        <w:t xml:space="preserve">5. Ranking. </w:t>
      </w:r>
      <w:r>
        <w:t xml:space="preserve">Each compound gets a composite score: efficacy margin (predicted Cmax over Ki), safety margin (hERG IC50 over Cmax, plus other off-targets), maximum recommended starting dose (MRSD) computed from L1 NOAEL via the standard FDA workflow. Ranked, written to CSV, handed to L3.</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Docking</w:t>
            </w:r>
          </w:p>
          <w:p>
            <w:pPr>
              <w:spacing w:after="0"/>
            </w:pPr>
            <w:r>
              <w:rPr>
                <w:sz w:val="21"/>
                <w:szCs w:val="21"/>
              </w:rPr>
              <w:t xml:space="preserve">Computationally fitting a molecule into a protein's binding pocket to predict whether and how it would bind. Like trying every possible orientation of a key inside a lock until you find one that fits. Modern docking methods can do this in seconds; ten years ago it took days.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PoseBusters</w:t>
            </w:r>
          </w:p>
          <w:p>
            <w:pPr>
              <w:spacing w:after="0"/>
            </w:pPr>
            <w:r>
              <w:rPr>
                <w:sz w:val="21"/>
                <w:szCs w:val="21"/>
              </w:rPr>
              <w:t xml:space="preserve">A small but critical open-source library that checks whether a docked pose is physically possible — bond lengths sane, no atoms overlapping, geometry not violating chemistry. About half the poses generated by modern AI dockers fail this check. PoseBusters is mandatory in our L2 pipeline. We never ship a pose without running it through.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PBPK</w:t>
            </w:r>
          </w:p>
          <w:p>
            <w:pPr>
              <w:spacing w:after="0"/>
            </w:pPr>
            <w:r>
              <w:rPr>
                <w:sz w:val="21"/>
                <w:szCs w:val="21"/>
              </w:rPr>
              <w:t xml:space="preserve">Physiologically-Based Pharmacokinetic modelling. A whole-body simulation built out of organs, blood flows, and clearance equations. Plug in a compound's solubility and metabolism numbers and it predicts the concentration-time curve in every tissue. We use the open-source PK-Sim suite. The commercial equivalents — Simcyp, GastroPlus — are the regulator's preferred tools, but PK-Sim has caught up enough for non-pivotal work.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NOAEL and MRSD</w:t>
            </w:r>
          </w:p>
          <w:p>
            <w:pPr>
              <w:spacing w:after="0"/>
            </w:pPr>
            <w:r>
              <w:rPr>
                <w:sz w:val="21"/>
                <w:szCs w:val="21"/>
              </w:rPr>
              <w:t xml:space="preserve">NOAEL is the No-Observed-Adverse-Effect Level — the highest dose in animal tox studies that didn't cause a problem. MRSD is the Maximum Recommended Starting Dose for first-in-human trials. The FDA defined a workflow in 2005 for going from one to the other: scale by body surface area, divide by a safety factor of ten, adjust for predicted human PK. L2 computes this for every compound it ranks.</w:t>
            </w:r>
          </w:p>
        </w:tc>
      </w:tr>
    </w:tbl>
    <w:p>
      <w:pPr>
        <w:pStyle w:val="Heading2"/>
      </w:pPr>
      <w:r>
        <w:t xml:space="preserve">What L2 owns, technically</w:t>
      </w:r>
    </w:p>
    <w:p>
      <w:pPr>
        <w:spacing w:after="160"/>
        <w:jc w:val="left"/>
      </w:pPr>
      <w:r>
        <w:t xml:space="preserve">L2 is several services in a trench-coat:</w:t>
      </w:r>
    </w:p>
    <w:p>
      <w:pPr>
        <w:spacing w:after="80"/>
      </w:pPr>
      <w:r>
        <w:t xml:space="preserve"/>
      </w:r>
    </w:p>
    <w:p>
      <w:pPr>
        <w:pStyle w:val="ListParagraph"/>
        <w:numPr>
          <w:ilvl w:val="0"/>
          <w:numId w:val="2"/>
        </w:numPr>
        <w:spacing w:after="80"/>
      </w:pPr>
      <w:r>
        <w:t xml:space="preserve">A docking service that wraps Vina, GNINA, and Boltz-1 behind one HTTP API. Takes (target, ligand) → returns (poses, scores). PoseBusters runs as a hard filter inside the service.</w:t>
      </w:r>
    </w:p>
    <w:p>
      <w:pPr>
        <w:pStyle w:val="ListParagraph"/>
        <w:numPr>
          <w:ilvl w:val="0"/>
          <w:numId w:val="2"/>
        </w:numPr>
        <w:spacing w:after="80"/>
      </w:pPr>
      <w:r>
        <w:t xml:space="preserve">A PBPK service that runs PK-Sim simulations in containers. Takes (compound + L1 ADMET) → returns (predicted human PK, virtual population statistics).</w:t>
      </w:r>
    </w:p>
    <w:p>
      <w:pPr>
        <w:pStyle w:val="ListParagraph"/>
        <w:numPr>
          <w:ilvl w:val="0"/>
          <w:numId w:val="2"/>
        </w:numPr>
        <w:spacing w:after="80"/>
      </w:pPr>
      <w:r>
        <w:t xml:space="preserve">An ADMET / affinity ML service that hosts the foundation models. Takes (SMILES, optionally protein sequence) → returns (predicted endpoints with confidence).</w:t>
      </w:r>
    </w:p>
    <w:p>
      <w:pPr>
        <w:pStyle w:val="ListParagraph"/>
        <w:numPr>
          <w:ilvl w:val="0"/>
          <w:numId w:val="2"/>
        </w:numPr>
        <w:spacing w:after="80"/>
      </w:pPr>
      <w:r>
        <w:t xml:space="preserve">A ranking service that combines all of the above and emits the L2 → L3 shortlist.</w:t>
      </w:r>
    </w:p>
    <w:p>
      <w:pPr>
        <w:spacing w:after="160"/>
        <w:jc w:val="left"/>
      </w:pPr>
      <w:r>
        <w:t xml:space="preserve">Every prediction every service makes carries a model_id and model_version, which lands in the model registry. That's how we know, six months later, which version of which model produced which number.</w:t>
      </w:r>
    </w:p>
    <w:p>
      <w:pPr>
        <w:spacing w:after="160"/>
        <w:jc w:val="left"/>
      </w:pPr>
      <w:r>
        <w:t xml:space="preserve">L2 also has its own reference databases that it pulls from — UniProt for sequences, the PDB for structures, AlphaFold DB for predicted structures, BioModels for pre-built systems-biology models, PK-DB for published clinical PK data we can validate against. None of these are L1's job; L2 owns them.</w:t>
      </w:r>
    </w:p>
    <w:p>
      <w:pPr>
        <w:pStyle w:val="Heading2"/>
      </w:pPr>
      <w:r>
        <w:t xml:space="preserve">What L2 hands to L3</w:t>
      </w:r>
    </w:p>
    <w:p>
      <w:pPr>
        <w:spacing w:after="160"/>
        <w:jc w:val="left"/>
      </w:pPr>
      <w:r>
        <w:t xml:space="preserve">A ranked shortlist, typically twenty to fifty compounds out of a starting set of hundreds. Each row in the CSV carries: predicted human dose range, predicted unbound Cmax and AUC at each candidate dose, the docked pose that survived PoseBusters, free-energy estimates if we ran them, off-target liability flags, predicted IVIVE-derived clearance, and explicit confidence intervals. Cellosaurus-recommended cell-line / organoid models for L3 are listed alongside.</w:t>
      </w:r>
    </w:p>
    <w:p>
      <w:pPr>
        <w:spacing w:after="160"/>
        <w:jc w:val="left"/>
      </w:pPr>
      <w:r>
        <w:t xml:space="preserve">L3 reads this CSV. That's the contract.</w:t>
      </w:r>
    </w:p>
    <w:p>
      <w:pPr>
        <w:pStyle w:val="Heading1"/>
        <w:pageBreakBefore/>
      </w:pPr>
      <w:r>
        <w:t xml:space="preserve">Chapter 4: L3 — The Truth Oven</w:t>
      </w:r>
    </w:p>
    <w:p>
      <w:pPr>
        <w:spacing w:after="200" w:before="200"/>
        <w:ind w:left="360" w:right="360"/>
        <w:jc w:val="left"/>
      </w:pPr>
      <w:r>
        <w:rPr>
          <w:i/>
          <w:iCs/>
          <w:color w:val="404040"/>
        </w:rPr>
        <w:t xml:space="preserve">Tuesday morning. The L2 shortlist hands L3 thirty compounds. By Friday the hepatocyte spheroids have rejected six of them. By the end of week two, three liver-chips are running on the survivors and someone in the wet lab is on a call with Emulate about scheduling chip slots.</w:t>
      </w:r>
    </w:p>
    <w:p>
      <w:pPr>
        <w:spacing w:after="160"/>
        <w:jc w:val="left"/>
      </w:pPr>
      <w:r>
        <w:t xml:space="preserve">L3 is where the simulation stops and the real tissue starts — but without a live animal. This is the most expensive layer per compound, and the most predictive. It's also the layer where the data is hardest to get and where vendor relationships matter most.</w:t>
      </w:r>
    </w:p>
    <w:p>
      <w:pPr>
        <w:spacing w:after="160"/>
        <w:jc w:val="left"/>
      </w:pPr>
      <w:r>
        <w:t xml:space="preserve">The thing L3 does that L1 and L2 cannot is study how a compound behaves in tissue that has the actual structure of the organ it's targeting. A 2D cell-line assay tells you what the molecule does to cells in a dish. An organoid — a tiny cluster of cells grown into a structure resembling, say, a liver bud or an intestinal crypt — tells you what it does in something closer to an actual organ.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Ex-Vivo</w:t>
            </w:r>
          </w:p>
          <w:p>
            <w:pPr>
              <w:spacing w:after="0"/>
            </w:pPr>
            <w:r>
              <w:rPr>
                <w:sz w:val="21"/>
                <w:szCs w:val="21"/>
              </w:rPr>
              <w:t xml:space="preserve">Latin for "out of the living." Real tissue, but no live animal. Could mean a slice of liver freshly cut from a research animal kept alive in a buffer solution. Could mean an organoid grown from human stem cells. Could mean an organ-on-chip — a polymer device with living cells in microfluidic channels. All of these are L3.</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Organoid</w:t>
            </w:r>
          </w:p>
          <w:p>
            <w:pPr>
              <w:spacing w:after="0"/>
            </w:pPr>
            <w:r>
              <w:rPr>
                <w:sz w:val="21"/>
                <w:szCs w:val="21"/>
              </w:rPr>
              <w:t xml:space="preserve">A miniature, simplified version of an organ grown from stem cells in a dish. A liver organoid has hepatocytes, bile ducts, a partial structure. A brain organoid has cortical layers. They're not full organs — most are missing immune cells and blood vessels — but they're much closer to reality than 2D cell cultures.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Organ-on-Chip / MPS</w:t>
            </w:r>
          </w:p>
          <w:p>
            <w:pPr>
              <w:spacing w:after="0"/>
            </w:pPr>
            <w:r>
              <w:rPr>
                <w:sz w:val="21"/>
                <w:szCs w:val="21"/>
              </w:rPr>
              <w:t xml:space="preserve">A microfluidic device — usually a clear polymer about the size of a USB stick — with channels that recreate an organ's mechanical and biological environment. Emulate's Liver-Chip pumps real human hepatocytes through a channel under blood-flow-like shear. Mimetas' OrganoPlate runs 96 of them at once. MPS stands for Microphysiological System.</w:t>
            </w:r>
          </w:p>
        </w:tc>
      </w:tr>
    </w:tbl>
    <w:p>
      <w:pPr>
        <w:pStyle w:val="Heading2"/>
      </w:pPr>
      <w:r>
        <w:t xml:space="preserve">How L3 actually runs</w:t>
      </w:r>
    </w:p>
    <w:p>
      <w:pPr>
        <w:spacing w:after="160"/>
        <w:jc w:val="left"/>
      </w:pPr>
      <w:r>
        <w:t xml:space="preserve">L3 has three tiers. Each compound starts at Tier-1 and only graduates upward if it survives.</w:t>
      </w:r>
    </w:p>
    <w:p>
      <w:pPr>
        <w:pStyle w:val="Heading3"/>
      </w:pPr>
      <w:r>
        <w:t xml:space="preserve">Tier 1 — cheap triage</w:t>
      </w:r>
    </w:p>
    <w:p>
      <w:pPr>
        <w:spacing w:after="160"/>
        <w:jc w:val="left"/>
      </w:pPr>
      <w:r>
        <w:t xml:space="preserve">About $15,000 per compound, a week or two. Hepatocyte spheroids run a 14-day repeat-dose hepatotox assay (do liver cells survive this drug at this dose). Caco-2 cells measure permeability. Cryopreserved hepatocytes from five species (human, rat, mouse, dog, cyno) measure intrinsic clearance — the speed at which different species' livers chew up the molecule. iCell cardiomyocytes on a multi-electrode array (MEA) check whether the heart cells panic.</w:t>
      </w:r>
    </w:p>
    <w:p>
      <w:pPr>
        <w:spacing w:after="160"/>
        <w:jc w:val="left"/>
      </w:pPr>
      <w:r>
        <w:t xml:space="preserve">The decision gate at the end of Tier 1: predicted human Cmax over hepatotox EC50 less than 30× → kill or formulate-rescue. About 30–50% of L2 survivors fail here.</w:t>
      </w:r>
    </w:p>
    <w:p>
      <w:pPr>
        <w:pStyle w:val="Heading3"/>
      </w:pPr>
      <w:r>
        <w:t xml:space="preserve">Tier 2 — tissue-specific efficacy and ADME</w:t>
      </w:r>
    </w:p>
    <w:p>
      <w:pPr>
        <w:spacing w:after="160"/>
        <w:jc w:val="left"/>
      </w:pPr>
      <w:r>
        <w:t xml:space="preserve">About $80k–$150k per compound, four to six weeks. Patient-derived organoids from HCMI or HUB run efficacy assays across at least three patient lines (so we can see how much the response varies between people). PCLS (precision-cut liver slices) from rat and human catch hepatotoxicity that the spheroid missed because it doesn't have non-parenchymal cells. An Emulate Liver-Chip or CN Bio multi-organ chip runs the gold-standard hepatic clearance and DILI biomarker panel. A kidney proximal-tubule chip checks renal liabilities. A gut-liver coupled chip measures first-pass metabolism — how much of the drug survives the journey through the liver after being absorbed from the intestine.</w:t>
      </w:r>
    </w:p>
    <w:p>
      <w:pPr>
        <w:pStyle w:val="Heading3"/>
      </w:pPr>
      <w:r>
        <w:t xml:space="preserve">Tier 3 — specialised, conditional</w:t>
      </w:r>
    </w:p>
    <w:p>
      <w:pPr>
        <w:spacing w:after="160"/>
        <w:jc w:val="left"/>
      </w:pPr>
      <w:r>
        <w:t xml:space="preserve">Triggered only when something specific is at stake. Langendorff isolated perfused heart for compounds with cardiovascular flags from L2 or Tier 1. Isolated perfused liver or kidney when dose-linearity is suspect. Cortical / cerebral organoid plus blood-brain-barrier-on-chip cascade for any CNS-targeted compound.</w:t>
      </w:r>
    </w:p>
    <w:p>
      <w:pPr>
        <w:pStyle w:val="Heading2"/>
      </w:pPr>
      <w:r>
        <w:t xml:space="preserve">What models run on L3 readouts</w:t>
      </w:r>
    </w:p>
    <w:p>
      <w:pPr>
        <w:spacing w:after="160"/>
        <w:jc w:val="left"/>
      </w:pPr>
      <w:r>
        <w:t xml:space="preserve">L3 isn't just wet work — there's a heavy modelling layer that runs on what comes out of the assays.</w:t>
      </w:r>
    </w:p>
    <w:p>
      <w:pPr>
        <w:spacing w:after="80"/>
      </w:pPr>
      <w:r>
        <w:t xml:space="preserve"/>
      </w:r>
    </w:p>
    <w:p>
      <w:pPr>
        <w:spacing w:after="160"/>
      </w:pPr>
      <w:r>
        <w:rPr>
          <w:b/>
          <w:bCs/>
        </w:rPr>
        <w:t xml:space="preserve">httk and PK-Sim</w:t>
      </w:r>
      <w:r>
        <w:t xml:space="preserve"> (the open-source IVIVE engines) ingest the L3 numbers — clearance, fraction unbound, permeability — and emit recalibrated predicted human PK and predicted target-tissue exposure. This is much higher quality than what L2 alone could produce, because L3 anchors it in real tissue.</w:t>
      </w:r>
    </w:p>
    <w:p>
      <w:pPr>
        <w:spacing w:after="160"/>
      </w:pPr>
      <w:r>
        <w:rPr>
          <w:b/>
          <w:bCs/>
        </w:rPr>
        <w:t xml:space="preserve">Drug2cell + Tabula Sapiens + GTEx</w:t>
      </w:r>
      <w:r>
        <w:t xml:space="preserve"> compute a tissue-selectivity matrix. Per organ (54 tissues), per compound, predicted margin = unbound concentration over IC50. Open Sanger / Broad / NIH datasets. We don't pay for any of this — we pay for the engineering to glue them together.</w:t>
      </w:r>
    </w:p>
    <w:p>
      <w:pPr>
        <w:spacing w:after="160"/>
      </w:pPr>
      <w:r>
        <w:rPr>
          <w:b/>
          <w:bCs/>
        </w:rPr>
        <w:t xml:space="preserve">CellProfiler and Cellpose 3</w:t>
      </w:r>
      <w:r>
        <w:t xml:space="preserve"> analyse the imaging data from organoid assays. Cellpose has gotten good enough at brightfield organoid segmentation that we don't need to manually train models for new organoid types — it just works.</w:t>
      </w:r>
    </w:p>
    <w:p>
      <w:pPr>
        <w:spacing w:after="160"/>
      </w:pPr>
      <w:r>
        <w:rPr>
          <w:b/>
          <w:bCs/>
        </w:rPr>
        <w:t xml:space="preserve">Drug2cell, scDrug, CellOracle</w:t>
      </w:r>
      <w:r>
        <w:t xml:space="preserve"> analyse single-cell RNA-seq from perturbed organoids. We give an organoid a dose of compound, lyse it, sequence the transcriptomes of every cell, and compute which cell types responded and how. This is what gives us the tissue-selectivity dossier.</w:t>
      </w:r>
    </w:p>
    <w:p>
      <w:pPr>
        <w:pStyle w:val="Heading2"/>
      </w:pPr>
      <w:r>
        <w:t xml:space="preserve">What L3 hands to L4</w:t>
      </w:r>
    </w:p>
    <w:p>
      <w:pPr>
        <w:spacing w:after="160"/>
        <w:jc w:val="left"/>
      </w:pPr>
      <w:r>
        <w:t xml:space="preserve">A graduation dossier per surviving compound, typically three to ten compounds out of the L2 shortlist. Inside the dossier:</w:t>
      </w:r>
    </w:p>
    <w:p>
      <w:pPr>
        <w:spacing w:after="80"/>
      </w:pPr>
      <w:r>
        <w:t xml:space="preserve"/>
      </w:r>
    </w:p>
    <w:p>
      <w:pPr>
        <w:pStyle w:val="ListParagraph"/>
        <w:numPr>
          <w:ilvl w:val="0"/>
          <w:numId w:val="2"/>
        </w:numPr>
        <w:spacing w:after="80"/>
      </w:pPr>
      <w:r>
        <w:t xml:space="preserve">Dose-range table — NOAEL and LOAEL on hepatocyte spheroid, PCLS, liver-chip — with allometric L4 starting dose and 95% confidence interval.</w:t>
      </w:r>
    </w:p>
    <w:p>
      <w:pPr>
        <w:pStyle w:val="ListParagraph"/>
        <w:numPr>
          <w:ilvl w:val="0"/>
          <w:numId w:val="2"/>
        </w:numPr>
        <w:spacing w:after="80"/>
      </w:pPr>
      <w:r>
        <w:t xml:space="preserve">Tissue-selectivity matrix — 54 organs by predicted margin, colour-coded.</w:t>
      </w:r>
    </w:p>
    <w:p>
      <w:pPr>
        <w:pStyle w:val="ListParagraph"/>
        <w:numPr>
          <w:ilvl w:val="0"/>
          <w:numId w:val="2"/>
        </w:numPr>
        <w:spacing w:after="80"/>
      </w:pPr>
      <w:r>
        <w:t xml:space="preserve">ADME card — predicted oral bioavailability, volume of distribution, half-life, primary clearance route, transporter liabilities, brain Kp,uu where CNS-relevant.</w:t>
      </w:r>
    </w:p>
    <w:p>
      <w:pPr>
        <w:pStyle w:val="ListParagraph"/>
        <w:numPr>
          <w:ilvl w:val="0"/>
          <w:numId w:val="2"/>
        </w:numPr>
        <w:spacing w:after="80"/>
      </w:pPr>
      <w:r>
        <w:t xml:space="preserve">Tox flag list — ranked by mechanism (mitochondrial, BSEP, hERG, OAT/OCT, neurite, nephron-segment-specific).</w:t>
      </w:r>
    </w:p>
    <w:p>
      <w:pPr>
        <w:pStyle w:val="ListParagraph"/>
        <w:numPr>
          <w:ilvl w:val="0"/>
          <w:numId w:val="2"/>
        </w:numPr>
        <w:spacing w:after="80"/>
      </w:pPr>
      <w:r>
        <w:t xml:space="preserve">Organoid efficacy panel — IC50 across at least three patient lines, plus single-cell-resolved response.</w:t>
      </w:r>
    </w:p>
    <w:p>
      <w:pPr>
        <w:pStyle w:val="ListParagraph"/>
        <w:numPr>
          <w:ilvl w:val="0"/>
          <w:numId w:val="2"/>
        </w:numPr>
        <w:spacing w:after="80"/>
      </w:pPr>
      <w:r>
        <w:t xml:space="preserve">Confidence scorecard — per readout, with a flag for "vendor-locked / non-reproduced" data we couldn't verify.</w:t>
      </w:r>
    </w:p>
    <w:p>
      <w:pPr>
        <w:pStyle w:val="ListParagraph"/>
        <w:numPr>
          <w:ilvl w:val="0"/>
          <w:numId w:val="2"/>
        </w:numPr>
        <w:spacing w:after="80"/>
      </w:pPr>
      <w:r>
        <w:t xml:space="preserve">Recommended L4 species and study design, with justification.</w:t>
      </w:r>
    </w:p>
    <w:p>
      <w:pPr>
        <w:spacing w:after="160"/>
        <w:jc w:val="left"/>
      </w:pPr>
      <w:r>
        <w:t xml:space="preserve">That's what L4 is going to plan its studies against.</w:t>
      </w:r>
    </w:p>
    <w:p>
      <w:pPr>
        <w:pStyle w:val="Heading2"/>
      </w:pPr>
      <w:r>
        <w:t xml:space="preserve">What this layer is hard about</w:t>
      </w:r>
    </w:p>
    <w:p>
      <w:pPr>
        <w:spacing w:after="160"/>
        <w:jc w:val="left"/>
      </w:pPr>
      <w:r>
        <w:t xml:space="preserve">L3 is the layer where the public-data story breaks down. The biggest microphysiological-systems datasets in the world live inside Emulate, CN Bio, Mimetas, TissUse, and InSphero — and none of them publish at scale. The MPS-Database hosted by U. Pittsburgh (FDA-funded) is the only meaningful public collection, and it's small. If we want L3 to predict well, we need a vendor partnership. That's a strategic call, not a coding task.</w:t>
      </w:r>
    </w:p>
    <w:p>
      <w:pPr>
        <w:spacing w:after="160"/>
        <w:jc w:val="left"/>
      </w:pPr>
      <w:r>
        <w:t xml:space="preserve">Organoid reproducibility is the other open problem. Different lots of the same cell line behave differently. Different labs running the same protocol get different numbers. There is no organoid equivalent of the GDSC drug-response dataset. The IQ-MPS consortium (a pharma collaboration) is the closest thing — and it's membership-only.</w:t>
      </w:r>
    </w:p>
    <w:p>
      <w:pPr>
        <w:pStyle w:val="Heading1"/>
        <w:pageBreakBefore/>
      </w:pPr>
      <w:r>
        <w:t xml:space="preserve">Chapter 5: L4 — The Regulator's Gate</w:t>
      </w:r>
    </w:p>
    <w:p>
      <w:pPr>
        <w:spacing w:after="200" w:before="200"/>
        <w:ind w:left="360" w:right="360"/>
        <w:jc w:val="left"/>
      </w:pPr>
      <w:r>
        <w:rPr>
          <w:i/>
          <w:iCs/>
          <w:color w:val="404040"/>
        </w:rPr>
        <w:t xml:space="preserve">Wednesday morning. The L3 graduation dossier hands L4 four compounds. By Wednesday afternoon, the twin has simulated the entire ICH M3(R2) study battery — virtual rat, virtual dog, virtual cardiovascular telemetry — and produced a "predicted study outcomes dossier" that will become the Bayesian prior for the actual GLP studies the CRO is about to start.</w:t>
      </w:r>
    </w:p>
    <w:p>
      <w:pPr>
        <w:spacing w:after="160"/>
        <w:jc w:val="left"/>
      </w:pPr>
      <w:r>
        <w:t xml:space="preserve">L4 was already built. The redesign mostly renamed it (it used to be L2 in the old order) and tightened its outbound contract. What it does is unchanged: this is the layer that runs animal studies, or simulates them, or both, in a form that survives FDA review.</w:t>
      </w:r>
    </w:p>
    <w:p>
      <w:pPr>
        <w:spacing w:after="160"/>
        <w:jc w:val="left"/>
      </w:pPr>
      <w:r>
        <w:t xml:space="preserve">L4 has two branches, and they run in parallel:</w:t>
      </w:r>
    </w:p>
    <w:p>
      <w:pPr>
        <w:pStyle w:val="Heading2"/>
      </w:pPr>
      <w:r>
        <w:t xml:space="preserve">The simulated branch</w:t>
      </w:r>
    </w:p>
    <w:p>
      <w:pPr>
        <w:spacing w:after="160"/>
        <w:jc w:val="left"/>
      </w:pPr>
      <w:r>
        <w:t xml:space="preserve">Before any animal is touched, L4 simulates the entire ICH M3(R2) study battery using the priors L3 handed it.</w:t>
      </w:r>
    </w:p>
    <w:p>
      <w:pPr>
        <w:spacing w:after="80"/>
      </w:pPr>
      <w:r>
        <w:t xml:space="preserve"/>
      </w:r>
    </w:p>
    <w:p>
      <w:pPr>
        <w:pStyle w:val="ListParagraph"/>
        <w:numPr>
          <w:ilvl w:val="0"/>
          <w:numId w:val="2"/>
        </w:numPr>
        <w:spacing w:after="80"/>
      </w:pPr>
      <w:r>
        <w:t xml:space="preserve">PBPK forward simulation across mouse, rat, dog, minipig, and cynomolgus monkey — establish the dose ranges that bracket 1×, 3×, and 10× human-equivalent exposure.</w:t>
      </w:r>
    </w:p>
    <w:p>
      <w:pPr>
        <w:pStyle w:val="ListParagraph"/>
        <w:numPr>
          <w:ilvl w:val="0"/>
          <w:numId w:val="2"/>
        </w:numPr>
        <w:spacing w:after="80"/>
      </w:pPr>
      <w:r>
        <w:t xml:space="preserve">Virtual repeat-dose tox — using the eTRANSAFE federated knowledge graph, find compounds structurally similar to ours and project what their tox profile suggests for our compound. Combine with virtual control group (VCG) distributions from the EFPIA 3Rs working group.</w:t>
      </w:r>
    </w:p>
    <w:p>
      <w:pPr>
        <w:pStyle w:val="ListParagraph"/>
        <w:numPr>
          <w:ilvl w:val="0"/>
          <w:numId w:val="2"/>
        </w:numPr>
        <w:spacing w:after="80"/>
      </w:pPr>
      <w:r>
        <w:t xml:space="preserve">Virtual cardiovascular integrated risk assessment — couple L1's multi-channel patch-clamp data through the O'Hara-Rudy human ventricular action-potential model. Produce a predicted ΔAPD and ΔQTc. Cross-check against simulated dog telemetry.</w:t>
      </w:r>
    </w:p>
    <w:p>
      <w:pPr>
        <w:pStyle w:val="ListParagraph"/>
        <w:numPr>
          <w:ilvl w:val="0"/>
          <w:numId w:val="2"/>
        </w:numPr>
        <w:spacing w:after="80"/>
      </w:pPr>
      <w:r>
        <w:t xml:space="preserve">Virtual genotox — Derek Nexus, Sarah Nexus, and Leadscope ensemble; ICH M7 class assignment.</w:t>
      </w:r>
    </w:p>
    <w:p>
      <w:pPr>
        <w:pStyle w:val="ListParagraph"/>
        <w:numPr>
          <w:ilvl w:val="0"/>
          <w:numId w:val="2"/>
        </w:numPr>
        <w:spacing w:after="80"/>
      </w:pPr>
      <w:r>
        <w:t xml:space="preserve">Read-across for developmental and reproductive tox — eTRANSAFE plus ToxRefDB analog mining.</w:t>
      </w:r>
    </w:p>
    <w:p>
      <w:pPr>
        <w:spacing w:after="160"/>
        <w:jc w:val="left"/>
      </w:pPr>
      <w:r>
        <w:t xml:space="preserve">The output is a "predicted study outcomes dossier" with a prior distribution over each SEND endpoint. This becomes the Bayesian prior that the wet-lab readouts update.</w:t>
      </w:r>
    </w:p>
    <w:p>
      <w:pPr>
        <w:pStyle w:val="Heading2"/>
      </w:pPr>
      <w:r>
        <w:t xml:space="preserve">The wet branch</w:t>
      </w:r>
    </w:p>
    <w:p>
      <w:pPr>
        <w:spacing w:after="160"/>
        <w:jc w:val="left"/>
      </w:pPr>
      <w:r>
        <w:t xml:space="preserve">Where regulatory acceptance still requires real animals, L4 designs and orchestrates the studies.</w:t>
      </w:r>
    </w:p>
    <w:p>
      <w:pPr>
        <w:spacing w:after="80"/>
      </w:pPr>
      <w:r>
        <w:t xml:space="preserve"/>
      </w:r>
    </w:p>
    <w:p>
      <w:pPr>
        <w:pStyle w:val="ListParagraph"/>
        <w:numPr>
          <w:ilvl w:val="0"/>
          <w:numId w:val="2"/>
        </w:numPr>
        <w:spacing w:after="80"/>
      </w:pPr>
      <w:r>
        <w:t xml:space="preserve">Protocol authoring goes through the NC3Rs Experimental Design Assistant (EDA), which produces randomisation, blinding, power analysis, ARRIVE 2.0 attestations, the PREPARE checklist — all as a structured protocol manifest the CRO consumes.</w:t>
      </w:r>
    </w:p>
    <w:p>
      <w:pPr>
        <w:pStyle w:val="ListParagraph"/>
        <w:numPr>
          <w:ilvl w:val="0"/>
          <w:numId w:val="2"/>
        </w:numPr>
        <w:spacing w:after="80"/>
      </w:pPr>
      <w:r>
        <w:t xml:space="preserve">The protocol manifest is pushed to the CRO's LIMS via the Hakase SEND-Live adapter (or CDISC LAB if the CRO doesn't support our adapter).</w:t>
      </w:r>
    </w:p>
    <w:p>
      <w:pPr>
        <w:pStyle w:val="ListParagraph"/>
        <w:numPr>
          <w:ilvl w:val="0"/>
          <w:numId w:val="2"/>
        </w:numPr>
        <w:spacing w:after="80"/>
      </w:pPr>
      <w:r>
        <w:t xml:space="preserve">As the study runs, partial SEND datasets stream back domain by domain. The twin updates posterior estimates in real time and surfaces drift alerts when observed data diverges from the prior.</w:t>
      </w:r>
    </w:p>
    <w:p>
      <w:pPr>
        <w:pStyle w:val="ListParagraph"/>
        <w:numPr>
          <w:ilvl w:val="0"/>
          <w:numId w:val="2"/>
        </w:numPr>
        <w:spacing w:after="80"/>
      </w:pPr>
      <w:r>
        <w:t xml:space="preserve">AI histopath review supplements the GLP pathologist — Aiforia 6 or Visiopharm 2025.1, which are the GLP-validated tools. Foundation models like UNI and PathChat assist as a second reader, but never as primary in regulated work, because they're not yet 21 CFR Part 11 validated.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GLP</w:t>
            </w:r>
          </w:p>
          <w:p>
            <w:pPr>
              <w:spacing w:after="0"/>
            </w:pPr>
            <w:r>
              <w:rPr>
                <w:sz w:val="21"/>
                <w:szCs w:val="21"/>
              </w:rPr>
              <w:t xml:space="preserve">Good Laboratory Practice. The OECD set of quality controls that nonclinical safety studies have to follow if their data is going to support a regulatory submission. Defined in OECD principles and 21 CFR Part 58 in the US. Means audit trails, study directors, controlled archives, written SOPs for everything. Slow and expensive — but the FDA won't look at non-GLP data for pivotal safety questions.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SEND</w:t>
            </w:r>
          </w:p>
          <w:p>
            <w:pPr>
              <w:spacing w:after="0"/>
            </w:pPr>
            <w:r>
              <w:rPr>
                <w:sz w:val="21"/>
                <w:szCs w:val="21"/>
              </w:rPr>
              <w:t xml:space="preserve">Standard for Exchange of Nonclinical Data. The CDISC standard for how animal-study results are formatted when submitted to FDA. Structured tables with controlled vocabulary — DM for demographics, LB for clinical pathology, MI for microscopic findings, and so on. The current implementation guide is v3.1.1; v3.2 is being adopted in 2026. SEND is mandatory for INDs, NDAs, and BLAs, full stop.</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ICH M3(R2)</w:t>
            </w:r>
          </w:p>
          <w:p>
            <w:pPr>
              <w:spacing w:after="0"/>
            </w:pPr>
            <w:r>
              <w:rPr>
                <w:sz w:val="21"/>
                <w:szCs w:val="21"/>
              </w:rPr>
              <w:t xml:space="preserve">The ICH guidance that defines what nonclinical safety studies are required to support each phase of clinical trials. Single-dose tox in rodent + non-rodent. Repeat-dose tox up to nine months in non-rodent and six months in rodent. Genotoxicity battery. Reproductive tox staged with clinical phase. Carcinogenicity for chronic indications. M3(R2) is the recipe; L4 is the kitchen.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Virtual Control Group (VCG)</w:t>
            </w:r>
          </w:p>
          <w:p>
            <w:pPr>
              <w:spacing w:after="0"/>
            </w:pPr>
            <w:r>
              <w:rPr>
                <w:sz w:val="21"/>
                <w:szCs w:val="21"/>
              </w:rPr>
              <w:t xml:space="preserve">Instead of running fresh control animals for every study, you reuse pooled distributions from historical control data — basically, a Bayesian prior on what a healthy rat's liver enzymes look like. Saves animals (the 3Rs principle). The FDA accepts VCGs in non-pivotal repeat-dose studies as of 2024–2025; not yet in carcinogenicity. We run VCG predictions in shadow mode alongside conventional controls, with the audit log keeping both streams cleanly separable.</w:t>
            </w:r>
          </w:p>
        </w:tc>
      </w:tr>
    </w:tbl>
    <w:p>
      <w:pPr>
        <w:pStyle w:val="Heading2"/>
      </w:pPr>
      <w:r>
        <w:t xml:space="preserve">What L4 hands to Clinical</w:t>
      </w:r>
    </w:p>
    <w:p>
      <w:pPr>
        <w:spacing w:after="160"/>
        <w:jc w:val="left"/>
      </w:pPr>
      <w:r>
        <w:t xml:space="preserve">The IND-enabling package. Module 4 of the Common Technical Document — pharmacology, pharmacokinetics, toxicology, all conformant to SEND v3.x and validated through Pinnacle 21 with zero reject errors. The MRSD calculation chain — NOAEL → HED → divide by safety factor → MRSD — fully auditable. The integrated proarrhythmia risk verdict per ICH S7B(R1). Define-XML, study reviewer's guide, trial summary.</w:t>
      </w:r>
    </w:p>
    <w:p>
      <w:pPr>
        <w:spacing w:after="160"/>
        <w:jc w:val="left"/>
      </w:pPr>
      <w:r>
        <w:t xml:space="preserve">And then, once it's ready, L4 calls an API.</w:t>
      </w:r>
    </w:p>
    <w:p>
      <w:pPr>
        <w:pStyle w:val="Heading1"/>
        <w:pageBreakBefore/>
      </w:pPr>
      <w:r>
        <w:t xml:space="preserve">Chapter 6: The Handoff to Clinical</w:t>
      </w:r>
    </w:p>
    <w:p>
      <w:pPr>
        <w:spacing w:after="200" w:before="200"/>
        <w:ind w:left="360" w:right="360"/>
        <w:jc w:val="left"/>
      </w:pPr>
      <w:r>
        <w:rPr>
          <w:i/>
          <w:iCs/>
          <w:color w:val="404040"/>
        </w:rPr>
        <w:t xml:space="preserve">A POST request hits api.hakase.akthealth.io/v1/handoff/packages with a 1.4 MB JSON payload, a SHA-256 hash, an Ed25519 signature, and an Idempotency-Key header. Three seconds later the response comes back: status received, validation pass, ICH M3(R2) readiness score 0.93. The Pre-Clinical team's job is done. Clinical now owns this compound.</w:t>
      </w:r>
    </w:p>
    <w:p>
      <w:pPr>
        <w:spacing w:after="160"/>
        <w:jc w:val="left"/>
      </w:pPr>
      <w:r>
        <w:t xml:space="preserve">This is the boundary that defines the redesign. Hakase Bio is a pre-clinical module. Hakase Clinical is a different module. They share data only through a versioned, signed, idempotent API.</w:t>
      </w:r>
    </w:p>
    <w:p>
      <w:pPr>
        <w:spacing w:after="160"/>
        <w:jc w:val="left"/>
      </w:pPr>
      <w:r>
        <w:t xml:space="preserve">That sounds like architectural pedantry. It isn't. Four reasons:</w:t>
      </w:r>
    </w:p>
    <w:p>
      <w:pPr>
        <w:spacing w:after="80"/>
      </w:pPr>
      <w:r>
        <w:t xml:space="preserve"/>
      </w:r>
    </w:p>
    <w:p>
      <w:pPr>
        <w:spacing w:after="160"/>
      </w:pPr>
      <w:r>
        <w:rPr>
          <w:b/>
          <w:bCs/>
        </w:rPr>
        <w:t xml:space="preserve">Regulatory traceability. </w:t>
      </w:r>
      <w:r>
        <w:t xml:space="preserve">When the FDA asks "what evidence supports this dose?" we have to be able to point to a specific package, a specific signature, a specific moment in time. An API call with a hash chain produces that evidence trail naturally. A function call inside a monolith does not.</w:t>
      </w:r>
    </w:p>
    <w:p>
      <w:pPr>
        <w:spacing w:after="160"/>
      </w:pPr>
      <w:r>
        <w:rPr>
          <w:b/>
          <w:bCs/>
        </w:rPr>
        <w:t xml:space="preserve">Independent versioning. </w:t>
      </w:r>
      <w:r>
        <w:t xml:space="preserve">The twin's model registry evolves on its own cadence — new PBPK kernels, new IVIVE calibrations. Clinical's trial-simulator evolves on its own cadence — FHIR R5 to R6, SDTM updates, new protocol-builder logic. If they share a process, every release is locked together.</w:t>
      </w:r>
    </w:p>
    <w:p>
      <w:pPr>
        <w:spacing w:after="160"/>
      </w:pPr>
      <w:r>
        <w:rPr>
          <w:b/>
          <w:bCs/>
        </w:rPr>
        <w:t xml:space="preserve">Organisational separation. </w:t>
      </w:r>
      <w:r>
        <w:t xml:space="preserve">Pre-Clinical and Clinical are different teams with different SMEs (toxicology, DMPK, pharmacology vs. clinical operations, biostatistics, regulatory). API contracts give each team a stable surface to plan against.</w:t>
      </w:r>
    </w:p>
    <w:p>
      <w:pPr>
        <w:spacing w:after="160"/>
      </w:pPr>
      <w:r>
        <w:rPr>
          <w:b/>
          <w:bCs/>
        </w:rPr>
        <w:t xml:space="preserve">Audit defensibility. </w:t>
      </w:r>
      <w:r>
        <w:t xml:space="preserve">When the regulator wants to see what data was handed over, when, by whom, and against which model versions, an API with idempotent submissions and a hash chain produces that evidence trail naturally. That's the defensibility argument.</w:t>
      </w:r>
    </w:p>
    <w:p>
      <w:pPr>
        <w:pStyle w:val="Heading2"/>
      </w:pPr>
      <w:r>
        <w:t xml:space="preserve">What flows across the wire</w:t>
      </w:r>
    </w:p>
    <w:p>
      <w:pPr>
        <w:spacing w:after="160"/>
        <w:jc w:val="left"/>
      </w:pPr>
      <w:r>
        <w:t xml:space="preserve">The handoff payload is a JSON envelope with seven domains:</w:t>
      </w:r>
    </w:p>
    <w:p>
      <w:pPr>
        <w:spacing w:after="80"/>
      </w:pPr>
      <w:r>
        <w:t xml:space="preserve"/>
      </w:r>
    </w:p>
    <w:p>
      <w:pPr>
        <w:pStyle w:val="ListParagraph"/>
        <w:numPr>
          <w:ilvl w:val="0"/>
          <w:numId w:val="2"/>
        </w:numPr>
        <w:spacing w:after="80"/>
      </w:pPr>
      <w:r>
        <w:t xml:space="preserve">Compound identity — SMILES, InChIKey, internal ID, batch / lot, salt form, stereochemistry, link back to the L1 record.</w:t>
      </w:r>
    </w:p>
    <w:p>
      <w:pPr>
        <w:pStyle w:val="ListParagraph"/>
        <w:numPr>
          <w:ilvl w:val="0"/>
          <w:numId w:val="2"/>
        </w:numPr>
        <w:spacing w:after="80"/>
      </w:pPr>
      <w:r>
        <w:t xml:space="preserve">Nonclinical safety package — NOAEL by species, target-organ findings, genotox battery (Ames + micronucleus + comet), reproductive tox summary, carcinogenicity if relevant, the S7B integrated cardiovascular risk verdict.</w:t>
      </w:r>
    </w:p>
    <w:p>
      <w:pPr>
        <w:pStyle w:val="ListParagraph"/>
        <w:numPr>
          <w:ilvl w:val="0"/>
          <w:numId w:val="2"/>
        </w:numPr>
        <w:spacing w:after="80"/>
      </w:pPr>
      <w:r>
        <w:t xml:space="preserve">PK / ADME package — animal PK parameters per species, predicted human PK from PBPK, allometric MRSD, exposure margins.</w:t>
      </w:r>
    </w:p>
    <w:p>
      <w:pPr>
        <w:pStyle w:val="ListParagraph"/>
        <w:numPr>
          <w:ilvl w:val="0"/>
          <w:numId w:val="2"/>
        </w:numPr>
        <w:spacing w:after="80"/>
      </w:pPr>
      <w:r>
        <w:t xml:space="preserve">Efficacy package — animal efficacy model results, target engagement biomarker data, MoA confidence.</w:t>
      </w:r>
    </w:p>
    <w:p>
      <w:pPr>
        <w:pStyle w:val="ListParagraph"/>
        <w:numPr>
          <w:ilvl w:val="0"/>
          <w:numId w:val="2"/>
        </w:numPr>
        <w:spacing w:after="80"/>
      </w:pPr>
      <w:r>
        <w:t xml:space="preserve">Twin metadata — every model_id and model_version that contributed, IVIVE confidence score, SEND dataset reference, ARRIVE 2.0 compliance flag, GLP status of each underlying study, and which components were simulation-derived.</w:t>
      </w:r>
    </w:p>
    <w:p>
      <w:pPr>
        <w:pStyle w:val="ListParagraph"/>
        <w:numPr>
          <w:ilvl w:val="0"/>
          <w:numId w:val="2"/>
        </w:numPr>
        <w:spacing w:after="80"/>
      </w:pPr>
      <w:r>
        <w:t xml:space="preserve">Regulatory readiness flags — per ICH M3(R2) section, per CTD Module 4 sub-section.</w:t>
      </w:r>
    </w:p>
    <w:p>
      <w:pPr>
        <w:pStyle w:val="ListParagraph"/>
        <w:numPr>
          <w:ilvl w:val="0"/>
          <w:numId w:val="2"/>
        </w:numPr>
        <w:spacing w:after="80"/>
      </w:pPr>
      <w:r>
        <w:t xml:space="preserve">Provenance envelope — package hash, signature, parent_package_id (so revisions chain).</w:t>
      </w:r>
    </w:p>
    <w:p>
      <w:pPr>
        <w:pStyle w:val="Heading2"/>
      </w:pPr>
      <w:r>
        <w:t xml:space="preserve">How the standards line up</w:t>
      </w:r>
    </w:p>
    <w:p>
      <w:pPr>
        <w:spacing w:after="160"/>
        <w:jc w:val="left"/>
      </w:pPr>
      <w:r>
        <w:t xml:space="preserve">On the Pre-Clinical side, the source-of-truth shape is CDISC SEND v3.x. Every animal study record in the handoff package can be traced back to a SEND domain — DM, EX, LB, MA, MI, OM, PC, PP, EG, CV, TF, TS, TX, TE.</w:t>
      </w:r>
    </w:p>
    <w:p>
      <w:pPr>
        <w:spacing w:after="160"/>
        <w:jc w:val="left"/>
      </w:pPr>
      <w:r>
        <w:t xml:space="preserve">On the Clinical side, the consumed shape is FHIR R5. The Clinical module wants Substance, MedicinalProductDefinition, ResearchStudy, Observation, ActivityDefinition, Evidence — the standard FHIR resources for trial planning.</w:t>
      </w:r>
    </w:p>
    <w:p>
      <w:pPr>
        <w:spacing w:after="160"/>
        <w:jc w:val="left"/>
      </w:pPr>
      <w:r>
        <w:t xml:space="preserve">SEND and FHIR are not isomorphic. They were built by different communities for different purposes. So we don't pretend the mapping is one-to-one. Instead, we own a thin domain model — the HandoffCanonicalPackage — that does the real translation work. It's versioned independently (mapping-table v1.4.2, etc.), and both Pre-Clinical and Clinical reference the same registry. SEND in, canonical envelope, FHIR out.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FHIR</w:t>
            </w:r>
          </w:p>
          <w:p>
            <w:pPr>
              <w:spacing w:after="0"/>
            </w:pPr>
            <w:r>
              <w:rPr>
                <w:sz w:val="21"/>
                <w:szCs w:val="21"/>
              </w:rPr>
              <w:t xml:space="preserve">Fast Healthcare Interoperability Resources. The HL7 standard for exchanging health data. Defines about 150 "resources" — Patient, Observation, Medication, ResearchStudy, and so on — each with a canonical JSON or XML schema. The Clinical module talks FHIR R5 to the rest of the world. R6 is in ballot through 2026.</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8" w:val="clear"/>
            <w:tcMar>
              <w:top w:type="dxa" w:w="160"/>
              <w:left w:type="dxa" w:w="240"/>
              <w:bottom w:type="dxa" w:w="160"/>
              <w:right w:type="dxa" w:w="240"/>
            </w:tcMar>
          </w:tcPr>
          <w:p>
            <w:pPr>
              <w:spacing w:after="80"/>
            </w:pPr>
            <w:r>
              <w:rPr>
                <w:b/>
                <w:bCs/>
                <w:color w:val="1F3864"/>
                <w:sz w:val="22"/>
                <w:szCs w:val="22"/>
              </w:rPr>
              <w:t xml:space="preserve">Idempotency Key</w:t>
            </w:r>
          </w:p>
          <w:p>
            <w:pPr>
              <w:spacing w:after="0"/>
            </w:pPr>
            <w:r>
              <w:rPr>
                <w:sz w:val="21"/>
                <w:szCs w:val="21"/>
              </w:rPr>
              <w:t xml:space="preserve">A header on every POST request that lets the server recognise duplicate requests. If a network blip causes the client to retry, the server returns the same response it gave the first time, instead of double-creating the resource. Cached for 24 hours. This is how we make handoff submissions safe to retry without worrying about duplicate IND packages.</w:t>
            </w:r>
          </w:p>
        </w:tc>
      </w:tr>
    </w:tbl>
    <w:p>
      <w:pPr>
        <w:pStyle w:val="Heading2"/>
      </w:pPr>
      <w:r>
        <w:t xml:space="preserve">The endpoints</w:t>
      </w:r>
    </w:p>
    <w:p>
      <w:pPr>
        <w:spacing w:after="160"/>
        <w:jc w:val="left"/>
      </w:pPr>
      <w:r>
        <w:t xml:space="preserve">Eight REST endpoints define the contract:</w:t>
      </w:r>
    </w:p>
    <w:p>
      <w:pPr>
        <w:spacing w:after="80"/>
      </w:pPr>
      <w:r>
        <w:t xml:space="preserve"/>
      </w:r>
    </w:p>
    <w:p>
      <w:pPr>
        <w:spacing w:after="160"/>
      </w:pPr>
      <w:r>
        <w:rPr>
          <w:rFonts w:ascii="Consolas" w:cs="Consolas" w:eastAsia="Consolas" w:hAnsi="Consolas"/>
          <w:sz w:val="20"/>
          <w:szCs w:val="20"/>
        </w:rPr>
        <w:t xml:space="preserve">POST </w:t>
      </w:r>
      <w:r>
        <w:rPr>
          <w:b/>
          <w:bCs/>
        </w:rPr>
        <w:t xml:space="preserve">/v1/handoff/packages</w:t>
      </w:r>
      <w:r>
        <w:t xml:space="preserve"> — submit a complete package.</w:t>
      </w:r>
    </w:p>
    <w:p>
      <w:pPr>
        <w:spacing w:after="160"/>
      </w:pPr>
      <w:r>
        <w:rPr>
          <w:rFonts w:ascii="Consolas" w:cs="Consolas" w:eastAsia="Consolas" w:hAnsi="Consolas"/>
          <w:sz w:val="20"/>
          <w:szCs w:val="20"/>
        </w:rPr>
        <w:t xml:space="preserve">GET </w:t>
      </w:r>
      <w:r>
        <w:rPr>
          <w:b/>
          <w:bCs/>
        </w:rPr>
        <w:t xml:space="preserve">/v1/handoff/packages/{id}</w:t>
      </w:r>
      <w:r>
        <w:t xml:space="preserve"> — fetch one. Accept: application/fhir+json gets the FHIR R5 projection.</w:t>
      </w:r>
    </w:p>
    <w:p>
      <w:pPr>
        <w:spacing w:after="160"/>
      </w:pPr>
      <w:r>
        <w:rPr>
          <w:rFonts w:ascii="Consolas" w:cs="Consolas" w:eastAsia="Consolas" w:hAnsi="Consolas"/>
          <w:sz w:val="20"/>
          <w:szCs w:val="20"/>
        </w:rPr>
        <w:t xml:space="preserve">GET </w:t>
      </w:r>
      <w:r>
        <w:rPr>
          <w:b/>
          <w:bCs/>
        </w:rPr>
        <w:t xml:space="preserve">/v1/handoff/packages/{id}/status</w:t>
      </w:r>
      <w:r>
        <w:t xml:space="preserve"> — readiness signals.</w:t>
      </w:r>
    </w:p>
    <w:p>
      <w:pPr>
        <w:spacing w:after="160"/>
      </w:pPr>
      <w:r>
        <w:rPr>
          <w:rFonts w:ascii="Consolas" w:cs="Consolas" w:eastAsia="Consolas" w:hAnsi="Consolas"/>
          <w:sz w:val="20"/>
          <w:szCs w:val="20"/>
        </w:rPr>
        <w:t xml:space="preserve">POST </w:t>
      </w:r>
      <w:r>
        <w:rPr>
          <w:b/>
          <w:bCs/>
        </w:rPr>
        <w:t xml:space="preserve">/v1/handoff/packages/{id}/withdraw</w:t>
      </w:r>
      <w:r>
        <w:t xml:space="preserve"> — pull back a package if Pre-Clinical revises.</w:t>
      </w:r>
    </w:p>
    <w:p>
      <w:pPr>
        <w:spacing w:after="160"/>
      </w:pPr>
      <w:r>
        <w:rPr>
          <w:rFonts w:ascii="Consolas" w:cs="Consolas" w:eastAsia="Consolas" w:hAnsi="Consolas"/>
          <w:sz w:val="20"/>
          <w:szCs w:val="20"/>
        </w:rPr>
        <w:t xml:space="preserve">GET </w:t>
      </w:r>
      <w:r>
        <w:rPr>
          <w:b/>
          <w:bCs/>
        </w:rPr>
        <w:t xml:space="preserve">/v1/compounds/{id}/handoff-history</w:t>
      </w:r>
      <w:r>
        <w:t xml:space="preserve"> — full audit trail of every version submitted.</w:t>
      </w:r>
    </w:p>
    <w:p>
      <w:pPr>
        <w:spacing w:after="160"/>
      </w:pPr>
      <w:r>
        <w:rPr>
          <w:rFonts w:ascii="Consolas" w:cs="Consolas" w:eastAsia="Consolas" w:hAnsi="Consolas"/>
          <w:sz w:val="20"/>
          <w:szCs w:val="20"/>
        </w:rPr>
        <w:t xml:space="preserve">POST </w:t>
      </w:r>
      <w:r>
        <w:rPr>
          <w:b/>
          <w:bCs/>
        </w:rPr>
        <w:t xml:space="preserve">/v1/handoff/queries</w:t>
      </w:r>
      <w:r>
        <w:t xml:space="preserve"> — Clinical asks Pre-Clinical for clarification.</w:t>
      </w:r>
    </w:p>
    <w:p>
      <w:pPr>
        <w:spacing w:after="160"/>
      </w:pPr>
      <w:r>
        <w:rPr>
          <w:rFonts w:ascii="Consolas" w:cs="Consolas" w:eastAsia="Consolas" w:hAnsi="Consolas"/>
          <w:sz w:val="20"/>
          <w:szCs w:val="20"/>
        </w:rPr>
        <w:t xml:space="preserve">GET </w:t>
      </w:r>
      <w:r>
        <w:rPr>
          <w:b/>
          <w:bCs/>
        </w:rPr>
        <w:t xml:space="preserve">/v1/models/{layer}/registry</w:t>
      </w:r>
      <w:r>
        <w:t xml:space="preserve"> — query model registry; read-only from Clinical.</w:t>
      </w:r>
    </w:p>
    <w:p>
      <w:pPr>
        <w:spacing w:after="160"/>
      </w:pPr>
      <w:r>
        <w:rPr>
          <w:rFonts w:ascii="Consolas" w:cs="Consolas" w:eastAsia="Consolas" w:hAnsi="Consolas"/>
          <w:sz w:val="20"/>
          <w:szCs w:val="20"/>
        </w:rPr>
        <w:t xml:space="preserve">POST </w:t>
      </w:r>
      <w:r>
        <w:rPr>
          <w:b/>
          <w:bCs/>
        </w:rPr>
        <w:t xml:space="preserve">/v1/handoff/packages/{id}/discrepancies</w:t>
      </w:r>
      <w:r>
        <w:t xml:space="preserve"> — Clinical reports a contradiction. The closed-loop endpoint.</w:t>
      </w:r>
    </w:p>
    <w:p>
      <w:pPr>
        <w:pStyle w:val="Heading2"/>
      </w:pPr>
      <w:r>
        <w:t xml:space="preserve">Auth and operations</w:t>
      </w:r>
    </w:p>
    <w:p>
      <w:pPr>
        <w:spacing w:after="160"/>
        <w:jc w:val="left"/>
      </w:pPr>
      <w:r>
        <w:t xml:space="preserve">OAuth2 client credentials grant against auth.hakase.akthealth.io. Scopes: read:handoff, write:handoff, model:registry, discrepancy:write. mTLS optional for high-trust deployments. Webhooks (HMAC-SHA256-signed) push async readiness updates and discrepancy notifications. Sunset header on deprecated paths, twelve months minimum notice.</w:t>
      </w:r>
    </w:p>
    <w:p>
      <w:pPr>
        <w:spacing w:after="160"/>
        <w:jc w:val="left"/>
      </w:pPr>
      <w:r>
        <w:t xml:space="preserve">Performance SLOs: synchronous validation in under four seconds at p95. Async readiness scoring under ninety seconds. Package fetches under three hundred milliseconds, cacheable. FHIR projection under 1.5 seconds. Webhook delivery end-to-end under ten seconds. 99.9% availability. Designed for fifty packages per hour peak.</w:t>
      </w:r>
    </w:p>
    <w:p>
      <w:pPr>
        <w:pStyle w:val="Heading1"/>
        <w:pageBreakBefore/>
      </w:pPr>
      <w:r>
        <w:t xml:space="preserve">Chapter 7: The Closed Loop</w:t>
      </w:r>
    </w:p>
    <w:p>
      <w:pPr>
        <w:spacing w:after="200" w:before="200"/>
        <w:ind w:left="360" w:right="360"/>
        <w:jc w:val="left"/>
      </w:pPr>
      <w:r>
        <w:rPr>
          <w:i/>
          <w:iCs/>
          <w:color w:val="404040"/>
        </w:rPr>
        <w:t xml:space="preserve">Six months after a package was accepted, the Phase 1 simulation in Clinical comes back with a clearance estimate that's 2.2× higher than what L4 projected. Clinical opens a discrepancy. The twin's model registry receives a calibration-feedback event against twin.l2.pbpk.v4.2.1. Two weeks later, the L2 PBPK kernel ships at v4.2.2, retrained on the wider calibration set. Every future package using that kernel carries the recalibrated prediction.</w:t>
      </w:r>
    </w:p>
    <w:p>
      <w:pPr>
        <w:spacing w:after="160"/>
        <w:jc w:val="left"/>
      </w:pPr>
      <w:r>
        <w:t xml:space="preserve">The handoff is a wall. But it's a wall with a window.</w:t>
      </w:r>
    </w:p>
    <w:p>
      <w:pPr>
        <w:spacing w:after="160"/>
        <w:jc w:val="left"/>
      </w:pPr>
      <w:r>
        <w:t xml:space="preserve">When Clinical's human-trial simulation contradicts something L4 predicted — the predicted clearance is off by more than 2×, or a safety margin shrinks below threshold — Clinical posts a discrepancy. The endpoint is POST /v1/handoff/packages/{id}/discrepancies. The body of the request lists the field path that disagrees, the Pre-Clinical value (with confidence interval), the Clinical observation (with model_id and confidence interval), the magnitude of the disagreement, and a proposed action.</w:t>
      </w:r>
    </w:p>
    <w:p>
      <w:pPr>
        <w:spacing w:after="160"/>
        <w:jc w:val="left"/>
      </w:pPr>
      <w:r>
        <w:t xml:space="preserve">The server creates a discrepancy_record and fans it out to three places:</w:t>
      </w:r>
    </w:p>
    <w:p>
      <w:pPr>
        <w:spacing w:after="80"/>
      </w:pPr>
      <w:r>
        <w:t xml:space="preserve"/>
      </w:r>
    </w:p>
    <w:p>
      <w:pPr>
        <w:pStyle w:val="ListParagraph"/>
        <w:numPr>
          <w:ilvl w:val="0"/>
          <w:numId w:val="2"/>
        </w:numPr>
        <w:spacing w:after="80"/>
      </w:pPr>
      <w:r>
        <w:t xml:space="preserve">The twin's model registry — as a calibration-feedback event against the specific model the discrepancy implicates. Future runs of that model can use the updated prior; the model owner can choose to retrain.</w:t>
      </w:r>
    </w:p>
    <w:p>
      <w:pPr>
        <w:pStyle w:val="ListParagraph"/>
        <w:numPr>
          <w:ilvl w:val="0"/>
          <w:numId w:val="2"/>
        </w:numPr>
        <w:spacing w:after="80"/>
      </w:pPr>
      <w:r>
        <w:t xml:space="preserve">The L4 curator agent's task queue — somebody (or something) has to actually look at it and decide what to do.</w:t>
      </w:r>
    </w:p>
    <w:p>
      <w:pPr>
        <w:pStyle w:val="ListParagraph"/>
        <w:numPr>
          <w:ilvl w:val="0"/>
          <w:numId w:val="2"/>
        </w:numPr>
        <w:spacing w:after="80"/>
      </w:pPr>
      <w:r>
        <w:t xml:space="preserve">The originating package's audit trail — webhook event package.discrepancy.opened, signed, archived.</w:t>
      </w:r>
    </w:p>
    <w:p>
      <w:pPr>
        <w:spacing w:after="160"/>
        <w:jc w:val="left"/>
      </w:pPr>
      <w:r>
        <w:t xml:space="preserve">Resolution states: open → under_investigation → one of resolved_recalibrated, resolved_no_change, or resolved_data_correction. The next package submitted for the same compound — or for any compound using the same kernel — carries the recalibrated prediction.</w:t>
      </w:r>
    </w:p>
    <w:p>
      <w:pPr>
        <w:spacing w:after="160"/>
        <w:jc w:val="left"/>
      </w:pPr>
      <w:r>
        <w:t xml:space="preserve">This is the mechanism by which the twin learns from clinical reality without the boundary becoming permeable. The wall stays. The window opens for known reasons, in a known shape, with a known audit trail.</w:t>
      </w:r>
    </w:p>
    <w:p>
      <w:pPr>
        <w:pStyle w:val="Heading2"/>
      </w:pPr>
      <w:r>
        <w:t xml:space="preserve">Why this matters more than it sounds like it should</w:t>
      </w:r>
    </w:p>
    <w:p>
      <w:pPr>
        <w:spacing w:after="160"/>
        <w:jc w:val="left"/>
      </w:pPr>
      <w:r>
        <w:t xml:space="preserve">The single biggest risk in any pre-clinical-to-clinical pipeline is silently propagating a wrong assumption. Some fold-error in a PBPK kernel that nobody noticed at L2, that nobody caught at L3, that L4 dutifully built its dose-range on, that Clinical then used to design a Phase 1 study that under-doses for efficacy or over-doses for safety.</w:t>
      </w:r>
    </w:p>
    <w:p>
      <w:pPr>
        <w:spacing w:after="160"/>
        <w:jc w:val="left"/>
      </w:pPr>
      <w:r>
        <w:t xml:space="preserve">A closed loop with explicit discrepancy accounting is how we make sure that each generation of compound improves the model that processes the next generation. Without it, the twin is a one-shot prediction engine. With it, the twin gets better.</w:t>
      </w:r>
    </w:p>
    <w:p>
      <w:pPr>
        <w:pStyle w:val="Heading1"/>
        <w:pageBreakBefore/>
      </w:pPr>
      <w:r>
        <w:t xml:space="preserve">Chapter 8: What This Means for You (the Engineer)</w:t>
      </w:r>
    </w:p>
    <w:p>
      <w:pPr>
        <w:spacing w:after="200" w:before="200"/>
        <w:ind w:left="360" w:right="360"/>
        <w:jc w:val="left"/>
      </w:pPr>
      <w:r>
        <w:rPr>
          <w:i/>
          <w:iCs/>
          <w:color w:val="404040"/>
        </w:rPr>
        <w:t xml:space="preserve">You're onboarded into the Hakase Bio team on a Monday. By Friday you should be able to answer: which layer am I in, what shape lands in my service, what shape do I emit, where does my model registry live, how do I prove every prediction has a provenance trail.</w:t>
      </w:r>
    </w:p>
    <w:p>
      <w:pPr>
        <w:pStyle w:val="Heading2"/>
      </w:pPr>
      <w:r>
        <w:t xml:space="preserve">Pick your layer</w:t>
      </w:r>
    </w:p>
    <w:p>
      <w:pPr>
        <w:spacing w:after="160"/>
        <w:jc w:val="left"/>
      </w:pPr>
      <w:r>
        <w:t xml:space="preserve">Each layer is its own service surface with its own concerns. If you're joining at L1, you're working on assay ingest, Cellosaurus normalisation, Parquet store schema, and integrations with public databases. If you're joining at L2, you're working on docking services, PBPK containers, foundation-model inference, the model registry. If you're joining at L3, you're working on imaging pipelines, IVIVE re-calibration, single-cell analysis, and vendor-data adapters. If you're joining at L4, you're working on SEND emission, GLP-validated histopath inference, virtual control group statistics, and the API gateway that hands packages to Clinical.</w:t>
      </w:r>
    </w:p>
    <w:p>
      <w:pPr>
        <w:pStyle w:val="Heading2"/>
      </w:pPr>
      <w:r>
        <w:t xml:space="preserve">The four contracts</w:t>
      </w:r>
    </w:p>
    <w:p>
      <w:pPr>
        <w:spacing w:after="160"/>
        <w:jc w:val="left"/>
      </w:pPr>
      <w:r>
        <w:t xml:space="preserve">There are four data contracts in the system. Memorise them.</w:t>
      </w:r>
    </w:p>
    <w:p>
      <w:pPr>
        <w:spacing w:after="80"/>
      </w:pPr>
      <w:r>
        <w:t xml:space="preserve"/>
      </w:r>
    </w:p>
    <w:p>
      <w:pPr>
        <w:spacing w:after="160"/>
      </w:pPr>
      <w:r>
        <w:rPr>
          <w:b/>
          <w:bCs/>
        </w:rPr>
        <w:t xml:space="preserve">L1 → L2: </w:t>
      </w:r>
      <w:r>
        <w:t xml:space="preserve">Parquet store keyed on InChIKey. Columns are assay endpoints + metadata. L2 reads from this store.</w:t>
      </w:r>
    </w:p>
    <w:p>
      <w:pPr>
        <w:spacing w:after="160"/>
      </w:pPr>
      <w:r>
        <w:rPr>
          <w:b/>
          <w:bCs/>
        </w:rPr>
        <w:t xml:space="preserve">L2 → L3: </w:t>
      </w:r>
      <w:r>
        <w:t xml:space="preserve">A ranked CSV plus per-compound JSON. Predicted dose ranges, exposure margins, docked poses, recommended L3 models keyed by Cellosaurus accession.</w:t>
      </w:r>
    </w:p>
    <w:p>
      <w:pPr>
        <w:spacing w:after="160"/>
      </w:pPr>
      <w:r>
        <w:rPr>
          <w:b/>
          <w:bCs/>
        </w:rPr>
        <w:t xml:space="preserve">L3 → L4: </w:t>
      </w:r>
      <w:r>
        <w:t xml:space="preserve">A graduation dossier per compound. Tissue-selectivity matrix, ADME card, tox flag list, organoid efficacy panel, recommended species and study design.</w:t>
      </w:r>
    </w:p>
    <w:p>
      <w:pPr>
        <w:spacing w:after="160"/>
      </w:pPr>
      <w:r>
        <w:rPr>
          <w:b/>
          <w:bCs/>
        </w:rPr>
        <w:t xml:space="preserve">L4 → Clinical: </w:t>
      </w:r>
      <w:r>
        <w:t xml:space="preserve">A signed, hashed, idempotent JSON payload submitted via POST /v1/handoff/packages. SEND-conformant inbound, FHIR-projectable outbound.</w:t>
      </w:r>
    </w:p>
    <w:p>
      <w:pPr>
        <w:pStyle w:val="Heading2"/>
      </w:pPr>
      <w:r>
        <w:t xml:space="preserve">Five things every service in this system has to do</w:t>
      </w:r>
    </w:p>
    <w:p>
      <w:pPr>
        <w:spacing w:after="80"/>
      </w:pPr>
      <w:r>
        <w:t xml:space="preserve"/>
      </w:r>
    </w:p>
    <w:p>
      <w:pPr>
        <w:pStyle w:val="ListParagraph"/>
        <w:numPr>
          <w:ilvl w:val="0"/>
          <w:numId w:val="2"/>
        </w:numPr>
        <w:spacing w:after="80"/>
      </w:pPr>
      <w:r>
        <w:t xml:space="preserve">Carry a model_id and model_version on every prediction. The model registry is the source of truth; predictions without a registry pointer are not ingestable.</w:t>
      </w:r>
    </w:p>
    <w:p>
      <w:pPr>
        <w:pStyle w:val="ListParagraph"/>
        <w:numPr>
          <w:ilvl w:val="0"/>
          <w:numId w:val="2"/>
        </w:numPr>
        <w:spacing w:after="80"/>
      </w:pPr>
      <w:r>
        <w:t xml:space="preserve">Carry a Cellosaurus CVCL accession on every assay row that touches a cell line or organoid. This is the join key across every database we use.</w:t>
      </w:r>
    </w:p>
    <w:p>
      <w:pPr>
        <w:pStyle w:val="ListParagraph"/>
        <w:numPr>
          <w:ilvl w:val="0"/>
          <w:numId w:val="2"/>
        </w:numPr>
        <w:spacing w:after="80"/>
      </w:pPr>
      <w:r>
        <w:t xml:space="preserve">Hash and version every dataset. Inputs are content-addressed. Re-running with the same inputs produces the same outputs, bit-identical.</w:t>
      </w:r>
    </w:p>
    <w:p>
      <w:pPr>
        <w:pStyle w:val="ListParagraph"/>
        <w:numPr>
          <w:ilvl w:val="0"/>
          <w:numId w:val="2"/>
        </w:numPr>
        <w:spacing w:after="80"/>
      </w:pPr>
      <w:r>
        <w:t xml:space="preserve">Persist a manifest for every run. Inputs + model versions + parameter set + outputs + provenance. This is the FAIR-by-design requirement compiled into engineering policy.</w:t>
      </w:r>
    </w:p>
    <w:p>
      <w:pPr>
        <w:pStyle w:val="ListParagraph"/>
        <w:numPr>
          <w:ilvl w:val="0"/>
          <w:numId w:val="2"/>
        </w:numPr>
        <w:spacing w:after="80"/>
      </w:pPr>
      <w:r>
        <w:t xml:space="preserve">Sign packages that cross the L4 → Clinical boundary. Ed25519, key registered in HAIOps KMS. Once accepted, immutable.</w:t>
      </w:r>
    </w:p>
    <w:p>
      <w:pPr>
        <w:pStyle w:val="Heading2"/>
      </w:pPr>
      <w:r>
        <w:t xml:space="preserve">Three rules about what NOT to do</w:t>
      </w:r>
    </w:p>
    <w:p>
      <w:pPr>
        <w:spacing w:after="80"/>
      </w:pPr>
      <w:r>
        <w:t xml:space="preserve"/>
      </w:r>
    </w:p>
    <w:p>
      <w:pPr>
        <w:spacing w:after="160"/>
      </w:pPr>
      <w:r>
        <w:rPr>
          <w:b/>
          <w:bCs/>
        </w:rPr>
        <w:t xml:space="preserve">Don't reach across layer boundaries. </w:t>
      </w:r>
      <w:r>
        <w:t xml:space="preserve">If your L2 service finds itself wanting to call into L1's lab systems directly, stop. Read from the Parquet store. The contract is the contract.</w:t>
      </w:r>
    </w:p>
    <w:p>
      <w:pPr>
        <w:spacing w:after="160"/>
      </w:pPr>
      <w:r>
        <w:rPr>
          <w:b/>
          <w:bCs/>
        </w:rPr>
        <w:t xml:space="preserve">Don't mix Bio and Clinical. </w:t>
      </w:r>
      <w:r>
        <w:t xml:space="preserve">The L4 → Clinical boundary is the API. There is no shared database. There is no shared in-process call. If you find yourself wanting one, that's a redesign-bug, not a feature request.</w:t>
      </w:r>
    </w:p>
    <w:p>
      <w:pPr>
        <w:spacing w:after="160"/>
      </w:pPr>
      <w:r>
        <w:rPr>
          <w:b/>
          <w:bCs/>
        </w:rPr>
        <w:t xml:space="preserve">Don't ship docked poses without PoseBusters. </w:t>
      </w:r>
      <w:r>
        <w:t xml:space="preserve">Half of generative-docker output is physically impossible. The PoseBusters check is a hard filter; downstream code is allowed to assume every pose it receives is valid.</w:t>
      </w:r>
    </w:p>
    <w:p>
      <w:pPr>
        <w:pStyle w:val="Heading2"/>
      </w:pPr>
      <w:r>
        <w:t xml:space="preserve">Where to look up the rest</w:t>
      </w:r>
    </w:p>
    <w:p>
      <w:pPr>
        <w:spacing w:after="160"/>
        <w:jc w:val="left"/>
      </w:pPr>
      <w:r>
        <w:t xml:space="preserve">The full reference document is HakaseBio_4Layer_Architecture_Research.docx, in this same folder. It has the database tables, the model inventory, the regulatory framework mapping, the full API spec with JSON schemas, the build-vs-buy summary, and the master appendices. This story is the orientation; that document is the reference.</w:t>
      </w:r>
    </w:p>
    <w:p>
      <w:pPr>
        <w:pStyle w:val="Heading1"/>
        <w:pageBreakBefore/>
      </w:pPr>
      <w:r>
        <w:t xml:space="preserve">Epilogue: One Compound's Whole Journey</w:t>
      </w:r>
    </w:p>
    <w:p>
      <w:pPr>
        <w:spacing w:after="200" w:before="200"/>
        <w:ind w:left="360" w:right="360"/>
        <w:jc w:val="left"/>
      </w:pPr>
      <w:r>
        <w:rPr>
          <w:i/>
          <w:iCs/>
          <w:color w:val="404040"/>
        </w:rPr>
        <w:t xml:space="preserve">Aspirin walks into L1. Six months later, an IND-enabling package is sitting in Clinical's inbox. Here's what happened in between.</w:t>
      </w:r>
    </w:p>
    <w:p>
      <w:pPr>
        <w:spacing w:after="160"/>
        <w:jc w:val="left"/>
      </w:pPr>
      <w:r>
        <w:t xml:space="preserve">A medicinal-chemistry team designs CC(=O)Nc1ccc(O)cc1 — let's call it AKT-0421. The SMILES lands in L1's ingest queue at 9:14 a.m. on a Monday.</w:t>
      </w:r>
    </w:p>
    <w:p>
      <w:pPr>
        <w:spacing w:after="160"/>
        <w:jc w:val="left"/>
      </w:pPr>
      <w:r>
        <w:t xml:space="preserve">By Wednesday afternoon, L1's wet-assay panel has come back. AKT-0421 has a primary-target IC50 of 12 nM, an hERG IC50 of 28 µM (good — that's a wide cardiac safety margin), microsomal clearance of 18 mL/min/kg in human (moderate), and Caco-2 permeability of 1.2×10⁻⁶ cm/s (acceptable). The full forty-endpoint ADMET row is written to the Parquet store keyed on its InChIKey.</w:t>
      </w:r>
    </w:p>
    <w:p>
      <w:pPr>
        <w:spacing w:after="160"/>
        <w:jc w:val="left"/>
      </w:pPr>
      <w:r>
        <w:t xml:space="preserve">L2 picks it up automatically. By Wednesday evening, AKT-0421 has been docked against the target structure (best pose, GNINA score -9.4 kcal/mol, PoseBusters clean), run through Boltz-2 (consistent pose, predicted Kd within half a log of L1), and projected through PK-Sim. Predicted human Cmax is 1,850 ng/mL at the projected starting dose; predicted t½ is eight hours. Predicted MRSD comes out to 50 mg in a 60 kg adult. The L2 ranking puts AKT-0421 at #4 of 850 candidates that came in this week.</w:t>
      </w:r>
    </w:p>
    <w:p>
      <w:pPr>
        <w:spacing w:after="160"/>
        <w:jc w:val="left"/>
      </w:pPr>
      <w:r>
        <w:t xml:space="preserve">L3 takes the top thirty L2 survivors. Tier 1 runs over week 1 — AKT-0421 survives the hepatocyte spheroid (no hepatotox below 10 µM), Caco-2 confirms permeability, the iCell MEA shows nothing alarming. Tier 2 runs over weeks 3–6 — the Emulate Liver-Chip confirms moderate clearance and gives us a clean DILI biomarker panel; three patient-derived organoid lines from HCMI all respond at IC50s within a factor of two. The kidney chip shows mild OAT3 inhibition — flagged but not killing. Tissue-selectivity matrix shows the compound concentrates twelve-fold in target tissue versus the next-highest tissue. AKT-0421 graduates to L4.</w:t>
      </w:r>
    </w:p>
    <w:p>
      <w:pPr>
        <w:spacing w:after="160"/>
        <w:jc w:val="left"/>
      </w:pPr>
      <w:r>
        <w:t xml:space="preserve">L4 simulates the full ICH M3(R2) battery first. Virtual rat predicts a NOAEL of 50 mg/kg/day; virtual dog predicts 15 mg/kg/day. Virtual cardiovascular IRA comes back "low risk." That seeds the Bayesian prior for the wet studies, which an external CRO runs over months 2–4. The wet results land within 1.2× of the simulated prior — close enough that the twin's confidence in this kernel goes up. SEND datasets stream back domain-by-domain; Pinnacle 21 reports zero reject errors.</w:t>
      </w:r>
    </w:p>
    <w:p>
      <w:pPr>
        <w:spacing w:after="160"/>
        <w:jc w:val="left"/>
      </w:pPr>
      <w:r>
        <w:t xml:space="preserve">Six months in, the IND-enabling package is assembled. CTD Module 4 sections 4.2.1, 4.2.2, 4.2.3 are all complete. The MRSD calculation chain — dog NOAEL of 15 mg/kg → HED of 8.3 mg/kg → divide by safety factor of 10 → MRSD of 50 mg in a 60 kg adult — is auditable end-to-end. The S7B integrated risk verdict is "low" with multi-layer evidence (L1 multi-channel patch, L3 hiPSC-CM MEA, L4 dog telemetry — all consistent).</w:t>
      </w:r>
    </w:p>
    <w:p>
      <w:pPr>
        <w:spacing w:after="160"/>
        <w:jc w:val="left"/>
      </w:pPr>
      <w:r>
        <w:t xml:space="preserve">The package is hashed (SHA-256), signed (Ed25519, key registered in HAIOps KMS), and POSTed to /v1/handoff/packages with an Idempotency-Key. Three seconds later, the response comes back: status received, validation pass, ICH M3(R2) readiness 0.93. Clinical now owns AKT-0421. Pre-Clinical archives the package immutably. The model registry logs which L1, L2, L3, and L4 versions contributed.</w:t>
      </w:r>
    </w:p>
    <w:p>
      <w:pPr>
        <w:spacing w:after="160"/>
        <w:jc w:val="left"/>
      </w:pPr>
      <w:r>
        <w:t xml:space="preserve">Two months later, Clinical's Phase 1 simulation comes back with a predicted clearance of 9.1 mL/min/kg — about 2.2× higher than what L4 had projected. Clinical opens a discrepancy. The L2 PBPK kernel gets a calibration-feedback event. The L2 team reviews the kernel's training distribution, finds that compounds with this transporter profile were under-represented, and ships a recalibrated v4.2.2 the following sprint. Every future package using that kernel carries the corrected prediction.</w:t>
      </w:r>
    </w:p>
    <w:p>
      <w:pPr>
        <w:spacing w:after="160"/>
        <w:jc w:val="left"/>
      </w:pPr>
      <w:r>
        <w:t xml:space="preserve">That's one compound. The redesign is what makes that journey reproducible across every compound that follows it.</w:t>
      </w:r>
    </w:p>
    <w:p>
      <w:pPr>
        <w:spacing w:after="160"/>
      </w:pPr>
      <w:r>
        <w:t xml:space="preserve"/>
      </w:r>
    </w:p>
    <w:p>
      <w:pPr>
        <w:spacing w:after="160"/>
        <w:jc w:val="left"/>
      </w:pPr>
      <w:r>
        <w:t xml:space="preserve">Now go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AKTHealth · HakaseAI · April 2026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The Story of the Redesign — Hakase Bio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the Redesign — How Hakase Bio Got Its Four Layers</dc:title>
  <dc:creator>AKTHealth — HakaseAI</dc:creator>
  <dc:description>Plain-language engineer-friendly walkthrough of the 4-layer pre-clinical twin redesign. April 2026.</dc:description>
  <cp:lastModifiedBy>Un-named</cp:lastModifiedBy>
  <cp:revision>1</cp:revision>
  <dcterms:created xsi:type="dcterms:W3CDTF">2026-04-30T07:59:30.224Z</dcterms:created>
  <dcterms:modified xsi:type="dcterms:W3CDTF">2026-04-30T07:59:30.228Z</dcterms:modified>
</cp:coreProperties>
</file>

<file path=docProps/custom.xml><?xml version="1.0" encoding="utf-8"?>
<Properties xmlns="http://schemas.openxmlformats.org/officeDocument/2006/custom-properties" xmlns:vt="http://schemas.openxmlformats.org/officeDocument/2006/docPropsVTypes"/>
</file>