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2C3E50"/>
        </w:rPr>
        <w:t>Литературный обзор</w:t>
      </w:r>
    </w:p>
    <w:p>
      <w:r>
        <w:rPr>
          <w:rFonts w:ascii="Calibri" w:hAnsi="Calibri"/>
          <w:b w:val="0"/>
          <w:sz w:val="24"/>
        </w:rPr>
        <w:t>Проект: мультимодальная ранняя диагностика болезни Альцгеймера</w:t>
      </w:r>
    </w:p>
    <w:p/>
    <w:p>
      <w:pPr>
        <w:pStyle w:val="Heading2"/>
        <w:jc w:val="left"/>
      </w:pPr>
      <w:r>
        <w:rPr>
          <w:rFonts w:ascii="Calibri" w:hAnsi="Calibri"/>
          <w:color w:val="2C3E50"/>
        </w:rPr>
        <w:t>1. Болезнь Альцгеймера: что это и почему важна ранняя диагностика</w:t>
      </w:r>
    </w:p>
    <w:p>
      <w:r>
        <w:rPr>
          <w:rFonts w:ascii="Calibri" w:hAnsi="Calibri"/>
          <w:b w:val="0"/>
          <w:sz w:val="24"/>
        </w:rPr>
        <w:t>Болезнь Альцгеймера (БА) — наиболее распространённая форма деменции, поражающая более 55 миллионов человек по всему миру (ВОЗ, 2023). Заболевание характеризуется накоплением амилоид-бета бляшек между нейронами и нейрофибриллярных клубков тау-белка внутри нейронов, что приводит к их гибели.</w:t>
      </w:r>
    </w:p>
    <w:p>
      <w:r>
        <w:rPr>
          <w:rFonts w:ascii="Calibri" w:hAnsi="Calibri"/>
          <w:b/>
          <w:color w:val="2C3E50"/>
          <w:sz w:val="24"/>
        </w:rPr>
        <w:t xml:space="preserve">Ключевая проблема: </w:t>
      </w:r>
      <w:r>
        <w:rPr>
          <w:rFonts w:ascii="Calibri" w:hAnsi="Calibri"/>
          <w:b w:val="0"/>
          <w:sz w:val="24"/>
        </w:rPr>
        <w:t>первые патологические изменения в мозге начинаются за 10–20 лет до появления клинических симптомов. К моменту постановки диагноза необратимо утрачено 30–40% нейронов гиппокампа.</w:t>
      </w:r>
    </w:p>
    <w:p>
      <w:r>
        <w:rPr>
          <w:rFonts w:ascii="Calibri" w:hAnsi="Calibri"/>
          <w:b/>
          <w:color w:val="2C3E50"/>
          <w:sz w:val="24"/>
        </w:rPr>
        <w:t>Стадии заболевания: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CN (Cognitively Normal) — норма, патологические изменения ещё не влияют на когнитивные функции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MCI (Mild Cognitive Impairment) — лёгкие когнитивные нарушения, переходная стадия; 15% пациентов с MCI ежегодно переходят в стадию деменции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AD (Alzheimer's Disease) — деменция, необратимая потеря когнитивных функций</w:t>
      </w:r>
    </w:p>
    <w:p>
      <w:r>
        <w:rPr>
          <w:rFonts w:ascii="Calibri" w:hAnsi="Calibri"/>
          <w:b w:val="0"/>
          <w:sz w:val="24"/>
        </w:rPr>
        <w:t>Именно стадия MCI является «окном возможностей» для терапевтического вмешательства.</w:t>
      </w:r>
    </w:p>
    <w:p>
      <w:r>
        <w:rPr>
          <w:rFonts w:ascii="Calibri" w:hAnsi="Calibri"/>
          <w:b/>
          <w:color w:val="2C3E50"/>
          <w:sz w:val="24"/>
        </w:rPr>
        <w:t>Ключевые работы: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Selkoe D.J., Hardy J. (2016). The amyloid hypothesis of Alzheimer's disease at 25 years. EMBO Mol Med, 8(6), 595–608.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Jack C.R. et al. (2018). NIA-AA Research Framework: biomarkers of Alzheimer's continuum. Alzheimers Dement, 14(4), 535–562.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Prince M. et al. (2023). World Alzheimer Report. Alzheimer's Disease International.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2. Датасет OASIS (Open Access Series of Imaging Studies)</w:t>
      </w:r>
    </w:p>
    <w:p>
      <w:r>
        <w:rPr>
          <w:rFonts w:ascii="Calibri" w:hAnsi="Calibri"/>
          <w:b w:val="0"/>
          <w:sz w:val="24"/>
        </w:rPr>
        <w:t>В данном проекте используются два открытых датасета серии OASIS, доступных на платформе Kaggle без ограничений доступа.</w:t>
      </w:r>
    </w:p>
    <w:p>
      <w:r>
        <w:rPr>
          <w:rFonts w:ascii="Calibri" w:hAnsi="Calibri"/>
          <w:b/>
          <w:color w:val="2C3E50"/>
          <w:sz w:val="24"/>
        </w:rPr>
        <w:t xml:space="preserve">OASIS-1 (Cross-Sectional): </w:t>
      </w:r>
      <w:r>
        <w:rPr>
          <w:rFonts w:ascii="Calibri" w:hAnsi="Calibri"/>
          <w:b w:val="0"/>
          <w:sz w:val="24"/>
        </w:rPr>
        <w:t>Marcus D.S. et al. (2007). Journal of Cognitive Neuroscience, 19(9), 1498–1507.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436 участников, возраст 18–96 лет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Однократный визит, поперечное исследование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Включает МРТ + когнитивные тесты + демографию</w:t>
      </w:r>
    </w:p>
    <w:p>
      <w:r>
        <w:rPr>
          <w:rFonts w:ascii="Calibri" w:hAnsi="Calibri"/>
          <w:b/>
          <w:color w:val="2C3E50"/>
          <w:sz w:val="24"/>
        </w:rPr>
        <w:t xml:space="preserve">OASIS-2 (Longitudinal): </w:t>
      </w:r>
      <w:r>
        <w:rPr>
          <w:rFonts w:ascii="Calibri" w:hAnsi="Calibri"/>
          <w:b w:val="0"/>
          <w:sz w:val="24"/>
        </w:rPr>
        <w:t>Marcus D.S. et al. (2010). Journal of Cognitive Neuroscience, 22(12), 2677–2684.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150 участников старше 60 лет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Повторные визиты (2+ сессии), продольное наблюдение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Включает диагноз (Nondemented / Converted / Demented)</w:t>
      </w:r>
    </w:p>
    <w:p>
      <w:r>
        <w:rPr>
          <w:rFonts w:ascii="Calibri" w:hAnsi="Calibri"/>
          <w:b/>
          <w:color w:val="2C3E50"/>
          <w:sz w:val="24"/>
        </w:rPr>
        <w:t xml:space="preserve">Ключевое преимущество: </w:t>
      </w:r>
      <w:r>
        <w:rPr>
          <w:rFonts w:ascii="Calibri" w:hAnsi="Calibri"/>
          <w:b w:val="0"/>
          <w:sz w:val="24"/>
        </w:rPr>
        <w:t>МРТ и клинические данные собраны от одного пациента на одном визите — это гарантирует корректное мультимодальное обучение без ошибки несовпадения модальностей.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3. МРТ-биомаркеры болезни Альцгеймера</w:t>
      </w:r>
    </w:p>
    <w:p>
      <w:r>
        <w:rPr>
          <w:rFonts w:ascii="Calibri" w:hAnsi="Calibri"/>
          <w:b w:val="0"/>
          <w:sz w:val="24"/>
        </w:rPr>
        <w:t>Структурная МРТ (T1-взвешенная) позволяет количественно оценить атрофию мозговых структур. Программа FreeSurfer (Fischl B., 2012) автоматически сегментирует МРТ-снимки без ручной разметки.</w:t>
      </w:r>
    </w:p>
    <w:p>
      <w:r>
        <w:rPr>
          <w:rFonts w:ascii="Calibri" w:hAnsi="Calibri"/>
          <w:b/>
          <w:color w:val="2C3E50"/>
          <w:sz w:val="24"/>
        </w:rPr>
        <w:t>Три ключевых признака: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Признак</w:t>
            </w:r>
          </w:p>
        </w:tc>
        <w:tc>
          <w:tcPr>
            <w:tcW w:type="dxa" w:w="288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Расшифровка</w:t>
            </w:r>
          </w:p>
        </w:tc>
        <w:tc>
          <w:tcPr>
            <w:tcW w:type="dxa" w:w="288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Изменение при 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eTIV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Estimated Total Intracranial Volume — объём черепа (мм³)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Стабильный, используется для нормализации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nWBV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Normalized Whole Brain Volume — нормированный объём мозга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Снижается: CN &gt; MCI &gt; 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ASF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Atlas Scaling Factor — коэффициент масштабирования к атласу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Изменяется обратно пропорционально eTIV</w:t>
            </w:r>
          </w:p>
        </w:tc>
      </w:tr>
    </w:tbl>
    <w:p/>
    <w:p>
      <w:r>
        <w:rPr>
          <w:rFonts w:ascii="Calibri" w:hAnsi="Calibri"/>
          <w:b/>
          <w:color w:val="2C3E50"/>
          <w:sz w:val="24"/>
        </w:rPr>
        <w:t xml:space="preserve">Динамика nWBV: </w:t>
      </w:r>
      <w:r>
        <w:rPr>
          <w:rFonts w:ascii="Calibri" w:hAnsi="Calibri"/>
          <w:b w:val="0"/>
          <w:sz w:val="24"/>
        </w:rPr>
        <w:t>у пациентов с MCI объём мозга снижается в среднем на 0.5–1% в год, при AD — на 1.5–2% (Fox N.C. et al., 1999, Brain, 122, 2327–2337).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4. Клинические биомаркеры</w:t>
      </w:r>
    </w:p>
    <w:p>
      <w:r>
        <w:rPr>
          <w:rFonts w:ascii="Calibri" w:hAnsi="Calibri"/>
          <w:b/>
          <w:color w:val="2C3E50"/>
          <w:sz w:val="24"/>
        </w:rPr>
        <w:t xml:space="preserve">MMSE (Mini-Mental State Examination) — </w:t>
      </w:r>
      <w:r>
        <w:rPr>
          <w:rFonts w:ascii="Calibri" w:hAnsi="Calibri"/>
          <w:b w:val="0"/>
          <w:sz w:val="24"/>
        </w:rPr>
        <w:t>Folstein M.F. et al. (1975). Нейропсихологический тест, оценивает память, ориентацию, внимание, речь по шкале 0–30.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Балл</w:t>
            </w:r>
          </w:p>
        </w:tc>
        <w:tc>
          <w:tcPr>
            <w:tcW w:type="dxa" w:w="432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Интерпретация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27–30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Норма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24–26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Лёгкие нарушения (MCI)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20–23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Умеренная деменция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 20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Выраженная деменция</w:t>
            </w:r>
          </w:p>
        </w:tc>
      </w:tr>
    </w:tbl>
    <w:p/>
    <w:p>
      <w:r>
        <w:rPr>
          <w:rFonts w:ascii="Calibri" w:hAnsi="Calibri"/>
          <w:b/>
          <w:color w:val="2C3E50"/>
          <w:sz w:val="24"/>
        </w:rPr>
        <w:t xml:space="preserve">CDR (Clinical Dementia Rating) — </w:t>
      </w:r>
      <w:r>
        <w:rPr>
          <w:rFonts w:ascii="Calibri" w:hAnsi="Calibri"/>
          <w:b w:val="0"/>
          <w:sz w:val="24"/>
        </w:rPr>
        <w:t>Hughes C.P. et al. (1982). Клиническая шкала по 6 доменам.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CDR</w:t>
            </w:r>
          </w:p>
        </w:tc>
        <w:tc>
          <w:tcPr>
            <w:tcW w:type="dxa" w:w="432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Интерпретация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Норма (CN)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0.5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Сомнительная деменция (MCI)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Лёгкая деменция (AD)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2–3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Умеренная / тяжёлая деменция</w:t>
            </w:r>
          </w:p>
        </w:tc>
      </w:tr>
    </w:tbl>
    <w:p/>
    <w:p>
      <w:r>
        <w:rPr>
          <w:rFonts w:ascii="Calibri" w:hAnsi="Calibri"/>
          <w:b w:val="0"/>
          <w:sz w:val="24"/>
        </w:rPr>
        <w:t>Дополнительные признаки: возраст, пол, уровень образования, SES. Образование — защитный фактор: когнитивный резерв (Stern Y., 2012, Lancet Neurol).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5. Мультимодальный подход к диагностике AD</w:t>
      </w:r>
    </w:p>
    <w:p>
      <w:r>
        <w:rPr>
          <w:rFonts w:ascii="Calibri" w:hAnsi="Calibri"/>
          <w:b w:val="0"/>
          <w:sz w:val="24"/>
        </w:rPr>
        <w:t>Использование нескольких источников данных повышает точность диагностики. Каждая модальность отражает разные аспекты патологии: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МРТ → структурные изменения мозга (анатомия)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Клиника → функциональные нарушения (поведение, когниция)</w:t>
      </w:r>
    </w:p>
    <w:p>
      <w:r>
        <w:rPr>
          <w:rFonts w:ascii="Calibri" w:hAnsi="Calibri"/>
          <w:b w:val="0"/>
          <w:sz w:val="24"/>
        </w:rPr>
        <w:t>Эти два источника частично независимы: у одних пациентов атрофия обнаруживается раньше симптомов, у других — наоборот.</w:t>
      </w:r>
    </w:p>
    <w:p>
      <w:r>
        <w:rPr>
          <w:rFonts w:ascii="Calibri" w:hAnsi="Calibri"/>
          <w:b/>
          <w:color w:val="2C3E50"/>
          <w:sz w:val="24"/>
        </w:rPr>
        <w:t>Ключевые работы: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Zhang D. et al. (2011). Multimodal classification of AD. NeuroImage, 55(3), 856–867. — AUC = 0.93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Spasov S. et al. (2019). Deep learning for MCI to AD conversion. NeuroImage, 189, 276–287. — AUC = 0.925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Liu M. et al. (2018). Multi-modality cascaded CNNs. Neuroinformatics, 16, 295–308.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6. Архитектура нейросети: двуголовая модель с Gated Fusion</w:t>
      </w:r>
    </w:p>
    <w:p>
      <w:pPr>
        <w:pStyle w:val="Heading3"/>
        <w:jc w:val="left"/>
      </w:pPr>
      <w:r>
        <w:rPr>
          <w:rFonts w:ascii="Calibri" w:hAnsi="Calibri"/>
          <w:color w:val="2C3E50"/>
        </w:rPr>
        <w:t>6.1 Общая архитектура</w:t>
      </w:r>
    </w:p>
    <w:p>
      <w:r>
        <w:rPr>
          <w:rFonts w:ascii="Calibri" w:hAnsi="Calibri"/>
          <w:b w:val="0"/>
          <w:sz w:val="24"/>
        </w:rPr>
        <w:t>В проекте реализована двуголовая нейросеть MultimodalADNet: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Голова 1 (MRIEncoder): обрабатывает МРТ-признаки (eTIV, nWBV, ASF)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Голова 2 (ClinicalEncoder): обрабатывает клинические данные (возраст, пол, образование, SES, MMSE, CDR)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Gated Fusion: объединяет эмбеддинги двух голов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Классификатор: выдаёт вероятности CN / MCI / AD</w:t>
      </w:r>
    </w:p>
    <w:p>
      <w:pPr>
        <w:pStyle w:val="Heading3"/>
        <w:jc w:val="left"/>
      </w:pPr>
      <w:r>
        <w:rPr>
          <w:rFonts w:ascii="Calibri" w:hAnsi="Calibri"/>
          <w:color w:val="2C3E50"/>
        </w:rPr>
        <w:t>6.2 Gated Fusion</w:t>
      </w:r>
    </w:p>
    <w:p>
      <w:r>
        <w:rPr>
          <w:rFonts w:ascii="Calibri" w:hAnsi="Calibri"/>
          <w:b w:val="0"/>
          <w:sz w:val="24"/>
        </w:rPr>
        <w:t>Механизм Gated Fusion (Arevalo J. et al., 2017, arXiv 1702.01992):</w:t>
      </w:r>
    </w:p>
    <w:p>
      <w:pPr>
        <w:spacing w:before="80" w:after="80"/>
        <w:ind w:left="567"/>
      </w:pPr>
      <w:r>
        <w:rPr>
          <w:rFonts w:ascii="Courier New" w:hAnsi="Courier New"/>
          <w:b w:val="0"/>
          <w:color w:val="333333"/>
          <w:sz w:val="20"/>
        </w:rPr>
        <w:t>gate = sigmoid(W · [e_MRI ; e_клиника])</w:t>
        <w:br/>
        <w:t>fused = gate · e_MRI + (1 − gate) · e_клиника</w:t>
      </w:r>
    </w:p>
    <w:p>
      <w:r>
        <w:rPr>
          <w:rFonts w:ascii="Calibri" w:hAnsi="Calibri"/>
          <w:b w:val="0"/>
          <w:sz w:val="24"/>
        </w:rPr>
        <w:t>Gate — вектор значений от 0 до 1, вычисляемый отдельно для каждого пациента: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gate → 1: модель доверяет МРТ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gate → 0: модель доверяет клиническим данным</w:t>
      </w:r>
    </w:p>
    <w:p>
      <w:r>
        <w:rPr>
          <w:rFonts w:ascii="Calibri" w:hAnsi="Calibri"/>
          <w:b/>
          <w:color w:val="2C3E50"/>
          <w:sz w:val="24"/>
        </w:rPr>
        <w:t xml:space="preserve">Биологическое обоснование: </w:t>
      </w:r>
      <w:r>
        <w:rPr>
          <w:rFonts w:ascii="Calibri" w:hAnsi="Calibri"/>
          <w:b w:val="0"/>
          <w:sz w:val="24"/>
        </w:rPr>
        <w:t>на ранней стадии (MCI) МРТ-изменения могут быть незначительны, тогда как клинические симптомы более выражены — и наоборот.</w:t>
      </w:r>
    </w:p>
    <w:p>
      <w:pPr>
        <w:pStyle w:val="Heading3"/>
        <w:jc w:val="left"/>
      </w:pPr>
      <w:r>
        <w:rPr>
          <w:rFonts w:ascii="Calibri" w:hAnsi="Calibri"/>
          <w:color w:val="2C3E50"/>
        </w:rPr>
        <w:t>6.3 Регуляризация: BatchNorm и Dropout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Batch Normalization (Ioffe, Szegedy, 2015) — нормализует активации, ускоряет обучение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Dropout(0.3) (Srivastava et al., 2014) — случайно выключает 30% нейронов, предотвращает переобучение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7. Предотвращение переобучения</w:t>
      </w:r>
    </w:p>
    <w:p>
      <w:r>
        <w:rPr>
          <w:rFonts w:ascii="Calibri" w:hAnsi="Calibri"/>
          <w:b/>
          <w:color w:val="2C3E50"/>
          <w:sz w:val="24"/>
        </w:rPr>
        <w:t xml:space="preserve">Проблема: </w:t>
      </w:r>
      <w:r>
        <w:rPr>
          <w:rFonts w:ascii="Calibri" w:hAnsi="Calibri"/>
          <w:b w:val="0"/>
          <w:sz w:val="24"/>
        </w:rPr>
        <w:t>медицинские датасеты малы (~500 пациентов), а модели имеют тысячи параметров — высокий риск переобучения.</w:t>
      </w:r>
    </w:p>
    <w:p>
      <w:r>
        <w:rPr>
          <w:rFonts w:ascii="Calibri" w:hAnsi="Calibri"/>
          <w:b/>
          <w:color w:val="2C3E50"/>
          <w:sz w:val="24"/>
        </w:rPr>
        <w:t xml:space="preserve">Donor-level split (главная мера): </w:t>
      </w:r>
      <w:r>
        <w:rPr>
          <w:rFonts w:ascii="Calibri" w:hAnsi="Calibri"/>
          <w:b w:val="0"/>
          <w:sz w:val="24"/>
        </w:rPr>
        <w:t>все визиты одного пациента попадают только в train или только в test. Без этого модель запоминает конкретных людей, а не паттерны болезни.</w:t>
      </w:r>
    </w:p>
    <w:p>
      <w:r>
        <w:rPr>
          <w:rFonts w:ascii="Calibri" w:hAnsi="Calibri"/>
          <w:b/>
          <w:color w:val="2C3E50"/>
          <w:sz w:val="24"/>
        </w:rPr>
        <w:t>Дополнительные меры: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Weighted CrossEntropyLoss — компенсация дисбаланса классов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L2-регуляризация (weight_decay = 1e-4)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Dropout(0.3) в каждом слое</w:t>
      </w:r>
    </w:p>
    <w:p>
      <w:pPr>
        <w:pStyle w:val="ListBullet"/>
        <w:ind w:left="283"/>
      </w:pPr>
      <w:r>
        <w:rPr>
          <w:rFonts w:ascii="Calibri" w:hAnsi="Calibri"/>
          <w:b w:val="0"/>
          <w:sz w:val="24"/>
        </w:rPr>
        <w:t>BatchNorm для стабилизации</w:t>
      </w:r>
    </w:p>
    <w:p>
      <w:r>
        <w:rPr>
          <w:rFonts w:ascii="Calibri" w:hAnsi="Calibri"/>
          <w:b w:val="0"/>
          <w:sz w:val="24"/>
        </w:rPr>
        <w:t>Источник: Varoquaux G. (2018). Cross-validation failure. NeuroImage, 180, 68–77.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8. Метрики качества классификации</w:t>
      </w:r>
    </w:p>
    <w:p>
      <w:r>
        <w:rPr>
          <w:rFonts w:ascii="Calibri" w:hAnsi="Calibri"/>
          <w:b/>
          <w:color w:val="2C3E50"/>
          <w:sz w:val="24"/>
        </w:rPr>
        <w:t xml:space="preserve">ROC-AUC: </w:t>
      </w:r>
      <w:r>
        <w:rPr>
          <w:rFonts w:ascii="Calibri" w:hAnsi="Calibri"/>
          <w:b w:val="0"/>
          <w:sz w:val="24"/>
        </w:rPr>
        <w:t>стандартная метрика в медицинской диагностике. AUC = 1.0 — идеальная модель, AUC = 0.5 — случайное угадывание, AUC &gt; 0.85 — клинически приемлемо.</w:t>
      </w:r>
    </w:p>
    <w:p>
      <w:r>
        <w:rPr>
          <w:rFonts w:ascii="Calibri" w:hAnsi="Calibri"/>
          <w:b w:val="0"/>
          <w:sz w:val="24"/>
        </w:rPr>
        <w:t>Для 3 классов используется macro OvR: среднее AUC по задачам CN-vs-rest, MCI-vs-rest, AD-vs-rest.</w:t>
      </w:r>
    </w:p>
    <w:p>
      <w:r>
        <w:rPr>
          <w:rFonts w:ascii="Calibri" w:hAnsi="Calibri"/>
          <w:b/>
          <w:color w:val="2C3E50"/>
          <w:sz w:val="24"/>
        </w:rPr>
        <w:t xml:space="preserve">Confusion Matrix: </w:t>
      </w:r>
      <w:r>
        <w:rPr>
          <w:rFonts w:ascii="Calibri" w:hAnsi="Calibri"/>
          <w:b w:val="0"/>
          <w:sz w:val="24"/>
        </w:rPr>
        <w:t>показывает распределение предсказаний. Нормированная матрица: значение = доля правильных ответов для класса.</w:t>
      </w:r>
    </w:p>
    <w:p>
      <w:r>
        <w:rPr>
          <w:rFonts w:ascii="Calibri" w:hAnsi="Calibri"/>
          <w:b/>
          <w:color w:val="2C3E50"/>
          <w:sz w:val="24"/>
        </w:rPr>
        <w:t xml:space="preserve">Accuracy: </w:t>
      </w:r>
      <w:r>
        <w:rPr>
          <w:rFonts w:ascii="Calibri" w:hAnsi="Calibri"/>
          <w:b w:val="0"/>
          <w:sz w:val="24"/>
        </w:rPr>
        <w:t>доля правильных ответов. Менее информативна при дисбалансе классов, чем AUC.</w:t>
      </w:r>
    </w:p>
    <w:p>
      <w:pPr>
        <w:pStyle w:val="Heading2"/>
        <w:jc w:val="left"/>
      </w:pPr>
      <w:r>
        <w:rPr>
          <w:rFonts w:ascii="Calibri" w:hAnsi="Calibri"/>
          <w:color w:val="2C3E50"/>
        </w:rPr>
        <w:t>9. Визуализация результатов</w:t>
      </w:r>
    </w:p>
    <w:p>
      <w:r>
        <w:rPr>
          <w:rFonts w:ascii="Calibri" w:hAnsi="Calibri"/>
          <w:b w:val="0"/>
          <w:sz w:val="24"/>
        </w:rPr>
        <w:t>В проекте реализованы 7 визуализаций: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№</w:t>
            </w:r>
          </w:p>
        </w:tc>
        <w:tc>
          <w:tcPr>
            <w:tcW w:type="dxa" w:w="288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Файл</w:t>
            </w:r>
          </w:p>
        </w:tc>
        <w:tc>
          <w:tcPr>
            <w:tcW w:type="dxa" w:w="2880"/>
            <w:shd w:fill="2C3E50" w:color="FFFFF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Что показывает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training_loss.png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Кривая обучения — сходимость без переобучения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multihead_roc.png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ROC: Fusion vs МРТ-only vs Клиника-only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confusion_matrix.png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Матрица ошибок CN/MCI/AD (нормированная)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gate_weights.png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Gate-значения по диагнозам — интерпретируемость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roi_importance.png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Важность МРТ-признаков (barplot)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biomarker_trajectory.png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Динамика биомаркеров CN → MCI → 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fusion_umap.png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UMAP-проекция эмбеддингов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C3E50"/>
        </w:rPr>
        <w:t>10. Дополнительный анализ: scRNA-seq (GSE138852)</w:t>
      </w:r>
    </w:p>
    <w:p>
      <w:r>
        <w:rPr>
          <w:rFonts w:ascii="Calibri" w:hAnsi="Calibri"/>
          <w:b w:val="0"/>
          <w:sz w:val="24"/>
        </w:rPr>
        <w:t>Параллельно реализован исследовательский анализ данных одноклеточного РНК-секвенирования.</w:t>
      </w:r>
    </w:p>
    <w:p>
      <w:r>
        <w:rPr>
          <w:rFonts w:ascii="Calibri" w:hAnsi="Calibri"/>
          <w:b/>
          <w:color w:val="2C3E50"/>
          <w:sz w:val="24"/>
        </w:rPr>
        <w:t xml:space="preserve">Датасет GSE138852: </w:t>
      </w:r>
      <w:r>
        <w:rPr>
          <w:rFonts w:ascii="Calibri" w:hAnsi="Calibri"/>
          <w:b w:val="0"/>
          <w:sz w:val="24"/>
        </w:rPr>
        <w:t>Mathys H. et al. (2019). Nature, 570, 332–337. 80 пациентов, 80 000+ клеток мозга, энторинальная кора.</w:t>
      </w:r>
    </w:p>
    <w:p>
      <w:r>
        <w:rPr>
          <w:rFonts w:ascii="Calibri" w:hAnsi="Calibri"/>
          <w:b/>
          <w:color w:val="2C3E50"/>
          <w:sz w:val="24"/>
        </w:rPr>
        <w:t xml:space="preserve">Метод: </w:t>
      </w:r>
      <w:r>
        <w:rPr>
          <w:rFonts w:ascii="Calibri" w:hAnsi="Calibri"/>
          <w:b w:val="0"/>
          <w:sz w:val="24"/>
        </w:rPr>
        <w:t>дифференциальная экспрессия генов — Mann-Whitney U + поправка Бенджамини–Хохберга (FDR &lt; 0.05, |log2FC| &gt; 1.0).</w:t>
      </w:r>
    </w:p>
    <w:p>
      <w:r>
        <w:rPr>
          <w:rFonts w:ascii="Calibri" w:hAnsi="Calibri"/>
          <w:b/>
          <w:color w:val="2C3E50"/>
          <w:sz w:val="24"/>
        </w:rPr>
        <w:t xml:space="preserve">Результат: </w:t>
      </w:r>
      <w:r>
        <w:rPr>
          <w:rFonts w:ascii="Calibri" w:hAnsi="Calibri"/>
          <w:b w:val="0"/>
          <w:sz w:val="24"/>
        </w:rPr>
        <w:t>наибольшее число значимо изменённых генов обнаружено в нейронах и микроглии, что согласуется с данными о ключевой роли нейровоспаления при 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Литературный обзор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