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2C3E50"/>
        </w:rPr>
        <w:t>Литературный обзор</w:t>
      </w:r>
    </w:p>
    <w:p>
      <w:r>
        <w:rPr>
          <w:rFonts w:ascii="Calibri" w:hAnsi="Calibri"/>
          <w:b w:val="0"/>
          <w:sz w:val="24"/>
        </w:rPr>
        <w:t>Стадийная диагностика болезни Альцгеймера по экспрессии генов крови с помощью методов машинного обучения</w:t>
      </w:r>
    </w:p>
    <w:p/>
    <w:p>
      <w:pPr>
        <w:pStyle w:val="Heading2"/>
      </w:pPr>
      <w:r>
        <w:rPr>
          <w:rFonts w:ascii="Calibri" w:hAnsi="Calibri"/>
          <w:color w:val="2C3E50"/>
        </w:rPr>
        <w:t>1. Болезнь Альцгеймера: масштаб проблемы и патогенез</w:t>
      </w:r>
    </w:p>
    <w:p>
      <w:r>
        <w:rPr>
          <w:rFonts w:ascii="Calibri" w:hAnsi="Calibri"/>
          <w:b w:val="0"/>
          <w:sz w:val="24"/>
        </w:rPr>
        <w:t>Болезнь Альцгеймера — наиболее распространённая форма деменции: по данным ВОЗ (2023) деменцией страдают более 55 млн человек, на БА приходится 60–70% случаев. Согласно амилоидной гипотезе (Selkoe, Hardy, 2016), ключевое звено патогенеза — накопление бляшек бета-амилоида вне нейронов и клубков тау-белка внутри них. Braak и Braak (1991) показали, что патология закономерно распространяется от энторинальной коры и гиппокампа к новой коре; современное нейропатологическое описание дано DeTure и Dickson (2019).</w:t>
      </w:r>
    </w:p>
    <w:p>
      <w:r>
        <w:rPr>
          <w:rFonts w:ascii="Calibri" w:hAnsi="Calibri"/>
          <w:b w:val="0"/>
          <w:sz w:val="24"/>
        </w:rPr>
        <w:t>Молекулярные изменения начинаются за 10–20 лет до симптомов. На этом основана биомаркерная классификация NIA-AA (Jack et al., 2018): болезнь — непрерывный континуум от асимптоматической стадии через лёгкие когнитивные нарушения (MCI) к деменции. Отсюда центральная задача: выявлять болезнь в «окне» MCI.</w:t>
      </w:r>
    </w:p>
    <w:p>
      <w:pPr>
        <w:pStyle w:val="Heading2"/>
      </w:pPr>
      <w:r>
        <w:rPr>
          <w:rFonts w:ascii="Calibri" w:hAnsi="Calibri"/>
          <w:color w:val="2C3E50"/>
        </w:rPr>
        <w:t>2. Клинические стадии и нейропсихологические шкалы</w:t>
      </w:r>
    </w:p>
    <w:p>
      <w:r>
        <w:rPr>
          <w:rFonts w:ascii="Calibri" w:hAnsi="Calibri"/>
          <w:b w:val="0"/>
          <w:sz w:val="24"/>
        </w:rPr>
        <w:t>Концепцию MCI как переходной стадии систематизировал Petersen с соавт. (2001); ежегодная конверсия MCI в деменцию достигает 10–15%. Стадию деменции устанавливают шкалы MMSE (Folstein et al., 1975; 0–30 баллов) и CDR (Hughes et al., 1982; Morris, 1993). Результаты тестов зависят от образования и когнитивного резерва (Stern, 2012), поэтому объективные молекулярные биомаркеры необходимы как дополнение.</w:t>
      </w:r>
    </w:p>
    <w:p>
      <w:pPr>
        <w:pStyle w:val="Heading2"/>
      </w:pPr>
      <w:r>
        <w:rPr>
          <w:rFonts w:ascii="Calibri" w:hAnsi="Calibri"/>
          <w:color w:val="2C3E50"/>
        </w:rPr>
        <w:t>3. Почему кровь: транскриптомика периферической крови при БА</w:t>
      </w:r>
    </w:p>
    <w:p>
      <w:r>
        <w:rPr>
          <w:rFonts w:ascii="Calibri" w:hAnsi="Calibri"/>
          <w:b w:val="0"/>
          <w:sz w:val="24"/>
        </w:rPr>
        <w:t>Существующие молекулярные биомаркеры БА требуют дорогих или инвазивных процедур: ПЭТ-сканирование, люмбальная пункция. Кровь же доступна у любого пациента при рутинном заборе, что делает её идеальным материалом для скрининга. Хотя нервная ткань отделена гематоэнцефалическим барьером, при БА в крови воспроизводимо меняется экспрессия сотен генов — отражение системного воспаления, окислительного стресса и энергетического дефицита.</w:t>
      </w:r>
    </w:p>
    <w:p>
      <w:r>
        <w:rPr>
          <w:rFonts w:ascii="Calibri" w:hAnsi="Calibri"/>
          <w:b/>
          <w:color w:val="2C3E50"/>
          <w:sz w:val="24"/>
        </w:rPr>
        <w:t xml:space="preserve">Ключевая работа: </w:t>
      </w:r>
      <w:r>
        <w:rPr>
          <w:rFonts w:ascii="Calibri" w:hAnsi="Calibri"/>
          <w:b w:val="0"/>
          <w:sz w:val="24"/>
        </w:rPr>
        <w:t>Lunnon с соавт. (2013) на когорте AddNeuroMed построили первый классификатор болезни Альцгеймера по экспрессии генов цельной крови и показали, что он помечает часть пациентов с MCI как «AD-подобных» — то есть кровь чувствительна к ранней стадии. Именно эта когорта (GSE63060, платформа Illumina HumanHT-12 V3.0) используется в настоящем проекте.</w:t>
      </w:r>
    </w:p>
    <w:p>
      <w:r>
        <w:rPr>
          <w:rFonts w:ascii="Calibri" w:hAnsi="Calibri"/>
          <w:b w:val="0"/>
          <w:sz w:val="24"/>
        </w:rPr>
        <w:t>Lee и Lee (2020) обучили ансамбль моделей на датасетах GSE63060/GSE63061 и подтвердили предсказуемость БА по крови (AUC порядка 0.8), отметив, что наибольшую устойчивость дают гены энергетического обмена и рибосомальные гены — та же биология, что воспроизводит и наша панель.</w:t>
      </w:r>
    </w:p>
    <w:p>
      <w:pPr>
        <w:pStyle w:val="Heading2"/>
      </w:pPr>
      <w:r>
        <w:rPr>
          <w:rFonts w:ascii="Calibri" w:hAnsi="Calibri"/>
          <w:color w:val="2C3E50"/>
        </w:rPr>
        <w:t>4. Терапевтическое окно: почему ранняя стадия решает всё</w:t>
      </w:r>
    </w:p>
    <w:p>
      <w:r>
        <w:rPr>
          <w:rFonts w:ascii="Calibri" w:hAnsi="Calibri"/>
          <w:b w:val="0"/>
          <w:sz w:val="24"/>
        </w:rPr>
        <w:t>Моноклональные антитела к бета-амилоиду леканемаб (van Dyck et al., 2023) и донанемаб (Sims et al., 2023) замедляют снижение когнитивных функций на 27–35%, но работают только на ранних стадиях (MCI и лёгкая деменция). Таким образом, ценность диагностического инструмента определяется тем, насколько рано и точно он разделяет норма / MCI / деменция.</w:t>
      </w:r>
    </w:p>
    <w:p>
      <w:pPr>
        <w:pStyle w:val="Heading2"/>
      </w:pPr>
      <w:r>
        <w:rPr>
          <w:rFonts w:ascii="Calibri" w:hAnsi="Calibri"/>
          <w:color w:val="2C3E50"/>
        </w:rPr>
        <w:t>5. Машинное обучение в диагностике БА</w:t>
      </w:r>
    </w:p>
    <w:p>
      <w:r>
        <w:rPr>
          <w:rFonts w:ascii="Calibri" w:hAnsi="Calibri"/>
          <w:b w:val="0"/>
          <w:sz w:val="24"/>
        </w:rPr>
        <w:t>Большинство работ по МО-диагностике БА опирается на нейровизуализацию (МРТ/ПЭТ) и закрытые данные ADNI: Zhang et al. (2011) — мультимодальный SVM (AUC 0.93); Liu et al. (2018) — каскадные CNN на МРТ+ПЭТ; Spasov et al. (2019) — параметр-эффективная 3D-CNN для прогноза конверсии MCI→AD.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Работа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Данные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Ограничение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Zhang et al., 2011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ADNI: МРТ+ПЭТ+ликвор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SVM с мультимодальным ядром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Дорогие/инвазивные модальности; закрытый доступ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Liu et al., 2018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ADNI: МРТ+ПЭТ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Каскадные CNN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Нужны полные снимки; слабая интерпретируемость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Spasov et al., 2019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ADNI: МРТ+ПЭТ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3D-CNN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ADNI; объёмные снимки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Lunnon et al., 2013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AddNeuroMed: кровь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Селекция генов + классификатор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2 класса (AD/контроль); без веб-инструмента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Lee, Lee, 2020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GSE63060/63061: кровь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Ансамбль МО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2 класса; нет персонального объяснения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Настоящая работа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GSE63060: кровь (открытые)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Логрегрессия по мини-панели + SHAP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Одна когорта; MCI трудный класс</w:t>
            </w:r>
          </w:p>
        </w:tc>
      </w:tr>
    </w:tbl>
    <w:p/>
    <w:p>
      <w:r>
        <w:rPr>
          <w:rFonts w:ascii="Calibri" w:hAnsi="Calibri"/>
          <w:b w:val="0"/>
          <w:sz w:val="24"/>
        </w:rPr>
        <w:t>Отдельная методологическая проблема — утечка данных. Varoquaux (2018) показал, что при малых выборках отбор признаков «по всем данным» до кросс-валидации завышает метрики и они не воспроизводятся. Поэтому в настоящем проекте отбор генов и масштабирование выполняются строго внутри обучающих фолдов, а «наивный» вариант приводится рядом для сравнения.</w:t>
      </w:r>
    </w:p>
    <w:p>
      <w:pPr>
        <w:pStyle w:val="Heading2"/>
      </w:pPr>
      <w:r>
        <w:rPr>
          <w:rFonts w:ascii="Calibri" w:hAnsi="Calibri"/>
          <w:color w:val="2C3E50"/>
        </w:rPr>
        <w:t>6. Интерпретируемость: линейная модель и SHAP</w:t>
      </w:r>
    </w:p>
    <w:p>
      <w:r>
        <w:rPr>
          <w:rFonts w:ascii="Calibri" w:hAnsi="Calibri"/>
          <w:b w:val="0"/>
          <w:sz w:val="24"/>
        </w:rPr>
        <w:t>В медицине «чёрный ящик» неприемлем: врач должен видеть, на каких данных основан вывод. Логистическая регрессия — базовая интерпретируемая модель: вклад каждого гена равен произведению его коэффициента на стандартизованное значение. Формально эти вклады совпадают с локальными SHAP-значениями (Lundberg, Lee, 2017), что позволяет единообразно показывать и персональное объяснение (вклады генов конкретного пациента), и глобальную важность гена панели. Малая панель (15 генов) дополнительно делает вероятный клинический тест дешёвым (qPCR-формат).</w:t>
      </w:r>
    </w:p>
    <w:p>
      <w:pPr>
        <w:pStyle w:val="Heading2"/>
      </w:pPr>
      <w:r>
        <w:rPr>
          <w:rFonts w:ascii="Calibri" w:hAnsi="Calibri"/>
          <w:color w:val="2C3E50"/>
        </w:rPr>
        <w:t>7. Выводы и постановка задачи</w:t>
      </w:r>
    </w:p>
    <w:p>
      <w:pPr>
        <w:pStyle w:val="ListBullet"/>
      </w:pPr>
      <w:r>
        <w:rPr>
          <w:rFonts w:ascii="Calibri" w:hAnsi="Calibri"/>
          <w:b w:val="0"/>
          <w:sz w:val="24"/>
        </w:rPr>
        <w:t>терапия БА работает только на ранних стадиях — нужна доступная диагностика стадии по крови;</w:t>
      </w:r>
    </w:p>
    <w:p>
      <w:pPr>
        <w:pStyle w:val="ListBullet"/>
      </w:pPr>
      <w:r>
        <w:rPr>
          <w:rFonts w:ascii="Calibri" w:hAnsi="Calibri"/>
          <w:b w:val="0"/>
          <w:sz w:val="24"/>
        </w:rPr>
        <w:t>литература подтверждает информативность экспрессии генов крови при БА (Lunnon 2013; Lee 2020), но работы либо бинарны (AD/контроль), либо не дают врачу объяснения и инструмента;</w:t>
      </w:r>
    </w:p>
    <w:p>
      <w:pPr>
        <w:pStyle w:val="ListBullet"/>
      </w:pPr>
      <w:r>
        <w:rPr>
          <w:rFonts w:ascii="Calibri" w:hAnsi="Calibri"/>
          <w:b w:val="0"/>
          <w:sz w:val="24"/>
        </w:rPr>
        <w:t>корректная валидация требует отбора признаков внутри фолдов (Varoquaux 2018).</w:t>
      </w:r>
    </w:p>
    <w:p>
      <w:r>
        <w:rPr>
          <w:rFonts w:ascii="Calibri" w:hAnsi="Calibri"/>
          <w:b w:val="0"/>
          <w:sz w:val="24"/>
        </w:rPr>
        <w:t>Отсюда цель работы: веб-инструмент поддержки врача, который по минимальной панели генов крови определяет стадию (норма / MCI / деменция) с честной валидацией без утечки и персональным объяснением решения.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C3E50"/>
        </w:rPr>
        <w:t>Список литературы</w:t>
      </w:r>
    </w:p>
    <w:p>
      <w:r>
        <w:rPr>
          <w:rFonts w:ascii="Calibri" w:hAnsi="Calibri"/>
          <w:b w:val="0"/>
          <w:sz w:val="22"/>
        </w:rPr>
        <w:t>1. Braak H., Braak E. (1991). Neuropathological stageing of Alzheimer-related changes. Acta Neuropathologica, 82(4), 239–259.</w:t>
      </w:r>
    </w:p>
    <w:p>
      <w:r>
        <w:rPr>
          <w:rFonts w:ascii="Calibri" w:hAnsi="Calibri"/>
          <w:b w:val="0"/>
          <w:sz w:val="22"/>
        </w:rPr>
        <w:t>2. DeTure M.A., Dickson D.W. (2019). The neuropathological diagnosis of Alzheimer's disease. Molecular Neurodegeneration, 14, 32.</w:t>
      </w:r>
    </w:p>
    <w:p>
      <w:r>
        <w:rPr>
          <w:rFonts w:ascii="Calibri" w:hAnsi="Calibri"/>
          <w:b w:val="0"/>
          <w:sz w:val="22"/>
        </w:rPr>
        <w:t>3. Folstein M.F., Folstein S.E., McHugh P.R. (1975). «Mini-mental state». Journal of Psychiatric Research, 12(3), 189–198.</w:t>
      </w:r>
    </w:p>
    <w:p>
      <w:r>
        <w:rPr>
          <w:rFonts w:ascii="Calibri" w:hAnsi="Calibri"/>
          <w:b w:val="0"/>
          <w:sz w:val="22"/>
        </w:rPr>
        <w:t>4. Hughes C.P., Berg L., Danziger W.L. et al. (1982). A new clinical scale for the staging of dementia. British Journal of Psychiatry, 140(6), 566–572.</w:t>
      </w:r>
    </w:p>
    <w:p>
      <w:r>
        <w:rPr>
          <w:rFonts w:ascii="Calibri" w:hAnsi="Calibri"/>
          <w:b w:val="0"/>
          <w:sz w:val="22"/>
        </w:rPr>
        <w:t>5. Jack C.R., Bennett D.A., Blennow K. et al. (2018). NIA-AA research framework: toward a biological definition of Alzheimer's disease. Alzheimer's &amp; Dementia, 14(4), 535–562.</w:t>
      </w:r>
    </w:p>
    <w:p>
      <w:r>
        <w:rPr>
          <w:rFonts w:ascii="Calibri" w:hAnsi="Calibri"/>
          <w:b w:val="0"/>
          <w:sz w:val="22"/>
        </w:rPr>
        <w:t>6. Lee T., Lee H. (2020). Prediction of Alzheimer's disease using blood gene expression data. Scientific Reports, 10, 3485.</w:t>
      </w:r>
    </w:p>
    <w:p>
      <w:r>
        <w:rPr>
          <w:rFonts w:ascii="Calibri" w:hAnsi="Calibri"/>
          <w:b w:val="0"/>
          <w:sz w:val="22"/>
        </w:rPr>
        <w:t>7. Liu M., Zhang J., Adeli E., Shen D. (2018). Multi-modality cascaded convolutional neural networks for Alzheimer's disease diagnosis. Neuroinformatics, 16(3–4), 295–308.</w:t>
      </w:r>
    </w:p>
    <w:p>
      <w:r>
        <w:rPr>
          <w:rFonts w:ascii="Calibri" w:hAnsi="Calibri"/>
          <w:b w:val="0"/>
          <w:sz w:val="22"/>
        </w:rPr>
        <w:t>8. Lunnon K., Sattlecker M., Furney S.J. et al. (2013). A blood gene expression marker of early Alzheimer's disease. Journal of Alzheimer's Disease, 33(2), 397–407.</w:t>
      </w:r>
    </w:p>
    <w:p>
      <w:r>
        <w:rPr>
          <w:rFonts w:ascii="Calibri" w:hAnsi="Calibri"/>
          <w:b w:val="0"/>
          <w:sz w:val="22"/>
        </w:rPr>
        <w:t>9. Lundberg S.M., Lee S.-I. (2017). A unified approach to interpreting model predictions. Advances in Neural Information Processing Systems, 30, 4765–4774.</w:t>
      </w:r>
    </w:p>
    <w:p>
      <w:r>
        <w:rPr>
          <w:rFonts w:ascii="Calibri" w:hAnsi="Calibri"/>
          <w:b w:val="0"/>
          <w:sz w:val="22"/>
        </w:rPr>
        <w:t>10. Morris J.C. (1993). The Clinical Dementia Rating (CDR): current version and scoring rules. Neurology, 43(11), 2412–2414.</w:t>
      </w:r>
    </w:p>
    <w:p>
      <w:r>
        <w:rPr>
          <w:rFonts w:ascii="Calibri" w:hAnsi="Calibri"/>
          <w:b w:val="0"/>
          <w:sz w:val="22"/>
        </w:rPr>
        <w:t>11. Petersen R.C., Smith G.E., Waring S.C. et al. (2001). Current concepts in mild cognitive impairment. Archives of Neurology, 58(12), 1985–1992.</w:t>
      </w:r>
    </w:p>
    <w:p>
      <w:r>
        <w:rPr>
          <w:rFonts w:ascii="Calibri" w:hAnsi="Calibri"/>
          <w:b w:val="0"/>
          <w:sz w:val="22"/>
        </w:rPr>
        <w:t>12. Selkoe D.J., Hardy J. (2016). The amyloid hypothesis of Alzheimer's disease at 25 years. EMBO Molecular Medicine, 8(6), 595–608.</w:t>
      </w:r>
    </w:p>
    <w:p>
      <w:r>
        <w:rPr>
          <w:rFonts w:ascii="Calibri" w:hAnsi="Calibri"/>
          <w:b w:val="0"/>
          <w:sz w:val="22"/>
        </w:rPr>
        <w:t>13. Sims J.R., Zimmer J.A., Evans C.D. et al. (2023). Donanemab in early symptomatic Alzheimer disease: the TRAILBLAZER-ALZ 2 randomized clinical trial. JAMA, 330(6), 512–527.</w:t>
      </w:r>
    </w:p>
    <w:p>
      <w:r>
        <w:rPr>
          <w:rFonts w:ascii="Calibri" w:hAnsi="Calibri"/>
          <w:b w:val="0"/>
          <w:sz w:val="22"/>
        </w:rPr>
        <w:t>14. Spasov S., Passamonti L., Duggento A., Liò M., Toschi N. (2019). A parameter-efficient deep learning approach to predict conversion from mild cognitive impairment to Alzheimer's disease. NeuroImage, 189, 276–287.</w:t>
      </w:r>
    </w:p>
    <w:p>
      <w:r>
        <w:rPr>
          <w:rFonts w:ascii="Calibri" w:hAnsi="Calibri"/>
          <w:b w:val="0"/>
          <w:sz w:val="22"/>
        </w:rPr>
        <w:t>15. Stern Y. (2012). Cognitive reserve in ageing and Alzheimer's disease. The Lancet Neurology, 11(11), 1006–1012.</w:t>
      </w:r>
    </w:p>
    <w:p>
      <w:r>
        <w:rPr>
          <w:rFonts w:ascii="Calibri" w:hAnsi="Calibri"/>
          <w:b w:val="0"/>
          <w:sz w:val="22"/>
        </w:rPr>
        <w:t>16. van Dyck C.H., Swanson C.J., Aisen P. et al. (2023). Lecanemab in early Alzheimer's disease. New England Journal of Medicine, 388(21), 2023–2034.</w:t>
      </w:r>
    </w:p>
    <w:p>
      <w:r>
        <w:rPr>
          <w:rFonts w:ascii="Calibri" w:hAnsi="Calibri"/>
          <w:b w:val="0"/>
          <w:sz w:val="22"/>
        </w:rPr>
        <w:t>17. Varoquaux G. (2018). Cross-validation failure: small sample sizes lead to large error bars. NeuroImage, 180, 68–77.</w:t>
      </w:r>
    </w:p>
    <w:p>
      <w:r>
        <w:rPr>
          <w:rFonts w:ascii="Calibri" w:hAnsi="Calibri"/>
          <w:b w:val="0"/>
          <w:sz w:val="22"/>
        </w:rPr>
        <w:t>18. World Health Organization (2023). Dementia: key facts. WHO [Электронный ресурс].</w:t>
      </w:r>
    </w:p>
    <w:p>
      <w:r>
        <w:rPr>
          <w:rFonts w:ascii="Calibri" w:hAnsi="Calibri"/>
          <w:b w:val="0"/>
          <w:sz w:val="22"/>
        </w:rPr>
        <w:t>19. Zhang D., Wang Y., Zhou L., Yuan H., Shen D. (2011). Multimodal classification of Alzheimer's disease and mild cognitive impairment. NeuroImage, 55(2), 856–867.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Литературный обзор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