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EFF74" w14:textId="77777777" w:rsidR="00471CAA" w:rsidRDefault="00BD7805">
      <w:pPr>
        <w:pStyle w:val="Heading1"/>
      </w:pPr>
      <w:bookmarkStart w:id="0" w:name="X31aedf471bf51a7713946eabce87379685aef25"/>
      <w:r>
        <w:t>1. Introduction: System reassessment of offshore wind</w:t>
      </w:r>
    </w:p>
    <w:p w14:paraId="3A3ADC22" w14:textId="77777777" w:rsidR="00471CAA" w:rsidRDefault="00BD7805">
      <w:pPr>
        <w:pStyle w:val="Heading2"/>
      </w:pPr>
      <w:bookmarkStart w:id="1" w:name="X5932dadb56180014c8e5226ee8de8de22e5249a"/>
      <w:r>
        <w:t>1.1 High-capital commitment to electrification</w:t>
      </w:r>
    </w:p>
    <w:p w14:paraId="7F1BD9C4" w14:textId="77777777" w:rsidR="00471CAA" w:rsidRDefault="00BD7805">
      <w:pPr>
        <w:pStyle w:val="FirstParagraph"/>
      </w:pPr>
      <w:r>
        <w:t>Over the past decade, offshore wind has expanded rapidly worldwide [12][14]. This growth reflects a dominant strategy in the energy transition: large‑scale electrification of energy demand. The underlying assumption is that many energy services currently relying on fossil fuels—gas, oil, and coal—can be converted to electricity.</w:t>
      </w:r>
    </w:p>
    <w:p w14:paraId="6A7E371A" w14:textId="77777777" w:rsidR="00471CAA" w:rsidRDefault="00BD7805">
      <w:pPr>
        <w:pStyle w:val="BodyText"/>
      </w:pPr>
      <w:r>
        <w:t xml:space="preserve">Within this global expansion, Europe—particularly the North Sea basin—has taken a leading role. The region combines </w:t>
      </w:r>
      <w:proofErr w:type="spellStart"/>
      <w:r>
        <w:t>favourable</w:t>
      </w:r>
      <w:proofErr w:type="spellEnd"/>
      <w:r>
        <w:t xml:space="preserve"> wind conditions, large demand </w:t>
      </w:r>
      <w:proofErr w:type="spellStart"/>
      <w:r>
        <w:t>centres</w:t>
      </w:r>
      <w:proofErr w:type="spellEnd"/>
      <w:r>
        <w:t>, and coordinated infrastructure development.</w:t>
      </w:r>
    </w:p>
    <w:p w14:paraId="0714C6E0" w14:textId="77777777" w:rsidR="00471CAA" w:rsidRDefault="00BD7805">
      <w:pPr>
        <w:pStyle w:val="BodyText"/>
      </w:pPr>
      <w:r>
        <w:t xml:space="preserve">In anticipation of this role, transmission system operators, including </w:t>
      </w:r>
      <w:proofErr w:type="spellStart"/>
      <w:r>
        <w:t>TenneT</w:t>
      </w:r>
      <w:proofErr w:type="spellEnd"/>
      <w:r>
        <w:t xml:space="preserve">, have committed to large‑scale offshore electrical infrastructure. Current plans include </w:t>
      </w:r>
      <w:proofErr w:type="spellStart"/>
      <w:r>
        <w:t>standardised</w:t>
      </w:r>
      <w:proofErr w:type="spellEnd"/>
      <w:r>
        <w:t xml:space="preserve"> 2 GW HVDC stations and policy targets of roughly 40 GW of offshore wind capacity in the Dutch–German North Sea by around 2030.</w:t>
      </w:r>
    </w:p>
    <w:p w14:paraId="431E3E77" w14:textId="77777777" w:rsidR="00471CAA" w:rsidRDefault="00BD7805">
      <w:pPr>
        <w:pStyle w:val="BodyText"/>
      </w:pPr>
      <w:r>
        <w:t>This development pathway requires investments of tens of billions of euros. It is highly capital‑intensive and difficult to reverse. Implicitly, it assumes sustained growth in both offshore electricity production and electricity demand.</w:t>
      </w:r>
    </w:p>
    <w:p w14:paraId="7A4F32D2" w14:textId="77777777" w:rsidR="00471CAA" w:rsidRDefault="00BD7805">
      <w:pPr>
        <w:pStyle w:val="BodyText"/>
      </w:pPr>
      <w:r>
        <w:t>This assumption is reinforced politically. The Hamburg Declaration of January 2026 positions the North Sea as “Europe’s Clean Power Hub” [4]. Offshore wind is framed not merely as a technology but as a structural pillar of the future European energy system. The expectation is that continued scaling of offshore wind, combined with electrification of end‑use sectors, will produce an economically viable energy system.</w:t>
      </w:r>
    </w:p>
    <w:p w14:paraId="4B5D8917" w14:textId="77777777" w:rsidR="00471CAA" w:rsidRDefault="00BD7805">
      <w:pPr>
        <w:pStyle w:val="Heading2"/>
      </w:pPr>
      <w:bookmarkStart w:id="2" w:name="X23c5b88b3ceaede1fffbb5006479d01e885be58"/>
      <w:bookmarkEnd w:id="1"/>
      <w:r>
        <w:t>1.2 The economic paradox: a system under pressure</w:t>
      </w:r>
    </w:p>
    <w:p w14:paraId="5E611949" w14:textId="77777777" w:rsidR="00471CAA" w:rsidRDefault="00BD7805">
      <w:pPr>
        <w:pStyle w:val="FirstParagraph"/>
      </w:pPr>
      <w:r>
        <w:t xml:space="preserve">This strategic commitment contrasts with recent developments in practice. Only a few years ago offshore wind was </w:t>
      </w:r>
      <w:proofErr w:type="spellStart"/>
      <w:r>
        <w:t>characterised</w:t>
      </w:r>
      <w:proofErr w:type="spellEnd"/>
      <w:r>
        <w:t xml:space="preserve"> by zero‑subsidy bids, where developers paid for the right to build. Recently several tenders have failed in the United Kingdom, Denmark, Germany, and the Netherlands. This suggests that the economic balance of the current offshore wind system has shifted.</w:t>
      </w:r>
    </w:p>
    <w:p w14:paraId="4E13EEDE" w14:textId="77777777" w:rsidR="00471CAA" w:rsidRDefault="00BD7805">
      <w:pPr>
        <w:pStyle w:val="BodyText"/>
      </w:pPr>
      <w:r>
        <w:t>In essence, a tension emerges between two developments: rapidly expanding offshore wind supply and growing uncertainty about the economic conditions under which this electricity can be absorbed by the energy system.</w:t>
      </w:r>
    </w:p>
    <w:p w14:paraId="6DBFA352" w14:textId="77777777" w:rsidR="00471CAA" w:rsidRDefault="00BD7805">
      <w:pPr>
        <w:pStyle w:val="BodyText"/>
      </w:pPr>
      <w:r>
        <w:t xml:space="preserve">As offshore wind capacity expands within an electricity system whose demand grows more slowly, periods of simultaneous high production become more frequent. This mechanism follows directly from the physical characteristics of variable renewable generation and therefore persists even when short-term cost cycles </w:t>
      </w:r>
      <w:proofErr w:type="spellStart"/>
      <w:r>
        <w:t>normalise</w:t>
      </w:r>
      <w:proofErr w:type="spellEnd"/>
      <w:r>
        <w:t xml:space="preserve">. This increases surplus electricity and reduces </w:t>
      </w:r>
      <w:proofErr w:type="spellStart"/>
      <w:r>
        <w:t>utilisation</w:t>
      </w:r>
      <w:proofErr w:type="spellEnd"/>
      <w:r>
        <w:t xml:space="preserve"> of installed generation capacity, raising the effective cost per delivered MWh.</w:t>
      </w:r>
    </w:p>
    <w:p w14:paraId="6BE97779" w14:textId="77777777" w:rsidR="00471CAA" w:rsidRDefault="00BD7805">
      <w:pPr>
        <w:pStyle w:val="BodyText"/>
      </w:pPr>
      <w:r>
        <w:t>Analytically this shift can be traced to two related developments: rising costs per produced MWh and slower growth in electricity demand despite electrification policies.</w:t>
      </w:r>
    </w:p>
    <w:p w14:paraId="7699525E" w14:textId="77777777" w:rsidR="00471CAA" w:rsidRDefault="00BD7805">
      <w:pPr>
        <w:pStyle w:val="Heading3"/>
      </w:pPr>
      <w:bookmarkStart w:id="3" w:name="rising-costs-and-price-cannibalisation"/>
      <w:r>
        <w:t xml:space="preserve">1.2.1 Rising costs and price </w:t>
      </w:r>
      <w:proofErr w:type="spellStart"/>
      <w:r>
        <w:t>cannibalisation</w:t>
      </w:r>
      <w:proofErr w:type="spellEnd"/>
    </w:p>
    <w:p w14:paraId="72F9D243" w14:textId="77777777" w:rsidR="00471CAA" w:rsidRDefault="00BD7805">
      <w:pPr>
        <w:pStyle w:val="FirstParagraph"/>
      </w:pPr>
      <w:r>
        <w:t xml:space="preserve">Offshore wind projects are highly capital‑intensive. Rising interest rates have increased financing costs for turbines, foundations, and offshore infrastructure. Annual capital charges per installed MW have therefore increased. When </w:t>
      </w:r>
      <w:proofErr w:type="spellStart"/>
      <w:r>
        <w:t>utilisation</w:t>
      </w:r>
      <w:proofErr w:type="spellEnd"/>
      <w:r>
        <w:t xml:space="preserve"> remains constant or declines, this directly raises capital cost per produced MWh.</w:t>
      </w:r>
    </w:p>
    <w:p w14:paraId="750446C1" w14:textId="77777777" w:rsidR="00471CAA" w:rsidRDefault="00BD7805">
      <w:pPr>
        <w:pStyle w:val="BodyText"/>
      </w:pPr>
      <w:r>
        <w:t xml:space="preserve">Investment costs per installed MW have also increased. Turbines, foundations, and offshore infrastructure have become more expensive due to shortages of </w:t>
      </w:r>
      <w:proofErr w:type="spellStart"/>
      <w:r>
        <w:t>labour</w:t>
      </w:r>
      <w:proofErr w:type="spellEnd"/>
      <w:r>
        <w:t>, materials, and installation capacity during rapid global expansion of offshore wind.</w:t>
      </w:r>
    </w:p>
    <w:p w14:paraId="401B420A" w14:textId="77777777" w:rsidR="00471CAA" w:rsidRDefault="00BD7805">
      <w:pPr>
        <w:pStyle w:val="BodyText"/>
      </w:pPr>
      <w:r>
        <w:t xml:space="preserve">A second mechanism is price </w:t>
      </w:r>
      <w:proofErr w:type="spellStart"/>
      <w:r>
        <w:t>cannibalisation</w:t>
      </w:r>
      <w:proofErr w:type="spellEnd"/>
      <w:r>
        <w:t xml:space="preserve"> [7][9]. As the share of variable renewable electricity increases—reaching roughly 57% of Dutch electricity production—periods of simultaneous wind and solar output become structural. In 2025 this resulted in about 630 hours with very low or negative electricity prices.</w:t>
      </w:r>
    </w:p>
    <w:p w14:paraId="70C15112" w14:textId="77777777" w:rsidR="00471CAA" w:rsidRDefault="00BD7805">
      <w:pPr>
        <w:pStyle w:val="BodyText"/>
      </w:pPr>
      <w:r>
        <w:t>During such periods electricity production is curtailed because curtailment is often cheaper than storage [8]. Curtailment reduces annual energy production (MWh) while installed capacity (MW) remains unchanged. As a result the capacity factor declines.</w:t>
      </w:r>
    </w:p>
    <w:p w14:paraId="43501EC4" w14:textId="77777777" w:rsidR="00471CAA" w:rsidRDefault="00BD7805">
      <w:pPr>
        <w:pStyle w:val="BodyText"/>
      </w:pPr>
      <w:r>
        <w:t>Installed capacity (MW) represents the maximum instantaneous output of a wind farm, whereas annual production (MWh) measures total energy generated over time. Infrastructure investments—turbines, export cables, and platforms—scale mainly with peak capacity (€/MW), while revenues depend on produced energy (€/MWh).</w:t>
      </w:r>
    </w:p>
    <w:p w14:paraId="73B92F60" w14:textId="77777777" w:rsidR="00471CAA" w:rsidRDefault="00BD7805">
      <w:pPr>
        <w:pStyle w:val="BodyText"/>
      </w:pPr>
      <w:r>
        <w:t>When capacity‑related costs are spread over fewer produced MWh, the cost per MWh increases.</w:t>
      </w:r>
    </w:p>
    <w:p w14:paraId="225B5E7A" w14:textId="77777777" w:rsidR="00471CAA" w:rsidRDefault="00BD7805">
      <w:pPr>
        <w:pStyle w:val="BodyText"/>
      </w:pPr>
      <w:r>
        <w:t xml:space="preserve">Part of this </w:t>
      </w:r>
      <w:proofErr w:type="spellStart"/>
      <w:r>
        <w:t>utilisation</w:t>
      </w:r>
      <w:proofErr w:type="spellEnd"/>
      <w:r>
        <w:t xml:space="preserve"> effect is related to wind farm design itself, particularly turbine spacing.</w:t>
      </w:r>
    </w:p>
    <w:p w14:paraId="264437AD" w14:textId="77777777" w:rsidR="00471CAA" w:rsidRDefault="00BD7805">
      <w:pPr>
        <w:pStyle w:val="BodyText"/>
      </w:pPr>
      <w:r>
        <w:t xml:space="preserve">Technically the capacity factor of a wind farm is strongly influenced by aerodynamic wake losses [10][11]. Closely spaced turbines reduce wind speed for downstream turbines, lowering average output and </w:t>
      </w:r>
      <w:proofErr w:type="spellStart"/>
      <w:r>
        <w:t>utilisation</w:t>
      </w:r>
      <w:proofErr w:type="spellEnd"/>
      <w:r>
        <w:t xml:space="preserve"> of installed capacity.</w:t>
      </w:r>
    </w:p>
    <w:p w14:paraId="2218BB05" w14:textId="77777777" w:rsidR="00471CAA" w:rsidRDefault="00BD7805">
      <w:pPr>
        <w:pStyle w:val="BodyText"/>
      </w:pPr>
      <w:r>
        <w:t xml:space="preserve">Increasing turbine spacing reduces wake interaction. Turbines operate closer to their unconstrained production profile and the capacity factor rises. Higher </w:t>
      </w:r>
      <w:proofErr w:type="spellStart"/>
      <w:r>
        <w:t>utilisation</w:t>
      </w:r>
      <w:proofErr w:type="spellEnd"/>
      <w:r>
        <w:t xml:space="preserve"> improves the economics of infrastructure that scales primarily with installed capacity.</w:t>
      </w:r>
    </w:p>
    <w:p w14:paraId="29CB7A1F" w14:textId="77777777" w:rsidR="00471CAA" w:rsidRDefault="00BD7805">
      <w:pPr>
        <w:pStyle w:val="BodyText"/>
      </w:pPr>
      <w:r>
        <w:t>However, increasing spacing also reduces the amount of generation capacity that can be installed within a given sea area.</w:t>
      </w:r>
    </w:p>
    <w:p w14:paraId="7E18BFCA" w14:textId="77777777" w:rsidR="00471CAA" w:rsidRDefault="00BD7805">
      <w:pPr>
        <w:pStyle w:val="Heading3"/>
      </w:pPr>
      <w:bookmarkStart w:id="4" w:name="X562fc3ee1b5e20e41444439301e0588e825c3f7"/>
      <w:bookmarkEnd w:id="3"/>
      <w:r>
        <w:t>1.2.2 Spacing, infrastructure and energy density</w:t>
      </w:r>
    </w:p>
    <w:p w14:paraId="1682A1FF" w14:textId="77777777" w:rsidR="00471CAA" w:rsidRDefault="00BD7805">
      <w:pPr>
        <w:pStyle w:val="FirstParagraph"/>
      </w:pPr>
      <w:r>
        <w:t xml:space="preserve">These economic pressures influence how offshore wind farms are spatially configured. Developers adjust turbine spacing and layout in response to </w:t>
      </w:r>
      <w:proofErr w:type="spellStart"/>
      <w:r>
        <w:t>utilisation</w:t>
      </w:r>
      <w:proofErr w:type="spellEnd"/>
      <w:r>
        <w:t xml:space="preserve"> and infrastructure economics.</w:t>
      </w:r>
    </w:p>
    <w:p w14:paraId="2C8D5F9F" w14:textId="77777777" w:rsidR="00471CAA" w:rsidRDefault="00BD7805">
      <w:pPr>
        <w:pStyle w:val="BodyText"/>
      </w:pPr>
      <w:r>
        <w:t>Two density measures are therefore relevant. Power density (MW/km²) describes installed peak capacity per sea area, while energy density (MWh/km²) measures the annual energy harvested from that area. This distinction implies that the amount of wind energy that can be economically harvested from a given sea area is not purely a technical property of the wind resource. While the physical wind resource sets an upper bound on potential production, the economically achievable energy density depends on design choices such as turbine spacing, infrastructure configuration, and the cost structure of the energy carrier used. It is also shaped by economic design choices such as turbine spacing, infrastructure configuration, and energy‑carrier cost structure.</w:t>
      </w:r>
    </w:p>
    <w:p w14:paraId="469A2224" w14:textId="77777777" w:rsidR="00471CAA" w:rsidRDefault="00BD7805">
      <w:pPr>
        <w:pStyle w:val="BodyText"/>
      </w:pPr>
      <w:r>
        <w:t xml:space="preserve">Increasing turbine spacing raises </w:t>
      </w:r>
      <w:proofErr w:type="spellStart"/>
      <w:r>
        <w:t>utilisation</w:t>
      </w:r>
      <w:proofErr w:type="spellEnd"/>
      <w:r>
        <w:t xml:space="preserve"> but lowers installed capacity per square </w:t>
      </w:r>
      <w:proofErr w:type="spellStart"/>
      <w:r>
        <w:t>kilometre</w:t>
      </w:r>
      <w:proofErr w:type="spellEnd"/>
      <w:r>
        <w:t xml:space="preserve">. Energy production per square </w:t>
      </w:r>
      <w:proofErr w:type="spellStart"/>
      <w:r>
        <w:t>kilometre</w:t>
      </w:r>
      <w:proofErr w:type="spellEnd"/>
      <w:r>
        <w:t xml:space="preserve"> therefore declines.</w:t>
      </w:r>
    </w:p>
    <w:p w14:paraId="221C8E94" w14:textId="77777777" w:rsidR="00471CAA" w:rsidRDefault="00BD7805">
      <w:pPr>
        <w:pStyle w:val="BodyText"/>
      </w:pPr>
      <w:r>
        <w:t>As offshore wind becomes a larger share of the electricity system, the economic optimum of new wind farms may shift toward lower power densities. Such layouts require more sea area per unit of produced energy.</w:t>
      </w:r>
    </w:p>
    <w:p w14:paraId="3C9692E4" w14:textId="77777777" w:rsidR="00471CAA" w:rsidRDefault="00BD7805">
      <w:pPr>
        <w:pStyle w:val="BodyText"/>
      </w:pPr>
      <w:r>
        <w:t>Consequently the economic value of offshore space may decline from a project perspective. In subsidy regimes the value may even become negative. This deterioration does not reflect technological regression but structural system effects associated with high shares of wind energy.</w:t>
      </w:r>
    </w:p>
    <w:p w14:paraId="778E0779" w14:textId="77777777" w:rsidR="00471CAA" w:rsidRDefault="00BD7805">
      <w:pPr>
        <w:pStyle w:val="BodyText"/>
      </w:pPr>
      <w:r>
        <w:t>Offshore space therefore becomes both a techno‑economic and political issue. A recent TU Delft study suggests that policy assumptions about achievable North Sea energy density may be overly optimistic, prompting parliamentary questions.</w:t>
      </w:r>
    </w:p>
    <w:p w14:paraId="1EC19436" w14:textId="77777777" w:rsidR="00471CAA" w:rsidRDefault="00BD7805">
      <w:pPr>
        <w:pStyle w:val="BodyText"/>
      </w:pPr>
      <w:r>
        <w:t xml:space="preserve">Each square </w:t>
      </w:r>
      <w:proofErr w:type="spellStart"/>
      <w:r>
        <w:t>kilometre</w:t>
      </w:r>
      <w:proofErr w:type="spellEnd"/>
      <w:r>
        <w:t xml:space="preserve"> of offshore space represents not only a physical wind resource but also an economic production asset. In practice this value already appears in market signals: in some tenders developers pay for the right to build, implying positive space value, while in other cases subsidies are required, implying negative value. In simplified terms the economic value of offshore space (€/km²) reflects the interaction between energy harvested (MWh/km²) and the value of that energy (€/MWh).</w:t>
      </w:r>
    </w:p>
    <w:p w14:paraId="035F9AA3" w14:textId="77777777" w:rsidR="00471CAA" w:rsidRDefault="00BD7805">
      <w:pPr>
        <w:pStyle w:val="Heading3"/>
      </w:pPr>
      <w:bookmarkStart w:id="5" w:name="Xd7162b644153b44b4e8827f8bf80a3e2f13297c"/>
      <w:bookmarkEnd w:id="4"/>
      <w:r>
        <w:t>1.2.3 Stagnating demand despite electrification policy</w:t>
      </w:r>
    </w:p>
    <w:p w14:paraId="05BC097A" w14:textId="77777777" w:rsidR="00471CAA" w:rsidRDefault="00BD7805">
      <w:pPr>
        <w:pStyle w:val="FirstParagraph"/>
      </w:pPr>
      <w:r>
        <w:t xml:space="preserve">Contrasting with growing supply is relatively stable electricity demand. This macroeconomic factor reinforces the </w:t>
      </w:r>
      <w:proofErr w:type="spellStart"/>
      <w:r>
        <w:t>utilisation</w:t>
      </w:r>
      <w:proofErr w:type="spellEnd"/>
      <w:r>
        <w:t xml:space="preserve"> problem described above: when demand growth stagnates while renewable supply continues to expand, surplus generation and curtailment pressures increase further. For more than a decade total electricity consumption in the Netherlands has barely increased, despite strong electrification ambitions. Grid congestion is often cited as the explanation, but this only partly accounts for the pattern because both generation and transmission capacity continue to expand.</w:t>
      </w:r>
    </w:p>
    <w:p w14:paraId="19C451E2" w14:textId="77777777" w:rsidR="00471CAA" w:rsidRDefault="00BD7805">
      <w:pPr>
        <w:pStyle w:val="BodyText"/>
      </w:pPr>
      <w:r>
        <w:t>A more plausible explanation lies in energy price developments. The loss of Russia and the Netherlands as major natural‑gas suppliers has increased gas prices structurally. This has weakened the competitiveness of energy‑intensive industry and reduced electricity demand from those sectors.</w:t>
      </w:r>
    </w:p>
    <w:p w14:paraId="1B86064C" w14:textId="77777777" w:rsidR="00471CAA" w:rsidRDefault="00BD7805">
      <w:pPr>
        <w:pStyle w:val="BodyText"/>
      </w:pPr>
      <w:r>
        <w:t>For many industrial applications electricity remains more expensive than natural gas. Policy can encourage electrification but cannot force companies to operate under higher energy costs. In some cases ceasing production may be economically rational.</w:t>
      </w:r>
    </w:p>
    <w:p w14:paraId="7FAC581D" w14:textId="77777777" w:rsidR="00471CAA" w:rsidRDefault="00BD7805">
      <w:pPr>
        <w:pStyle w:val="BodyText"/>
      </w:pPr>
      <w:r>
        <w:t>Offshore wind developers therefore invest in a system where cost per MWh may rise while future demand remains uncertain.</w:t>
      </w:r>
    </w:p>
    <w:p w14:paraId="11BD4DD2" w14:textId="77777777" w:rsidR="00471CAA" w:rsidRDefault="00BD7805">
      <w:pPr>
        <w:pStyle w:val="BodyText"/>
      </w:pPr>
      <w:r>
        <w:t>These developments raise a broader question about whether the current electricity‑</w:t>
      </w:r>
      <w:proofErr w:type="spellStart"/>
      <w:r>
        <w:t>centred</w:t>
      </w:r>
      <w:proofErr w:type="spellEnd"/>
      <w:r>
        <w:t xml:space="preserve"> design of offshore wind systems remains economically optimal as offshore wind scales further.</w:t>
      </w:r>
    </w:p>
    <w:p w14:paraId="265F1961" w14:textId="77777777" w:rsidR="00471CAA" w:rsidRDefault="00BD7805">
      <w:pPr>
        <w:pStyle w:val="Heading2"/>
      </w:pPr>
      <w:bookmarkStart w:id="6" w:name="X5a8de449deec673402037f7bfc244a0fb10ff1c"/>
      <w:bookmarkEnd w:id="2"/>
      <w:bookmarkEnd w:id="5"/>
      <w:r>
        <w:t>1.3 Electrification as default pathway — is there an alternative?</w:t>
      </w:r>
    </w:p>
    <w:p w14:paraId="295D5889" w14:textId="77777777" w:rsidR="00471CAA" w:rsidRDefault="00BD7805">
      <w:pPr>
        <w:pStyle w:val="FirstParagraph"/>
      </w:pPr>
      <w:r>
        <w:t>In the European Green Deal, hydrogen was positioned as an important element of the future energy system [1], particularly for sectors that are difficult to electrify directly, such as heavy industry and transport. Policy attention focused primarily on end-use applications, while the role of hydrogen in relation to system-level challenges associated with large-scale offshore wind development remained underexplored.</w:t>
      </w:r>
    </w:p>
    <w:p w14:paraId="7D1A3F61" w14:textId="77777777" w:rsidR="00471CAA" w:rsidRDefault="00BD7805">
      <w:pPr>
        <w:pStyle w:val="BodyText"/>
      </w:pPr>
      <w:r>
        <w:t xml:space="preserve">By 2026, it has become clear that a large share of these hydrogen ambitions has not been </w:t>
      </w:r>
      <w:proofErr w:type="spellStart"/>
      <w:r>
        <w:t>realised</w:t>
      </w:r>
      <w:proofErr w:type="spellEnd"/>
      <w:r>
        <w:t>. Many projects have been delayed or not implemented. Hydrogen remains costly, while willingness to provide long-term, large-scale subsidies is limited. The dominant explanation for this outcome is thermodynamic in nature: hydrogen is produced from electricity with conversion losses, followed by additional losses during subsequent conversion. From this perspective, hydrogen is structurally more expensive than direct electrification.</w:t>
      </w:r>
    </w:p>
    <w:p w14:paraId="72FE749B" w14:textId="04B3EE13" w:rsidR="00471CAA" w:rsidRDefault="00BD7805">
      <w:pPr>
        <w:pStyle w:val="BodyText"/>
      </w:pPr>
      <w:r>
        <w:t>However, this reasoning evaluates hydrogen primarily in terms of e</w:t>
      </w:r>
      <w:r w:rsidR="00372E3E">
        <w:t xml:space="preserve">lectricity </w:t>
      </w:r>
      <w:r>
        <w:t>conversion efficiency (€/MWh). The economic tensions described in the previous section, by contrast, are largely driven by infrastructure scaling with peak capacity (€/MW). When system economics are dominated by capacity-related infrastructure costs rather than conversion efficiency alone, the relative attractiveness of different energy carriers may change. If infrastructure costs scale primarily with peak capacity (€/MW), the choice of carrier may influence not only downstream energy use but also the economically optimal configuration of the wind farm itself.</w:t>
      </w:r>
    </w:p>
    <w:p w14:paraId="26CC4EA1" w14:textId="77777777" w:rsidR="00471CAA" w:rsidRDefault="00BD7805">
      <w:pPr>
        <w:pStyle w:val="BodyText"/>
      </w:pPr>
      <w:r>
        <w:t xml:space="preserve">This reasoning is deeply embedded in policy frameworks and analytical tools, such as </w:t>
      </w:r>
      <w:proofErr w:type="spellStart"/>
      <w:r>
        <w:t>Liebreich’s</w:t>
      </w:r>
      <w:proofErr w:type="spellEnd"/>
      <w:r>
        <w:t xml:space="preserve"> hydrogen ladder [2], in which electricity is preferred in almost all applications unless the molecule is functionally necessary. European regulation follows the same ordering [3]: renewable electricity is treated as the primary energy carrier from wind and solar, while hydrogen is defined as a derived conversion product.</w:t>
      </w:r>
    </w:p>
    <w:p w14:paraId="06F134C2" w14:textId="77777777" w:rsidR="00471CAA" w:rsidRDefault="00BD7805">
      <w:pPr>
        <w:pStyle w:val="BodyText"/>
      </w:pPr>
      <w:r>
        <w:t>Recent offshore wind policy statements, including the Hamburg Declaration of January 2026, explicitly position hydrogen as being produced from offshore electricity. Wind turbines are therefore primarily framed as electricity generators, with hydrogen treated as a downstream application.</w:t>
      </w:r>
    </w:p>
    <w:p w14:paraId="6E81A7C7" w14:textId="77777777" w:rsidR="00471CAA" w:rsidRDefault="00BD7805">
      <w:pPr>
        <w:pStyle w:val="BodyText"/>
      </w:pPr>
      <w:r>
        <w:t xml:space="preserve">At the same time, a fundamental tension emerges. Hydrogen possesses system characteristics that are scarcely </w:t>
      </w:r>
      <w:proofErr w:type="spellStart"/>
      <w:r>
        <w:t>utilised</w:t>
      </w:r>
      <w:proofErr w:type="spellEnd"/>
      <w:r>
        <w:t xml:space="preserve"> within the dominant electrification paradigm, including relatively low infrastructure costs per MW of peak capacity, limited sensitivity to </w:t>
      </w:r>
      <w:proofErr w:type="spellStart"/>
      <w:r>
        <w:t>utilisation</w:t>
      </w:r>
      <w:proofErr w:type="spellEnd"/>
      <w:r>
        <w:t xml:space="preserve"> rates, and inexpensive large-scale storage per MWh.</w:t>
      </w:r>
    </w:p>
    <w:p w14:paraId="7F0E6B0F" w14:textId="77777777" w:rsidR="00471CAA" w:rsidRDefault="00BD7805">
      <w:pPr>
        <w:pStyle w:val="BodyText"/>
      </w:pPr>
      <w:r>
        <w:t>These characteristics suggest that the choice of energy carrier may influence not only downstream applications, but also the economic design of offshore wind systems themselves.</w:t>
      </w:r>
    </w:p>
    <w:p w14:paraId="672E22B2" w14:textId="77777777" w:rsidR="00471CAA" w:rsidRDefault="00BD7805">
      <w:pPr>
        <w:pStyle w:val="BodyText"/>
      </w:pPr>
      <w:r>
        <w:t>The challenge described above therefore operates simultaneously on three levels: the strategic orientation of the energy system, the economic performance of large-scale offshore wind deployment, and the engineering design of offshore wind farms. Understanding how these layers interact is essential for assessing the long‑term viability of current offshore development pathways.</w:t>
      </w:r>
    </w:p>
    <w:p w14:paraId="6FF5F76E" w14:textId="77777777" w:rsidR="00471CAA" w:rsidRDefault="00BD7805">
      <w:pPr>
        <w:pStyle w:val="BodyText"/>
      </w:pPr>
      <w:r>
        <w:t xml:space="preserve">This leads to the central question of this study: if electrical infrastructure is relatively capital-intensive and hydrogen infrastructure scales more </w:t>
      </w:r>
      <w:proofErr w:type="spellStart"/>
      <w:r>
        <w:t>favourably</w:t>
      </w:r>
      <w:proofErr w:type="spellEnd"/>
      <w:r>
        <w:t xml:space="preserve"> with peak capacity, why is it not systematically explored what it would mean to produce hydrogen directly at the wind turbine? And what would this imply for offshore wind farm design, in particular for the economically achievable energy density (MWh/km²) and the comparison between electricity- and hydrogen-based configurations?</w:t>
      </w:r>
    </w:p>
    <w:p w14:paraId="4A221EF6" w14:textId="77777777" w:rsidR="00471CAA" w:rsidRDefault="00BD7805">
      <w:pPr>
        <w:pStyle w:val="BodyText"/>
      </w:pPr>
      <w:r>
        <w:t>This dissertation starts from the hypothesis that the current outcome pattern is not self-evident, but the result of implicit design choices. It investigates what happens when hydrogen is no longer treated as a secondary energy carrier, but as a primary design parameter in the offshore wind system.</w:t>
      </w:r>
    </w:p>
    <w:p w14:paraId="1A0AA1B4" w14:textId="77777777" w:rsidR="00471CAA" w:rsidRDefault="00BD7805">
      <w:pPr>
        <w:pStyle w:val="Heading2"/>
      </w:pPr>
      <w:bookmarkStart w:id="7" w:name="research-question"/>
      <w:bookmarkEnd w:id="6"/>
      <w:r>
        <w:t>1.4 Research question</w:t>
      </w:r>
    </w:p>
    <w:p w14:paraId="24EA442B" w14:textId="77777777" w:rsidR="00471CAA" w:rsidRDefault="00BD7805">
      <w:pPr>
        <w:pStyle w:val="FirstParagraph"/>
      </w:pPr>
      <w:r>
        <w:t>The developments described above raise a fundamental question about how offshore wind systems should be designed when infrastructure economics are taken explicitly into account. In particular, if the cost structure of export infrastructure and energy carriers differs substantially, the economically optimal configuration of offshore wind farms may also change.</w:t>
      </w:r>
    </w:p>
    <w:p w14:paraId="4A45EDED" w14:textId="77777777" w:rsidR="00471CAA" w:rsidRDefault="00BD7805">
      <w:pPr>
        <w:pStyle w:val="BodyText"/>
      </w:pPr>
      <w:r>
        <w:t>These observations suggest that current offshore wind development pathways implicitly assume that electricity is the natural primary carrier for offshore wind energy and that hydrogen is merely a downstream conversion product. If this design assumption is relaxed, alternative system configurations may become possible.</w:t>
      </w:r>
    </w:p>
    <w:p w14:paraId="77C581CC" w14:textId="77777777" w:rsidR="00471CAA" w:rsidRDefault="00BD7805">
      <w:pPr>
        <w:pStyle w:val="BodyText"/>
      </w:pPr>
      <w:r>
        <w:t xml:space="preserve">This study therefore approaches offshore wind development from a different perspective: it treats the achievable energy density of offshore wind not as a fixed technical parameter, but as an economic outcome that depends on infrastructure cost structures and energy carrier choice. While previous studies </w:t>
      </w:r>
      <w:proofErr w:type="spellStart"/>
      <w:r>
        <w:t>analyse</w:t>
      </w:r>
      <w:proofErr w:type="spellEnd"/>
      <w:r>
        <w:t xml:space="preserve"> individual elements such as turbine spacing, curtailment, or export infrastructure costs separately, this study integrates these elements within a single </w:t>
      </w:r>
      <w:proofErr w:type="spellStart"/>
      <w:r>
        <w:t>optimisation</w:t>
      </w:r>
      <w:proofErr w:type="spellEnd"/>
      <w:r>
        <w:t xml:space="preserve"> framework in which wind farm density, export capacity, and carrier choice are determined simultaneously. Most offshore wind </w:t>
      </w:r>
      <w:proofErr w:type="spellStart"/>
      <w:r>
        <w:t>optimisation</w:t>
      </w:r>
      <w:proofErr w:type="spellEnd"/>
      <w:r>
        <w:t xml:space="preserve"> studies treat turbine spacing, export infrastructure, and wind farm density primarily as engineering design parameters. In contrast, this study examines how these parameters emerge endogenously from infrastructure cost structures and energy carrier choice.</w:t>
      </w:r>
    </w:p>
    <w:p w14:paraId="6F11741B" w14:textId="77777777" w:rsidR="00471CAA" w:rsidRDefault="00BD7805">
      <w:pPr>
        <w:pStyle w:val="BodyText"/>
      </w:pPr>
      <w:r>
        <w:t>The central research question of this dissertation is therefore:</w:t>
      </w:r>
    </w:p>
    <w:p w14:paraId="0BA01989" w14:textId="77777777" w:rsidR="00471CAA" w:rsidRDefault="00BD7805">
      <w:pPr>
        <w:pStyle w:val="BodyText"/>
      </w:pPr>
      <w:r>
        <w:t>How does the cost structure of offshore energy transport infrastructure influence the optimal design of offshore wind farms, and what are the implications for the economically achievable energy density (MWh/km²)?</w:t>
      </w:r>
    </w:p>
    <w:p w14:paraId="18005BA3" w14:textId="77777777" w:rsidR="00471CAA" w:rsidRDefault="00BD7805">
      <w:pPr>
        <w:pStyle w:val="BodyText"/>
      </w:pPr>
      <w:r>
        <w:t xml:space="preserve">This question is </w:t>
      </w:r>
      <w:proofErr w:type="spellStart"/>
      <w:r>
        <w:t>analysed</w:t>
      </w:r>
      <w:proofErr w:type="spellEnd"/>
      <w:r>
        <w:t xml:space="preserve"> by examining how different infrastructure cost structures affect the marginal balance between capacity-related expansion costs (€/MW) and energy-related value (€/MWh), which jointly determine the optimal wind farm configuration and resulting offshore energy density.</w:t>
      </w:r>
    </w:p>
    <w:p w14:paraId="60C83EE6" w14:textId="77777777" w:rsidR="00471CAA" w:rsidRDefault="00BD7805">
      <w:pPr>
        <w:pStyle w:val="BodyText"/>
      </w:pPr>
      <w:r>
        <w:t xml:space="preserve">A central element in this analysis is the comparison between electricity-based and hydrogen-based offshore wind configurations. If hydrogen infrastructure scales differently with installed capacity and </w:t>
      </w:r>
      <w:proofErr w:type="spellStart"/>
      <w:r>
        <w:t>utilisation</w:t>
      </w:r>
      <w:proofErr w:type="spellEnd"/>
      <w:r>
        <w:t xml:space="preserve"> than electrical export infrastructure, the resulting optimal wind farm layouts and energy densities may differ as well.</w:t>
      </w:r>
    </w:p>
    <w:p w14:paraId="7D21F0B7" w14:textId="77777777" w:rsidR="00471CAA" w:rsidRDefault="00BD7805">
      <w:pPr>
        <w:pStyle w:val="Heading2"/>
      </w:pPr>
      <w:bookmarkStart w:id="8" w:name="analytical-approach"/>
      <w:bookmarkEnd w:id="7"/>
      <w:r>
        <w:t>1.5 Analytical approach</w:t>
      </w:r>
    </w:p>
    <w:p w14:paraId="1A1CA3A7" w14:textId="77777777" w:rsidR="00471CAA" w:rsidRDefault="00BD7805">
      <w:pPr>
        <w:pStyle w:val="FirstParagraph"/>
      </w:pPr>
      <w:r>
        <w:t xml:space="preserve">To investigate this question, the study develops a techno-economic modelling framework that links wind farm design, infrastructure sizing, and system performance. The focus of this study is not system-wide welfare </w:t>
      </w:r>
      <w:proofErr w:type="spellStart"/>
      <w:r>
        <w:t>optimisation</w:t>
      </w:r>
      <w:proofErr w:type="spellEnd"/>
      <w:r>
        <w:t xml:space="preserve"> but the techno-economic design problem faced by offshore wind developers when configuring large-scale projects. The model explicitly represents how infrastructure requirements and operational </w:t>
      </w:r>
      <w:proofErr w:type="spellStart"/>
      <w:r>
        <w:t>behaviour</w:t>
      </w:r>
      <w:proofErr w:type="spellEnd"/>
      <w:r>
        <w:t xml:space="preserve"> emerge from physical and engineering parameters rather than relying solely on simplified unit cost assumptions.</w:t>
      </w:r>
    </w:p>
    <w:p w14:paraId="57BF0B38" w14:textId="77777777" w:rsidR="00471CAA" w:rsidRDefault="00BD7805">
      <w:pPr>
        <w:pStyle w:val="BodyText"/>
      </w:pPr>
      <w:r>
        <w:t xml:space="preserve">Within this framework, alternative offshore wind configurations are </w:t>
      </w:r>
      <w:proofErr w:type="spellStart"/>
      <w:r>
        <w:t>analysed</w:t>
      </w:r>
      <w:proofErr w:type="spellEnd"/>
      <w:r>
        <w:t xml:space="preserve">, including electricity-based export systems and hydrogen-based concepts with integrated electrolysis. This perspective differs from most existing offshore wind studies, which typically treat wind farm density and infrastructure requirements as exogenous parameters rather than as outcomes of an integrated </w:t>
      </w:r>
      <w:proofErr w:type="spellStart"/>
      <w:r>
        <w:t>optimisation</w:t>
      </w:r>
      <w:proofErr w:type="spellEnd"/>
      <w:r>
        <w:t xml:space="preserve"> problem.</w:t>
      </w:r>
    </w:p>
    <w:p w14:paraId="571E3D1B" w14:textId="77777777" w:rsidR="00471CAA" w:rsidRDefault="00BD7805">
      <w:pPr>
        <w:pStyle w:val="BodyText"/>
      </w:pPr>
      <w:r>
        <w:t xml:space="preserve">From a literature perspective, existing research on offshore wind can broadly be grouped into three strands. A first strand analyses the market value and system integration of variable renewable electricity, focusing on phenomena such as price </w:t>
      </w:r>
      <w:proofErr w:type="spellStart"/>
      <w:r>
        <w:t>cannibalisation</w:t>
      </w:r>
      <w:proofErr w:type="spellEnd"/>
      <w:r>
        <w:t xml:space="preserve"> and curtailment in high-renewable systems. A second strand examines engineering </w:t>
      </w:r>
      <w:proofErr w:type="spellStart"/>
      <w:r>
        <w:t>optimisation</w:t>
      </w:r>
      <w:proofErr w:type="spellEnd"/>
      <w:r>
        <w:t xml:space="preserve"> of wind farm layouts, including turbine spacing, wake interactions, and electrical collection infrastructure. A third strand evaluates hydrogen production pathways and the techno‑economics of hydrogen transport and storage. These strands are usually studied separately. This dissertation contributes by integrating them within a single techno‑economic framework in which wind farm spacing, export infrastructure sizing, and energy carrier choice are determined simultaneously. In doing so, the study investigates how infrastructure cost structures influence the economically achievable offshore energy density (MWh/km²). By comparing these configurations under consistent techno-economic assumptions, the analysis identifies how infrastructure cost structures shape wind farm design choices and ultimately influence the economically achievable energy density (MWh/km²).</w:t>
      </w:r>
    </w:p>
    <w:p w14:paraId="3E1B25E0" w14:textId="77777777" w:rsidR="00471CAA" w:rsidRDefault="00BD7805">
      <w:pPr>
        <w:pStyle w:val="BodyText"/>
      </w:pPr>
      <w:r>
        <w:t xml:space="preserve">Understanding these interactions requires a framework that explicitly links infrastructure cost structures to wind farm design and system performance. The following chapter therefore develops the conceptual and economic foundations needed to </w:t>
      </w:r>
      <w:proofErr w:type="spellStart"/>
      <w:r>
        <w:t>analyse</w:t>
      </w:r>
      <w:proofErr w:type="spellEnd"/>
      <w:r>
        <w:t xml:space="preserve"> how different infrastructure architectures shape the optimal configuration of offshore wind farms.</w:t>
      </w:r>
    </w:p>
    <w:p w14:paraId="3288DFE3" w14:textId="77777777" w:rsidR="00471CAA" w:rsidRDefault="00BD7805">
      <w:pPr>
        <w:pStyle w:val="BodyText"/>
      </w:pPr>
      <w:r>
        <w:t xml:space="preserve">Figure 1 — Conceptual framework of the offshore wind system </w:t>
      </w:r>
      <w:proofErr w:type="spellStart"/>
      <w:r>
        <w:t>optimisation</w:t>
      </w:r>
      <w:proofErr w:type="spellEnd"/>
      <w:r>
        <w:t xml:space="preserve"> problem</w:t>
      </w:r>
    </w:p>
    <w:p w14:paraId="4801D551" w14:textId="77777777" w:rsidR="00471CAA" w:rsidRDefault="00BD7805">
      <w:pPr>
        <w:pStyle w:val="BodyText"/>
      </w:pPr>
      <w:r>
        <w:t>[Conceptual figure placeholder]</w:t>
      </w:r>
    </w:p>
    <w:p w14:paraId="096153B4" w14:textId="77777777" w:rsidR="00471CAA" w:rsidRDefault="00BD7805">
      <w:pPr>
        <w:pStyle w:val="BodyText"/>
      </w:pPr>
      <w:r>
        <w:t xml:space="preserve">Wind farm spacing, export infrastructure scaling and energy carrier choice jointly determine the economically optimal offshore energy density (MWh/km²). The figure </w:t>
      </w:r>
      <w:proofErr w:type="spellStart"/>
      <w:r>
        <w:t>summarises</w:t>
      </w:r>
      <w:proofErr w:type="spellEnd"/>
      <w:r>
        <w:t xml:space="preserve"> the analytical structure developed in Chapter 1 and </w:t>
      </w:r>
      <w:proofErr w:type="spellStart"/>
      <w:r>
        <w:t>formalised</w:t>
      </w:r>
      <w:proofErr w:type="spellEnd"/>
      <w:r>
        <w:t xml:space="preserve"> in Chapter 2.</w:t>
      </w:r>
    </w:p>
    <w:p w14:paraId="75D4DA9B" w14:textId="77777777" w:rsidR="00471CAA" w:rsidRDefault="00BD7805">
      <w:pPr>
        <w:pStyle w:val="BodyText"/>
      </w:pPr>
      <w:r>
        <w:t>Source: Author.</w:t>
      </w:r>
    </w:p>
    <w:p w14:paraId="01D371AF" w14:textId="77777777" w:rsidR="00471CAA" w:rsidRDefault="00BD7805">
      <w:pPr>
        <w:pStyle w:val="Heading2"/>
      </w:pPr>
      <w:bookmarkStart w:id="9" w:name="structure-of-this-dissertation"/>
      <w:bookmarkEnd w:id="8"/>
      <w:r>
        <w:t>1.6 Structure of this dissertation</w:t>
      </w:r>
    </w:p>
    <w:p w14:paraId="27BD0657" w14:textId="77777777" w:rsidR="00471CAA" w:rsidRDefault="00BD7805">
      <w:pPr>
        <w:pStyle w:val="FirstParagraph"/>
      </w:pPr>
      <w:r>
        <w:t>The remainder of this dissertation develops the argument in four steps. Chapter 2 introduces the conceptual framework that links wind farm design to the cost structure of export infrastructure. It shows how different infrastructure characteristics—particularly the cost per unit of peak capacity—shape the economic trade-off between energy yield, capacity factor, and spatial power density.</w:t>
      </w:r>
    </w:p>
    <w:p w14:paraId="19A90131" w14:textId="77777777" w:rsidR="00471CAA" w:rsidRDefault="00BD7805">
      <w:pPr>
        <w:pStyle w:val="BodyText"/>
      </w:pPr>
      <w:r>
        <w:t xml:space="preserve">Chapter 3 then introduces alternative offshore hydrogen wind farm configurations, including both </w:t>
      </w:r>
      <w:proofErr w:type="spellStart"/>
      <w:r>
        <w:t>centralised</w:t>
      </w:r>
      <w:proofErr w:type="spellEnd"/>
      <w:r>
        <w:t xml:space="preserve"> and </w:t>
      </w:r>
      <w:proofErr w:type="spellStart"/>
      <w:r>
        <w:t>decentralised</w:t>
      </w:r>
      <w:proofErr w:type="spellEnd"/>
      <w:r>
        <w:t xml:space="preserve"> electrolysis concepts. The technological architecture and potential design implications of these configurations are described in detail.</w:t>
      </w:r>
    </w:p>
    <w:p w14:paraId="039F6728" w14:textId="77777777" w:rsidR="00471CAA" w:rsidRDefault="00BD7805">
      <w:pPr>
        <w:pStyle w:val="BodyText"/>
      </w:pPr>
      <w:r>
        <w:t xml:space="preserve">Chapter 4 presents the techno-economic modelling framework used to </w:t>
      </w:r>
      <w:proofErr w:type="spellStart"/>
      <w:r>
        <w:t>analyse</w:t>
      </w:r>
      <w:proofErr w:type="spellEnd"/>
      <w:r>
        <w:t xml:space="preserve"> these system configurations. The model explicitly derives infrastructure sizing, operational </w:t>
      </w:r>
      <w:proofErr w:type="spellStart"/>
      <w:r>
        <w:t>behaviour</w:t>
      </w:r>
      <w:proofErr w:type="spellEnd"/>
      <w:r>
        <w:t>, and cost outcomes from physical and engineering parameters rather than relying on simplified unit cost assumptions.</w:t>
      </w:r>
    </w:p>
    <w:p w14:paraId="15451F68" w14:textId="77777777" w:rsidR="00471CAA" w:rsidRDefault="00BD7805">
      <w:pPr>
        <w:pStyle w:val="BodyText"/>
      </w:pPr>
      <w:r>
        <w:t>Finally, Chapter 5 presents the modelling results and compares electricity-based and hydrogen-based offshore wind farm configurations. The analysis focuses in particular on how infrastructure cost structures influence the economically achievable energy density (MWh/km²) of offshore wind developments.</w:t>
      </w:r>
    </w:p>
    <w:p w14:paraId="17D2A343" w14:textId="77777777" w:rsidR="00471CAA" w:rsidRDefault="001C755C">
      <w:r>
        <w:rPr>
          <w:noProof/>
        </w:rPr>
        <w:pict w14:anchorId="31AEF88C">
          <v:rect id="_x0000_i1025" style="width:468pt;height:.05pt" o:hralign="center" o:hrstd="t" o:hr="t"/>
        </w:pict>
      </w:r>
    </w:p>
    <w:p w14:paraId="06CE09F3" w14:textId="77777777" w:rsidR="00471CAA" w:rsidRDefault="00BD7805">
      <w:pPr>
        <w:pStyle w:val="FirstParagraph"/>
      </w:pPr>
      <w:r>
        <w:t xml:space="preserve">Chapter 2 — Conceptual Framework: Carrier-Dependent </w:t>
      </w:r>
      <w:proofErr w:type="spellStart"/>
      <w:r>
        <w:t>Optimisation</w:t>
      </w:r>
      <w:proofErr w:type="spellEnd"/>
      <w:r>
        <w:t xml:space="preserve"> and Wind Farm Design</w:t>
      </w:r>
    </w:p>
    <w:p w14:paraId="29606321" w14:textId="77777777" w:rsidR="00471CAA" w:rsidRDefault="00BD7805">
      <w:pPr>
        <w:pStyle w:val="BodyText"/>
      </w:pPr>
      <w:r>
        <w:t xml:space="preserve">Chapter 2 </w:t>
      </w:r>
      <w:proofErr w:type="spellStart"/>
      <w:r>
        <w:t>formalises</w:t>
      </w:r>
      <w:proofErr w:type="spellEnd"/>
      <w:r>
        <w:t xml:space="preserve"> the logic developed in Chapter 1. It introduces a marginal </w:t>
      </w:r>
      <w:proofErr w:type="spellStart"/>
      <w:r>
        <w:t>optimisation</w:t>
      </w:r>
      <w:proofErr w:type="spellEnd"/>
      <w:r>
        <w:t xml:space="preserve"> perspective in which wind farm spacing, infrastructure sizing, and curtailment exposure emerge endogenously from LCOE </w:t>
      </w:r>
      <w:proofErr w:type="spellStart"/>
      <w:r>
        <w:t>minimisation</w:t>
      </w:r>
      <w:proofErr w:type="spellEnd"/>
      <w:r>
        <w:t>.</w:t>
      </w:r>
    </w:p>
    <w:p w14:paraId="71C7B723" w14:textId="77777777" w:rsidR="00471CAA" w:rsidRDefault="00BD7805">
      <w:pPr>
        <w:pStyle w:val="BodyText"/>
      </w:pPr>
      <w:r>
        <w:t>2.1 Research Objective and System Boundary</w:t>
      </w:r>
    </w:p>
    <w:p w14:paraId="15C9A4DD" w14:textId="77777777" w:rsidR="00471CAA" w:rsidRDefault="00BD7805">
      <w:pPr>
        <w:pStyle w:val="BodyText"/>
      </w:pPr>
      <w:r>
        <w:t xml:space="preserve">Chapter 1 argued that offshore wind economics is increasingly shaped by the interaction between peak-rated infrastructure costs and erosion of </w:t>
      </w:r>
      <w:proofErr w:type="spellStart"/>
      <w:r>
        <w:t>realised</w:t>
      </w:r>
      <w:proofErr w:type="spellEnd"/>
      <w:r>
        <w:t xml:space="preserve"> </w:t>
      </w:r>
      <w:proofErr w:type="spellStart"/>
      <w:r>
        <w:t>utilisation</w:t>
      </w:r>
      <w:proofErr w:type="spellEnd"/>
      <w:r>
        <w:t xml:space="preserve">. The research question introduced in Chapter 1 asked how infrastructure cost structures influence wind farm design and the economically achievable energy density of offshore wind systems. This chapter translates that qualitative observation into a formal </w:t>
      </w:r>
      <w:proofErr w:type="spellStart"/>
      <w:r>
        <w:t>optimisation</w:t>
      </w:r>
      <w:proofErr w:type="spellEnd"/>
      <w:r>
        <w:t xml:space="preserve"> structure by expressing offshore system design as a carrier-dependent LCOE </w:t>
      </w:r>
      <w:proofErr w:type="spellStart"/>
      <w:r>
        <w:t>minimisation</w:t>
      </w:r>
      <w:proofErr w:type="spellEnd"/>
      <w:r>
        <w:t xml:space="preserve"> problem. This </w:t>
      </w:r>
      <w:proofErr w:type="spellStart"/>
      <w:r>
        <w:t>optimisation</w:t>
      </w:r>
      <w:proofErr w:type="spellEnd"/>
      <w:r>
        <w:t xml:space="preserve"> formulation directly </w:t>
      </w:r>
      <w:proofErr w:type="spellStart"/>
      <w:r>
        <w:t>operationalises</w:t>
      </w:r>
      <w:proofErr w:type="spellEnd"/>
      <w:r>
        <w:t xml:space="preserve"> the research question posed in Chapter 1 by linking infrastructure cost structures to wind farm design variables and the resulting offshore energy density. This modelling choice deliberately isolates the techno-economic design problem of offshore wind systems from market price dynamics in order to </w:t>
      </w:r>
      <w:proofErr w:type="spellStart"/>
      <w:r>
        <w:t>analyse</w:t>
      </w:r>
      <w:proofErr w:type="spellEnd"/>
      <w:r>
        <w:t xml:space="preserve"> how infrastructure cost structures alone influence optimal configuration.</w:t>
      </w:r>
    </w:p>
    <w:p w14:paraId="73C68261" w14:textId="77777777" w:rsidR="00471CAA" w:rsidRDefault="00BD7805">
      <w:pPr>
        <w:pStyle w:val="BodyText"/>
      </w:pPr>
      <w:r>
        <w:t>For a given energy carrier θ (electricity or hydrogen), the economically optimal offshore configuration is defined as:</w:t>
      </w:r>
    </w:p>
    <w:p w14:paraId="2184CA1D" w14:textId="77777777" w:rsidR="00471CAA" w:rsidRDefault="00BD7805">
      <w:pPr>
        <w:pStyle w:val="BodyText"/>
      </w:pPr>
      <w:r>
        <w:t xml:space="preserve">x*(θ) = </w:t>
      </w:r>
      <w:proofErr w:type="spellStart"/>
      <w:r>
        <w:t>arg</w:t>
      </w:r>
      <w:proofErr w:type="spellEnd"/>
      <w:r>
        <w:t xml:space="preserve"> </w:t>
      </w:r>
      <w:proofErr w:type="spellStart"/>
      <w:r>
        <w:t>min_x</w:t>
      </w:r>
      <w:proofErr w:type="spellEnd"/>
      <w:r>
        <w:t xml:space="preserve"> LCOE(x; θ)</w:t>
      </w:r>
    </w:p>
    <w:p w14:paraId="7E4A6C36" w14:textId="77777777" w:rsidR="00471CAA" w:rsidRDefault="00BD7805">
      <w:pPr>
        <w:pStyle w:val="BodyText"/>
      </w:pPr>
      <w:r>
        <w:t>where the decision vector x includes wind farm power density, turbine spacing, infield topology, export capacity (</w:t>
      </w:r>
      <w:proofErr w:type="spellStart"/>
      <w:r>
        <w:t>MW_export</w:t>
      </w:r>
      <w:proofErr w:type="spellEnd"/>
      <w:r>
        <w:t>), and carrier-specific infrastructure parameters.</w:t>
      </w:r>
    </w:p>
    <w:p w14:paraId="08263DDF" w14:textId="77777777" w:rsidR="00471CAA" w:rsidRDefault="00BD7805">
      <w:pPr>
        <w:pStyle w:val="BodyText"/>
      </w:pPr>
      <w:r>
        <w:t xml:space="preserve">The system boundary runs from offshore generation to the onshore interface. LCOE is used as the objective function because offshore wind projects are typically evaluated and financed on a project-level cost basis rather than through system-wide welfare </w:t>
      </w:r>
      <w:proofErr w:type="spellStart"/>
      <w:r>
        <w:t>optimisation</w:t>
      </w:r>
      <w:proofErr w:type="spellEnd"/>
      <w:r>
        <w:t xml:space="preserve">. The objective is a project-level marginal cost comparison under architecture-specific feasible sets, not a full system-welfare or market-equilibrium value comparison. This restriction allows the analysis to isolate infrastructure-driven design effects that would otherwise be obscured by electricity price volatility and market dynamics. Market price formation, storage operation, demand-side </w:t>
      </w:r>
      <w:proofErr w:type="spellStart"/>
      <w:r>
        <w:t>optimisation</w:t>
      </w:r>
      <w:proofErr w:type="spellEnd"/>
      <w:r>
        <w:t>, and end-use economics are excluded by design to isolate carrier-dependent scaling effects.</w:t>
      </w:r>
    </w:p>
    <w:p w14:paraId="3E2036DB" w14:textId="77777777" w:rsidR="00471CAA" w:rsidRDefault="00BD7805">
      <w:pPr>
        <w:pStyle w:val="BodyText"/>
      </w:pPr>
      <w:r>
        <w:t xml:space="preserve">Throughout this dissertation, the offshore system is treated as a coupled chain of subsystems: turbine generation → infield network → aggregation node → export link → onshore interface. The carrier choice modifies how capacity propagates through this chain and how marginal costs accumulate. Architecture-specific scaling relations—such as block-wise HVDC expansion, diameter-dependent pipeline transport costs, compressor scaling, and topology-driven infield length—are embedded directly in the cost functions of the </w:t>
      </w:r>
      <w:proofErr w:type="spellStart"/>
      <w:r>
        <w:t>optimisation</w:t>
      </w:r>
      <w:proofErr w:type="spellEnd"/>
      <w:r>
        <w:t xml:space="preserve"> problem.</w:t>
      </w:r>
    </w:p>
    <w:p w14:paraId="74E534CA" w14:textId="77777777" w:rsidR="00471CAA" w:rsidRDefault="00BD7805">
      <w:pPr>
        <w:pStyle w:val="BodyText"/>
      </w:pPr>
      <w:r>
        <w:t>2.2 Marginal Structure of LCOE</w:t>
      </w:r>
    </w:p>
    <w:p w14:paraId="1827234B" w14:textId="77777777" w:rsidR="00471CAA" w:rsidRDefault="00BD7805">
      <w:pPr>
        <w:pStyle w:val="BodyText"/>
      </w:pPr>
      <w:r>
        <w:t xml:space="preserve">Although LCOE can be written as a ratio of discounted costs to discounted energy, the </w:t>
      </w:r>
      <w:proofErr w:type="spellStart"/>
      <w:r>
        <w:t>optimisation</w:t>
      </w:r>
      <w:proofErr w:type="spellEnd"/>
      <w:r>
        <w:t xml:space="preserve"> problem is governed by marginal trade-offs rather than by average values. In practical terms, the question is not what the average cost per MWh is, but how total cost changes when capacity or spatial configuration is adjusted. The economically optimal design satisfies a balance between:</w:t>
      </w:r>
    </w:p>
    <w:p w14:paraId="3081BC1B" w14:textId="77777777" w:rsidR="00471CAA" w:rsidRDefault="00BD7805">
      <w:pPr>
        <w:pStyle w:val="BodyText"/>
      </w:pPr>
      <w:r>
        <w:t>• the marginal cost of expanding capacity-rated infrastructure (€/MW), and • the marginal value of preserving or increasing delivered energy (€/MWh).</w:t>
      </w:r>
    </w:p>
    <w:p w14:paraId="7C1A12B3" w14:textId="77777777" w:rsidR="00471CAA" w:rsidRDefault="00BD7805">
      <w:pPr>
        <w:pStyle w:val="BodyText"/>
      </w:pPr>
      <w:r>
        <w:t xml:space="preserve">Capacity-rated components include turbines, infield cables or pipelines, converter platforms, </w:t>
      </w:r>
      <w:proofErr w:type="spellStart"/>
      <w:r>
        <w:t>electrolysers</w:t>
      </w:r>
      <w:proofErr w:type="spellEnd"/>
      <w:r>
        <w:t>, compressors, and export links. Many of these scale primarily with peak throughput rather than annual energy. The marginal expansion cost ∂C/∂</w:t>
      </w:r>
      <w:proofErr w:type="spellStart"/>
      <w:r>
        <w:t>MW_export</w:t>
      </w:r>
      <w:proofErr w:type="spellEnd"/>
      <w:r>
        <w:t xml:space="preserve"> need not be smooth. Depending on architecture, it may exhibit convex </w:t>
      </w:r>
      <w:proofErr w:type="spellStart"/>
      <w:r>
        <w:t>behaviour</w:t>
      </w:r>
      <w:proofErr w:type="spellEnd"/>
      <w:r>
        <w:t xml:space="preserve">, quasi-linear scaling, or discrete block thresholds. The shape of this function determines whether </w:t>
      </w:r>
      <w:proofErr w:type="spellStart"/>
      <w:r>
        <w:t>optimisation</w:t>
      </w:r>
      <w:proofErr w:type="spellEnd"/>
      <w:r>
        <w:t xml:space="preserve"> </w:t>
      </w:r>
      <w:proofErr w:type="spellStart"/>
      <w:r>
        <w:t>favours</w:t>
      </w:r>
      <w:proofErr w:type="spellEnd"/>
      <w:r>
        <w:t xml:space="preserve"> </w:t>
      </w:r>
      <w:proofErr w:type="spellStart"/>
      <w:r>
        <w:t>utilisation</w:t>
      </w:r>
      <w:proofErr w:type="spellEnd"/>
      <w:r>
        <w:t xml:space="preserve"> preservation or capacity expansion. Export-side scaling is not assumed a priori to dominate turbine-side scaling. Turbine, foundation, and wake-related cost–yield interactions are modelled symmetrically. The relative importance of export versus generation scaling is therefore an endogenous outcome of the </w:t>
      </w:r>
      <w:proofErr w:type="spellStart"/>
      <w:r>
        <w:t>optimisation</w:t>
      </w:r>
      <w:proofErr w:type="spellEnd"/>
      <w:r>
        <w:t xml:space="preserve"> rather than a presupposed condition.</w:t>
      </w:r>
    </w:p>
    <w:p w14:paraId="0F4C5464" w14:textId="77777777" w:rsidR="00471CAA" w:rsidRDefault="00BD7805">
      <w:pPr>
        <w:pStyle w:val="BodyText"/>
      </w:pPr>
      <w:r>
        <w:t xml:space="preserve">Delivered energy depends on aerodynamic wake losses, curtailment exposure, and conversion efficiencies. In wind energy analysis this </w:t>
      </w:r>
      <w:proofErr w:type="spellStart"/>
      <w:r>
        <w:t>utilisation</w:t>
      </w:r>
      <w:proofErr w:type="spellEnd"/>
      <w:r>
        <w:t xml:space="preserve"> level is typically expressed through the capacity factor (CF), defined as:</w:t>
      </w:r>
    </w:p>
    <w:p w14:paraId="7E4E4170" w14:textId="77777777" w:rsidR="00471CAA" w:rsidRDefault="00BD7805">
      <w:pPr>
        <w:pStyle w:val="BodyText"/>
      </w:pPr>
      <w:r>
        <w:t xml:space="preserve">CF = </w:t>
      </w:r>
      <w:proofErr w:type="spellStart"/>
      <w:r>
        <w:t>E_delivered</w:t>
      </w:r>
      <w:proofErr w:type="spellEnd"/>
      <w:r>
        <w:t xml:space="preserve"> / (</w:t>
      </w:r>
      <w:proofErr w:type="spellStart"/>
      <w:r>
        <w:t>MW_gen</w:t>
      </w:r>
      <w:proofErr w:type="spellEnd"/>
      <w:r>
        <w:t xml:space="preserve"> · 8760)</w:t>
      </w:r>
    </w:p>
    <w:p w14:paraId="1B315FF9" w14:textId="77777777" w:rsidR="00471CAA" w:rsidRDefault="00BD7805">
      <w:pPr>
        <w:pStyle w:val="BodyText"/>
      </w:pPr>
      <w:r>
        <w:t>A clear distinction is maintained between installed generation capacity (</w:t>
      </w:r>
      <w:proofErr w:type="spellStart"/>
      <w:r>
        <w:t>MW_gen</w:t>
      </w:r>
      <w:proofErr w:type="spellEnd"/>
      <w:r>
        <w:t>) and export capacity (</w:t>
      </w:r>
      <w:proofErr w:type="spellStart"/>
      <w:r>
        <w:t>MW_export</w:t>
      </w:r>
      <w:proofErr w:type="spellEnd"/>
      <w:r>
        <w:t xml:space="preserve">). </w:t>
      </w:r>
      <w:proofErr w:type="spellStart"/>
      <w:r>
        <w:t>MW_gen</w:t>
      </w:r>
      <w:proofErr w:type="spellEnd"/>
      <w:r>
        <w:t xml:space="preserve"> represents turbine rating. </w:t>
      </w:r>
      <w:proofErr w:type="spellStart"/>
      <w:r>
        <w:t>MW_export</w:t>
      </w:r>
      <w:proofErr w:type="spellEnd"/>
      <w:r>
        <w:t xml:space="preserve"> represents the peak export throughput of cable or pipeline infrastructure. Infrastructure costs often scale with </w:t>
      </w:r>
      <w:proofErr w:type="spellStart"/>
      <w:r>
        <w:t>MW_export</w:t>
      </w:r>
      <w:proofErr w:type="spellEnd"/>
      <w:r>
        <w:t xml:space="preserve">, whereas delivered annual energy depends on </w:t>
      </w:r>
      <w:proofErr w:type="spellStart"/>
      <w:r>
        <w:t>MW_gen</w:t>
      </w:r>
      <w:proofErr w:type="spellEnd"/>
      <w:r>
        <w:t xml:space="preserve"> and </w:t>
      </w:r>
      <w:proofErr w:type="spellStart"/>
      <w:r>
        <w:t>realised</w:t>
      </w:r>
      <w:proofErr w:type="spellEnd"/>
      <w:r>
        <w:t xml:space="preserve"> </w:t>
      </w:r>
      <w:proofErr w:type="spellStart"/>
      <w:r>
        <w:t>utilisation</w:t>
      </w:r>
      <w:proofErr w:type="spellEnd"/>
      <w:r>
        <w:t xml:space="preserve">. Export </w:t>
      </w:r>
      <w:proofErr w:type="spellStart"/>
      <w:r>
        <w:t>utilisation</w:t>
      </w:r>
      <w:proofErr w:type="spellEnd"/>
      <w:r>
        <w:t xml:space="preserve"> can be expressed as </w:t>
      </w:r>
      <w:proofErr w:type="spellStart"/>
      <w:r>
        <w:t>E_delivered</w:t>
      </w:r>
      <w:proofErr w:type="spellEnd"/>
      <w:r>
        <w:t xml:space="preserve"> / (</w:t>
      </w:r>
      <w:proofErr w:type="spellStart"/>
      <w:r>
        <w:t>MW_export</w:t>
      </w:r>
      <w:proofErr w:type="spellEnd"/>
      <w:r>
        <w:t xml:space="preserve"> · 8760). The interaction between </w:t>
      </w:r>
      <w:proofErr w:type="spellStart"/>
      <w:r>
        <w:t>MW_gen</w:t>
      </w:r>
      <w:proofErr w:type="spellEnd"/>
      <w:r>
        <w:t xml:space="preserve"> and </w:t>
      </w:r>
      <w:proofErr w:type="spellStart"/>
      <w:r>
        <w:t>MW_export</w:t>
      </w:r>
      <w:proofErr w:type="spellEnd"/>
      <w:r>
        <w:t xml:space="preserve"> is central to the </w:t>
      </w:r>
      <w:proofErr w:type="spellStart"/>
      <w:r>
        <w:t>optimisation</w:t>
      </w:r>
      <w:proofErr w:type="spellEnd"/>
      <w:r>
        <w:t xml:space="preserve"> problem.</w:t>
      </w:r>
    </w:p>
    <w:p w14:paraId="503B97B7" w14:textId="77777777" w:rsidR="00471CAA" w:rsidRDefault="00BD7805">
      <w:pPr>
        <w:pStyle w:val="BodyText"/>
      </w:pPr>
      <w:r>
        <w:t>Figure 2 — Marginal cost structure determining offshore wind farm density</w:t>
      </w:r>
    </w:p>
    <w:p w14:paraId="19383388" w14:textId="77777777" w:rsidR="00471CAA" w:rsidRDefault="00BD7805">
      <w:pPr>
        <w:pStyle w:val="BodyText"/>
      </w:pPr>
      <w:r>
        <w:t>[Conceptual figure placeholder]</w:t>
      </w:r>
    </w:p>
    <w:p w14:paraId="1C1D990A" w14:textId="77777777" w:rsidR="00471CAA" w:rsidRDefault="00BD7805">
      <w:pPr>
        <w:pStyle w:val="BodyText"/>
      </w:pPr>
      <w:r>
        <w:t xml:space="preserve">Figure 2. Conceptual representation of the marginal </w:t>
      </w:r>
      <w:proofErr w:type="spellStart"/>
      <w:r>
        <w:t>optimisation</w:t>
      </w:r>
      <w:proofErr w:type="spellEnd"/>
      <w:r>
        <w:t xml:space="preserve"> problem governing offshore wind system design. The optimal configuration emerges where the marginal cost of expanding export infrastructure (€/MW) equals the marginal value of additional delivered energy (€/MWh translated to €/MW). Different infrastructure architectures, such as electricity or hydrogen export systems, alter this marginal structure and therefore shift the optimal wind farm density.</w:t>
      </w:r>
    </w:p>
    <w:p w14:paraId="3684C3B0" w14:textId="77777777" w:rsidR="00471CAA" w:rsidRDefault="00BD7805">
      <w:pPr>
        <w:pStyle w:val="BodyText"/>
      </w:pPr>
      <w:r>
        <w:t>Source: Author.</w:t>
      </w:r>
    </w:p>
    <w:p w14:paraId="1E54137A" w14:textId="77777777" w:rsidR="00471CAA" w:rsidRDefault="00BD7805">
      <w:pPr>
        <w:pStyle w:val="BodyText"/>
      </w:pPr>
      <w:r>
        <w:t>2.3 Endogenous Export Capacity and Curtailment</w:t>
      </w:r>
    </w:p>
    <w:p w14:paraId="1A7BEF50" w14:textId="77777777" w:rsidR="00471CAA" w:rsidRDefault="00BD7805">
      <w:pPr>
        <w:pStyle w:val="BodyText"/>
      </w:pPr>
      <w:r>
        <w:t xml:space="preserve">Export infrastructure does not need to match physical peak generation. </w:t>
      </w:r>
      <w:proofErr w:type="spellStart"/>
      <w:r>
        <w:t>MW_export</w:t>
      </w:r>
      <w:proofErr w:type="spellEnd"/>
      <w:r>
        <w:t xml:space="preserve"> is a design variable.</w:t>
      </w:r>
    </w:p>
    <w:p w14:paraId="1F988830" w14:textId="77777777" w:rsidR="00471CAA" w:rsidRDefault="00BD7805">
      <w:pPr>
        <w:pStyle w:val="BodyText"/>
      </w:pPr>
      <w:r>
        <w:t xml:space="preserve">Increasing </w:t>
      </w:r>
      <w:proofErr w:type="spellStart"/>
      <w:r>
        <w:t>MW_export</w:t>
      </w:r>
      <w:proofErr w:type="spellEnd"/>
      <w:r>
        <w:t xml:space="preserve"> reduces curtailment by allowing more coincident output to be transported. However, expanding </w:t>
      </w:r>
      <w:proofErr w:type="spellStart"/>
      <w:r>
        <w:t>MW_export</w:t>
      </w:r>
      <w:proofErr w:type="spellEnd"/>
      <w:r>
        <w:t xml:space="preserve"> increases capital expenditure in aggregation and export subsystems. Limiting </w:t>
      </w:r>
      <w:proofErr w:type="spellStart"/>
      <w:r>
        <w:t>MW_export</w:t>
      </w:r>
      <w:proofErr w:type="spellEnd"/>
      <w:r>
        <w:t xml:space="preserve"> lowers peak-rated CAPEX but increases curtailment losses.</w:t>
      </w:r>
    </w:p>
    <w:p w14:paraId="39AD4ECA" w14:textId="77777777" w:rsidR="00471CAA" w:rsidRDefault="00BD7805">
      <w:pPr>
        <w:pStyle w:val="BodyText"/>
      </w:pPr>
      <w:r>
        <w:t>The economically optimal export capacity satisfies a marginal equilibrium condition in regions where costs are differentiable:</w:t>
      </w:r>
    </w:p>
    <w:p w14:paraId="48B45B72" w14:textId="77777777" w:rsidR="00471CAA" w:rsidRDefault="00BD7805">
      <w:pPr>
        <w:pStyle w:val="BodyText"/>
      </w:pPr>
      <w:r>
        <w:t>∂C/∂</w:t>
      </w:r>
      <w:proofErr w:type="spellStart"/>
      <w:r>
        <w:t>MW_export</w:t>
      </w:r>
      <w:proofErr w:type="spellEnd"/>
      <w:r>
        <w:t xml:space="preserve"> ≈ (∂</w:t>
      </w:r>
      <w:proofErr w:type="spellStart"/>
      <w:r>
        <w:t>E_delivered</w:t>
      </w:r>
      <w:proofErr w:type="spellEnd"/>
      <w:r>
        <w:t>/∂</w:t>
      </w:r>
      <w:proofErr w:type="spellStart"/>
      <w:r>
        <w:t>MW_export</w:t>
      </w:r>
      <w:proofErr w:type="spellEnd"/>
      <w:r>
        <w:t>) · LCOE</w:t>
      </w:r>
    </w:p>
    <w:p w14:paraId="4A2509DE" w14:textId="77777777" w:rsidR="00471CAA" w:rsidRDefault="00BD7805">
      <w:pPr>
        <w:pStyle w:val="BodyText"/>
      </w:pPr>
      <w:r>
        <w:t xml:space="preserve">This expression reflects the first-order optimality condition of the LCOE </w:t>
      </w:r>
      <w:proofErr w:type="spellStart"/>
      <w:r>
        <w:t>minimisation</w:t>
      </w:r>
      <w:proofErr w:type="spellEnd"/>
      <w:r>
        <w:t xml:space="preserve"> problem under differentiable cost structures, while the approximation symbol reflects the presence of discrete infrastructure expansion thresholds.</w:t>
      </w:r>
    </w:p>
    <w:p w14:paraId="09F8613E" w14:textId="77777777" w:rsidR="00471CAA" w:rsidRDefault="00BD7805">
      <w:pPr>
        <w:pStyle w:val="BodyText"/>
      </w:pPr>
      <w:r>
        <w:t>At discrete expansion thresholds, this condition is interpreted in inequality form: expansion occurs only when the incremental block cost is justified by the associated increase in delivered energy valued at LCOE.</w:t>
      </w:r>
    </w:p>
    <w:p w14:paraId="18B747F7" w14:textId="77777777" w:rsidR="00471CAA" w:rsidRDefault="00BD7805">
      <w:pPr>
        <w:pStyle w:val="BodyText"/>
      </w:pPr>
      <w:r>
        <w:t>When expansion occurs in large discrete increments (e.g., multi-gigawatt HVDC blocks), the effective marginal cost becomes stepwise rather than continuous. Practically, this means that adding a small amount of extra generation may suddenly require a very large infrastructure upgrade. In such cases, optimal design may adjust spatial configuration and installed density to avoid crossing expansion thresholds. When scaling is more continuous, expansion can occur incrementally and the density optimum shifts differently.</w:t>
      </w:r>
    </w:p>
    <w:p w14:paraId="4A508A4C" w14:textId="77777777" w:rsidR="00471CAA" w:rsidRDefault="00BD7805">
      <w:pPr>
        <w:pStyle w:val="BodyText"/>
      </w:pPr>
      <w:r>
        <w:t xml:space="preserve">This condition translates marginal €/MW expansion cost into €/MWh terms via marginal throughput. The relevant “peak” is therefore the chosen </w:t>
      </w:r>
      <w:proofErr w:type="spellStart"/>
      <w:r>
        <w:t>MW_export</w:t>
      </w:r>
      <w:proofErr w:type="spellEnd"/>
      <w:r>
        <w:t>, not the physical wind maximum.</w:t>
      </w:r>
    </w:p>
    <w:p w14:paraId="0ED66EF6" w14:textId="77777777" w:rsidR="00471CAA" w:rsidRDefault="00BD7805">
      <w:pPr>
        <w:pStyle w:val="BodyText"/>
      </w:pPr>
      <w:r>
        <w:t>Curtailment is thus treated as an endogenous outcome of export-capacity choice under a given cost structure.</w:t>
      </w:r>
    </w:p>
    <w:p w14:paraId="536B95AE" w14:textId="77777777" w:rsidR="00471CAA" w:rsidRDefault="00BD7805">
      <w:pPr>
        <w:pStyle w:val="BodyText"/>
      </w:pPr>
      <w:r>
        <w:t xml:space="preserve">2.4 Wind Farm Power Density as an </w:t>
      </w:r>
      <w:proofErr w:type="spellStart"/>
      <w:r>
        <w:t>Optimisation</w:t>
      </w:r>
      <w:proofErr w:type="spellEnd"/>
      <w:r>
        <w:t xml:space="preserve"> Outcome</w:t>
      </w:r>
    </w:p>
    <w:p w14:paraId="615A0488" w14:textId="77777777" w:rsidR="00471CAA" w:rsidRDefault="00BD7805">
      <w:pPr>
        <w:pStyle w:val="BodyText"/>
      </w:pPr>
      <w:r>
        <w:t xml:space="preserve">Wind farm layout affects both marginal yield and marginal infrastructure cost. In this framework, wind farm density is not treated as an exogenous design parameter but as an </w:t>
      </w:r>
      <w:proofErr w:type="spellStart"/>
      <w:r>
        <w:t>optimisation</w:t>
      </w:r>
      <w:proofErr w:type="spellEnd"/>
      <w:r>
        <w:t xml:space="preserve"> outcome jointly determined by wake interactions, export infrastructure scaling, and energy carrier characteristics.</w:t>
      </w:r>
    </w:p>
    <w:p w14:paraId="556CCAD1" w14:textId="77777777" w:rsidR="00471CAA" w:rsidRDefault="00BD7805">
      <w:pPr>
        <w:pStyle w:val="BodyText"/>
      </w:pPr>
      <w:r>
        <w:t xml:space="preserve">Increasing turbine density raises installed MW per square </w:t>
      </w:r>
      <w:proofErr w:type="spellStart"/>
      <w:r>
        <w:t>kilometre</w:t>
      </w:r>
      <w:proofErr w:type="spellEnd"/>
      <w:r>
        <w:t xml:space="preserve"> but increases wake losses, thereby reducing marginal yield per turbine. Power density (MW/km²) therefore represents the ratio between installed generation capacity (</w:t>
      </w:r>
      <w:proofErr w:type="spellStart"/>
      <w:r>
        <w:t>MW_gen</w:t>
      </w:r>
      <w:proofErr w:type="spellEnd"/>
      <w:r>
        <w:t>) and the occupied sea area. Increasing spacing improves yield but increases infield length and associated CAPEX. These infield effects differ across architectures: electrical string topologies and pipeline ladder systems follow different scaling laws.</w:t>
      </w:r>
    </w:p>
    <w:p w14:paraId="49ADA5F7" w14:textId="77777777" w:rsidR="00471CAA" w:rsidRDefault="00BD7805">
      <w:pPr>
        <w:pStyle w:val="BodyText"/>
      </w:pPr>
      <w:r>
        <w:t xml:space="preserve">Spacing also influences coincident peak production. Denser layouts increase the probability that </w:t>
      </w:r>
      <w:proofErr w:type="spellStart"/>
      <w:r>
        <w:t>MW_export</w:t>
      </w:r>
      <w:proofErr w:type="spellEnd"/>
      <w:r>
        <w:t xml:space="preserve"> becomes binding, raising the marginal value of export-capacity expansion. As a result, spatial design and export sizing cannot be </w:t>
      </w:r>
      <w:proofErr w:type="spellStart"/>
      <w:r>
        <w:t>optimised</w:t>
      </w:r>
      <w:proofErr w:type="spellEnd"/>
      <w:r>
        <w:t xml:space="preserve"> independently; each influences the marginal value of the other.</w:t>
      </w:r>
    </w:p>
    <w:p w14:paraId="25C4E01B" w14:textId="77777777" w:rsidR="00471CAA" w:rsidRDefault="00BD7805">
      <w:pPr>
        <w:pStyle w:val="BodyText"/>
      </w:pPr>
      <w:r>
        <w:t xml:space="preserve">The optimal power density therefore satisfies a marginal balance between yield preservation (€/MWh effect) and infrastructure expansion cost (€/MW translated into €/MWh via </w:t>
      </w:r>
      <w:proofErr w:type="spellStart"/>
      <w:r>
        <w:t>MW_export</w:t>
      </w:r>
      <w:proofErr w:type="spellEnd"/>
      <w:r>
        <w:t xml:space="preserve">). Installed power density (MW/km²) and resulting energy density (MWh/km²) therefore emerge endogenously from this equilibrium, directly linking the </w:t>
      </w:r>
      <w:proofErr w:type="spellStart"/>
      <w:r>
        <w:t>optimisation</w:t>
      </w:r>
      <w:proofErr w:type="spellEnd"/>
      <w:r>
        <w:t xml:space="preserve"> structure developed in this chapter to the research question posed in Chapter 1.</w:t>
      </w:r>
    </w:p>
    <w:p w14:paraId="0CD62A74" w14:textId="77777777" w:rsidR="00471CAA" w:rsidRDefault="00BD7805">
      <w:pPr>
        <w:pStyle w:val="BodyText"/>
      </w:pPr>
      <w:r>
        <w:t>2.5 Electricity-Based Configurations</w:t>
      </w:r>
    </w:p>
    <w:p w14:paraId="0F2751ED" w14:textId="77777777" w:rsidR="00471CAA" w:rsidRDefault="00BD7805">
      <w:pPr>
        <w:pStyle w:val="BodyText"/>
      </w:pPr>
      <w:r>
        <w:t xml:space="preserve">In electricity-export architectures, offshore converter platforms and HVDC export links typically exhibit high marginal €/MW expansion costs and discrete capacity thresholds [13]. In the Dutch North Sea context in particular, </w:t>
      </w:r>
      <w:proofErr w:type="spellStart"/>
      <w:r>
        <w:t>TenneT</w:t>
      </w:r>
      <w:proofErr w:type="spellEnd"/>
      <w:r>
        <w:t xml:space="preserve"> has </w:t>
      </w:r>
      <w:proofErr w:type="spellStart"/>
      <w:r>
        <w:t>standardised</w:t>
      </w:r>
      <w:proofErr w:type="spellEnd"/>
      <w:r>
        <w:t xml:space="preserve"> on 2 GW HVDC blocks, which structurally anchors capacity expansion in large discrete units and limits fine-grained scaling at the export level. When capacity additions occur in large blocks, the marginal €/MW of expansion can be substantial.</w:t>
      </w:r>
    </w:p>
    <w:p w14:paraId="727EA3E5" w14:textId="77777777" w:rsidR="00471CAA" w:rsidRDefault="00BD7805">
      <w:pPr>
        <w:pStyle w:val="BodyText"/>
      </w:pPr>
      <w:r>
        <w:t xml:space="preserve">In such regimes, </w:t>
      </w:r>
      <w:proofErr w:type="spellStart"/>
      <w:r>
        <w:t>optimisation</w:t>
      </w:r>
      <w:proofErr w:type="spellEnd"/>
      <w:r>
        <w:t xml:space="preserve"> </w:t>
      </w:r>
      <w:proofErr w:type="spellStart"/>
      <w:r>
        <w:t>favours</w:t>
      </w:r>
      <w:proofErr w:type="spellEnd"/>
      <w:r>
        <w:t xml:space="preserve"> preserving </w:t>
      </w:r>
      <w:proofErr w:type="spellStart"/>
      <w:r>
        <w:t>utilisation</w:t>
      </w:r>
      <w:proofErr w:type="spellEnd"/>
      <w:r>
        <w:t xml:space="preserve"> of existing capacity rather than expanding peak throughput. This can shift the optimal wind farm layout toward lower installed density and reduced coincident peak production.</w:t>
      </w:r>
    </w:p>
    <w:p w14:paraId="7F628E3C" w14:textId="77777777" w:rsidR="00471CAA" w:rsidRDefault="00BD7805">
      <w:pPr>
        <w:pStyle w:val="BodyText"/>
      </w:pPr>
      <w:r>
        <w:t>2.6 Hydrogen-Based Configurations</w:t>
      </w:r>
    </w:p>
    <w:p w14:paraId="02F7925B" w14:textId="77777777" w:rsidR="00471CAA" w:rsidRDefault="00BD7805">
      <w:pPr>
        <w:pStyle w:val="BodyText"/>
      </w:pPr>
      <w:r>
        <w:t>Hydrogen-based architectures modify the marginal scaling structure. Pipeline systems can also display discrete diameter steps, and central offshore electrolysis platforms may introduce block-wise scaling effects comparable to HVDC platforms. However, the scale and technical drivers of these thresholds differ, and their economic implications must be evaluated explicitly rather than assumed. Pipeline diameter and operating pressure determine transport capacity [6]. Compressor sizing determines the distribution of costs between distributed equipment and trunk infrastructure [5].</w:t>
      </w:r>
    </w:p>
    <w:p w14:paraId="6EB65897" w14:textId="77777777" w:rsidR="00471CAA" w:rsidRDefault="00BD7805">
      <w:pPr>
        <w:pStyle w:val="BodyText"/>
      </w:pPr>
      <w:r>
        <w:t>These parameters create different marginal regimes. Capacity expansion may be more continuous than under discrete HVDC blocks, and marginal €/MW scaling may be lower under certain configurations. In such cases, higher installed density can remain economically justified before capacity expansion becomes binding.</w:t>
      </w:r>
    </w:p>
    <w:p w14:paraId="64718726" w14:textId="77777777" w:rsidR="00471CAA" w:rsidRDefault="00BD7805">
      <w:pPr>
        <w:pStyle w:val="BodyText"/>
      </w:pPr>
      <w:r>
        <w:t>Hydrogen does not eliminate peak sensitivity; it alters the marginal structure within which peak decisions are made.</w:t>
      </w:r>
    </w:p>
    <w:p w14:paraId="725ABBF5" w14:textId="77777777" w:rsidR="00471CAA" w:rsidRDefault="00BD7805">
      <w:pPr>
        <w:pStyle w:val="BodyText"/>
      </w:pPr>
      <w:r>
        <w:t>2.7 Structural Hypothesis</w:t>
      </w:r>
    </w:p>
    <w:p w14:paraId="1DE98936" w14:textId="77777777" w:rsidR="00471CAA" w:rsidRDefault="00BD7805">
      <w:pPr>
        <w:pStyle w:val="BodyText"/>
      </w:pPr>
      <w:r>
        <w:t xml:space="preserve">The central hypothesis is therefore stated in marginal-economic terms. Empirically, regime shifts are expected to manifest as changes in optimal wind farm power density, export capacity sizing, and the degree of curtailment-by-design within the </w:t>
      </w:r>
      <w:proofErr w:type="spellStart"/>
      <w:r>
        <w:t>optimisation</w:t>
      </w:r>
      <w:proofErr w:type="spellEnd"/>
      <w:r>
        <w:t xml:space="preserve"> results. Empirically, regime shifts are expected to manifest as changes in optimal wind farm power density, export capacity sizing, and the degree of curtailment-by-design within the </w:t>
      </w:r>
      <w:proofErr w:type="spellStart"/>
      <w:r>
        <w:t>optimisation</w:t>
      </w:r>
      <w:proofErr w:type="spellEnd"/>
      <w:r>
        <w:t xml:space="preserve"> results. Here, a ‘regime’ refers to the dominance structure between marginal capacity-expansion cost (€/MW) and marginal yield-preservation value (€/MWh), including the effect of discrete thresholds in either generation- or export-side scaling. In essence, the </w:t>
      </w:r>
      <w:proofErr w:type="spellStart"/>
      <w:r>
        <w:t>optimisation</w:t>
      </w:r>
      <w:proofErr w:type="spellEnd"/>
      <w:r>
        <w:t xml:space="preserve"> outcome depends on which of these marginal forces is stronger at the design margin:</w:t>
      </w:r>
    </w:p>
    <w:p w14:paraId="2341A2FA" w14:textId="77777777" w:rsidR="00471CAA" w:rsidRDefault="00BD7805">
      <w:pPr>
        <w:pStyle w:val="BodyText"/>
      </w:pPr>
      <w:r>
        <w:t xml:space="preserve">The choice of energy carrier modifies subsystem-level marginal scaling </w:t>
      </w:r>
      <w:proofErr w:type="spellStart"/>
      <w:r>
        <w:t>behaviour</w:t>
      </w:r>
      <w:proofErr w:type="spellEnd"/>
      <w:r>
        <w:t xml:space="preserve">. When marginal capacity expansion cost (€/MW) dominates the marginal value of yield preservation (€/MWh), </w:t>
      </w:r>
      <w:proofErr w:type="spellStart"/>
      <w:r>
        <w:t>optimisation</w:t>
      </w:r>
      <w:proofErr w:type="spellEnd"/>
      <w:r>
        <w:t xml:space="preserve"> shifts toward </w:t>
      </w:r>
      <w:proofErr w:type="spellStart"/>
      <w:r>
        <w:t>utilisation-maximising</w:t>
      </w:r>
      <w:proofErr w:type="spellEnd"/>
      <w:r>
        <w:t xml:space="preserve"> regimes and lower installed density. When marginal scaling is more gradual, higher installed density may remain optimal.</w:t>
      </w:r>
    </w:p>
    <w:p w14:paraId="281619CD" w14:textId="77777777" w:rsidR="00471CAA" w:rsidRDefault="00BD7805">
      <w:pPr>
        <w:pStyle w:val="BodyText"/>
      </w:pPr>
      <w:r>
        <w:t xml:space="preserve">Offshore energy density (MWh/km²) therefore emerges as an </w:t>
      </w:r>
      <w:proofErr w:type="spellStart"/>
      <w:r>
        <w:t>optimisation</w:t>
      </w:r>
      <w:proofErr w:type="spellEnd"/>
      <w:r>
        <w:t xml:space="preserve"> outcome determined by the interaction between marginal capacity-expansion costs (€/MW) and marginal yield-preservation value (€/MWh), rather than as a fixed technical property of the wind resource.</w:t>
      </w:r>
    </w:p>
    <w:p w14:paraId="72E8A429" w14:textId="77777777" w:rsidR="00471CAA" w:rsidRDefault="00BD7805">
      <w:pPr>
        <w:pStyle w:val="BodyText"/>
      </w:pPr>
      <w:r>
        <w:t>2.8 Model Closure and Structural Interactions</w:t>
      </w:r>
    </w:p>
    <w:p w14:paraId="61EEBF2A" w14:textId="77777777" w:rsidR="00471CAA" w:rsidRDefault="00BD7805">
      <w:pPr>
        <w:pStyle w:val="BodyText"/>
      </w:pPr>
      <w:r>
        <w:t xml:space="preserve">The </w:t>
      </w:r>
      <w:proofErr w:type="spellStart"/>
      <w:r>
        <w:t>optimisation</w:t>
      </w:r>
      <w:proofErr w:type="spellEnd"/>
      <w:r>
        <w:t xml:space="preserve"> framework rests on an explicit model closure. Carrier choice modifies the scaling relations within this closure by altering how generation, conversion, aggregation, and transport capacity propagate through the offshore system. The objective is not to pre-identify “regime-critical parameters,” but to </w:t>
      </w:r>
      <w:proofErr w:type="spellStart"/>
      <w:r>
        <w:t>endogenise</w:t>
      </w:r>
      <w:proofErr w:type="spellEnd"/>
      <w:r>
        <w:t xml:space="preserve"> the structural relationships through which regimes may emerge.</w:t>
      </w:r>
    </w:p>
    <w:p w14:paraId="1F289B48" w14:textId="77777777" w:rsidR="00471CAA" w:rsidRDefault="00BD7805">
      <w:pPr>
        <w:pStyle w:val="BodyText"/>
      </w:pPr>
      <w:r>
        <w:t>Three analytical levels are distinguished.</w:t>
      </w:r>
    </w:p>
    <w:p w14:paraId="73D9D7A5" w14:textId="77777777" w:rsidR="00471CAA" w:rsidRDefault="00BD7805">
      <w:pPr>
        <w:pStyle w:val="BodyText"/>
      </w:pPr>
      <w:r>
        <w:t xml:space="preserve">First, exogenous boundary conditions define the physical and institutional environment within which </w:t>
      </w:r>
      <w:proofErr w:type="spellStart"/>
      <w:r>
        <w:t>optimisation</w:t>
      </w:r>
      <w:proofErr w:type="spellEnd"/>
      <w:r>
        <w:t xml:space="preserve"> takes place. These include the wind resource time series, distance to shore, seabed conditions, financing assumptions, and institutional constraints such as </w:t>
      </w:r>
      <w:proofErr w:type="spellStart"/>
      <w:r>
        <w:t>standardised</w:t>
      </w:r>
      <w:proofErr w:type="spellEnd"/>
      <w:r>
        <w:t xml:space="preserve"> HVDC block sizes. These factors are treated as given because they are not design variables within the offshore project scope considered here.</w:t>
      </w:r>
    </w:p>
    <w:p w14:paraId="0732C184" w14:textId="77777777" w:rsidR="00471CAA" w:rsidRDefault="00BD7805">
      <w:pPr>
        <w:pStyle w:val="BodyText"/>
      </w:pPr>
      <w:r>
        <w:t>Second, endogenous design variables determine how the offshore system is configured within those boundaries. These include turbine spacing and power density, infield topology, export capacity (</w:t>
      </w:r>
      <w:proofErr w:type="spellStart"/>
      <w:r>
        <w:t>MW_export</w:t>
      </w:r>
      <w:proofErr w:type="spellEnd"/>
      <w:r>
        <w:t xml:space="preserve">), </w:t>
      </w:r>
      <w:proofErr w:type="spellStart"/>
      <w:r>
        <w:t>electrolyser</w:t>
      </w:r>
      <w:proofErr w:type="spellEnd"/>
      <w:r>
        <w:t xml:space="preserve"> sizing and placement, compressor rating, pipeline diameter and pressure, and aggregation capacity. These variables are allowed to adjust simultaneously within architecture-specific feasible sets.</w:t>
      </w:r>
    </w:p>
    <w:p w14:paraId="4136A012" w14:textId="77777777" w:rsidR="00471CAA" w:rsidRDefault="00BD7805">
      <w:pPr>
        <w:pStyle w:val="BodyText"/>
      </w:pPr>
      <w:r>
        <w:t>Third, structural scaling relations connect design variables across subsystems. These include wake-loss functions, part-load efficiency curves, transport capacity equations, and discrete capacity thresholds. Regime shifts do not arise from isolated parameter values, but from the interaction of these non-linear or discrete relations across the turbine–infield–aggregation–export chain.</w:t>
      </w:r>
    </w:p>
    <w:p w14:paraId="67A7B870" w14:textId="77777777" w:rsidR="00471CAA" w:rsidRDefault="00BD7805">
      <w:pPr>
        <w:pStyle w:val="BodyText"/>
      </w:pPr>
      <w:r>
        <w:t xml:space="preserve">For example, reduced spacing increases wake interaction, which alters the temporal production profile. Changes in the production profile affect stack </w:t>
      </w:r>
      <w:proofErr w:type="spellStart"/>
      <w:r>
        <w:t>utilisation</w:t>
      </w:r>
      <w:proofErr w:type="spellEnd"/>
      <w:r>
        <w:t xml:space="preserve"> and peak aggregation, which in turn influence optimal export sizing. Export sizing feeds back into spatial design through peak-related cost structures. No single parameter determines the outcome; rather, regimes emerge from the coupled structure of these relations.</w:t>
      </w:r>
    </w:p>
    <w:p w14:paraId="285BA217" w14:textId="77777777" w:rsidR="00471CAA" w:rsidRDefault="00BD7805">
      <w:pPr>
        <w:pStyle w:val="BodyText"/>
      </w:pPr>
      <w:r>
        <w:t>The purpose of this model closure is therefore not to assume which subsystem dominates, but to allow dominance structures to arise endogenously from interacting scaling laws.</w:t>
      </w:r>
    </w:p>
    <w:p w14:paraId="5E661A6E" w14:textId="77777777" w:rsidR="00471CAA" w:rsidRDefault="00BD7805">
      <w:pPr>
        <w:pStyle w:val="BodyText"/>
      </w:pPr>
      <w:r>
        <w:t>2.9 Functional Specification, Calibration, and Validation</w:t>
      </w:r>
    </w:p>
    <w:p w14:paraId="0E10D225" w14:textId="77777777" w:rsidR="00471CAA" w:rsidRDefault="00BD7805">
      <w:pPr>
        <w:pStyle w:val="BodyText"/>
      </w:pPr>
      <w:r>
        <w:t>While Chapter 2 defines the conceptual structure, quantitative results depend on the functional specification and calibration of subsystem relations. Each structural relation introduced above is implemented through explicit cost and performance functions in Chapter 4.</w:t>
      </w:r>
    </w:p>
    <w:p w14:paraId="365A834C" w14:textId="77777777" w:rsidR="00471CAA" w:rsidRDefault="00BD7805">
      <w:pPr>
        <w:pStyle w:val="BodyText"/>
      </w:pPr>
      <w:r>
        <w:t xml:space="preserve">These include: • Wake-loss relations linking spacing to effective turbine output, • Infield length and topology functions linking layout to infrastructure cost, including architecture-dependent loss and availability effects where network redundancy alters effective delivered energy, • </w:t>
      </w:r>
      <w:proofErr w:type="spellStart"/>
      <w:r>
        <w:t>Electrolyser</w:t>
      </w:r>
      <w:proofErr w:type="spellEnd"/>
      <w:r>
        <w:t xml:space="preserve"> efficiency curves and stack-sizing relations, • Compression and pipeline transport equations linking diameter and pressure to peak throughput, • HVDC block-cost functions reflecting discrete expansion thresholds.</w:t>
      </w:r>
    </w:p>
    <w:p w14:paraId="496BDABE" w14:textId="77777777" w:rsidR="00471CAA" w:rsidRDefault="00BD7805">
      <w:pPr>
        <w:pStyle w:val="BodyText"/>
      </w:pPr>
      <w:r>
        <w:t>Functional forms are selected based on established engineering literature and industry data. Parameter values are drawn from publicly available sources, technical reports, and empirical studies, and are subjected to sensitivity analysis.</w:t>
      </w:r>
    </w:p>
    <w:p w14:paraId="49B38696" w14:textId="77777777" w:rsidR="00471CAA" w:rsidRDefault="00BD7805">
      <w:pPr>
        <w:pStyle w:val="BodyText"/>
      </w:pPr>
      <w:r>
        <w:t xml:space="preserve">Importantly, robustness is evaluated at the level of structural </w:t>
      </w:r>
      <w:proofErr w:type="spellStart"/>
      <w:r>
        <w:t>behaviour</w:t>
      </w:r>
      <w:proofErr w:type="spellEnd"/>
      <w:r>
        <w:t xml:space="preserve"> rather than single-point estimates. Sensitivity analysis tests whether qualitative regime patterns persist under plausible variation in key parameters. Where regime shifts depend on narrow parameter ranges, this is made explicit.</w:t>
      </w:r>
    </w:p>
    <w:p w14:paraId="073F00FC" w14:textId="77777777" w:rsidR="00471CAA" w:rsidRDefault="00BD7805">
      <w:pPr>
        <w:pStyle w:val="BodyText"/>
      </w:pPr>
      <w:r>
        <w:t xml:space="preserve">Parameter magnitudes influence quantitative outcomes. For this reason, all functional forms and parameter values are explicitly documented, referenced where possible, and subjected to robustness testing. Regime conclusions are retained only where qualitative </w:t>
      </w:r>
      <w:proofErr w:type="spellStart"/>
      <w:r>
        <w:t>behaviour</w:t>
      </w:r>
      <w:proofErr w:type="spellEnd"/>
      <w:r>
        <w:t xml:space="preserve"> persists under plausible parameter variation.</w:t>
      </w:r>
    </w:p>
    <w:p w14:paraId="17158AE2" w14:textId="77777777" w:rsidR="00471CAA" w:rsidRDefault="00BD7805">
      <w:pPr>
        <w:pStyle w:val="BodyText"/>
      </w:pPr>
      <w:r>
        <w:t>By separating structural logic (Chapter 2) from numerical specification (Chapter 4), the dissertation ensures that conclusions follow from transparent modelling choices rather than implicit assumptions.</w:t>
      </w:r>
    </w:p>
    <w:p w14:paraId="307DB095" w14:textId="77777777" w:rsidR="00471CAA" w:rsidRDefault="00BD7805">
      <w:pPr>
        <w:pStyle w:val="BodyText"/>
      </w:pPr>
      <w:r>
        <w:t>2.10 Infrastructure Modelling Requirement</w:t>
      </w:r>
    </w:p>
    <w:p w14:paraId="60EC0B9C" w14:textId="77777777" w:rsidR="00471CAA" w:rsidRDefault="00BD7805">
      <w:pPr>
        <w:pStyle w:val="BodyText"/>
      </w:pPr>
      <w:r>
        <w:t xml:space="preserve">Infrastructure costs are not imposed as fixed coefficients. They are endogenous consequences of layout and capacity choices. Turbine spacing affects production profiles; production profiles determine </w:t>
      </w:r>
      <w:proofErr w:type="spellStart"/>
      <w:r>
        <w:t>MW_export</w:t>
      </w:r>
      <w:proofErr w:type="spellEnd"/>
      <w:r>
        <w:t xml:space="preserve">; </w:t>
      </w:r>
      <w:proofErr w:type="spellStart"/>
      <w:r>
        <w:t>MW_export</w:t>
      </w:r>
      <w:proofErr w:type="spellEnd"/>
      <w:r>
        <w:t xml:space="preserve"> determines infrastructure dimensions (cable cross-sections, voltage levels, pipeline diameters, pressures); costs follow from these technical dimensions.</w:t>
      </w:r>
    </w:p>
    <w:p w14:paraId="5A864473" w14:textId="77777777" w:rsidR="00471CAA" w:rsidRDefault="00BD7805">
      <w:pPr>
        <w:pStyle w:val="BodyText"/>
      </w:pPr>
      <w:r>
        <w:t>Robust comparison between electricity and hydrogen architectures therefore requires explicit modelling of infield topology, aggregation sizing, export scaling, and transport physics. Chapter 4 makes these discrete and continuous scaling thresholds explicit and analyses under which technical and economic assumptions regime shifts occur. Only under such endogenous modelling can the economically optimal configuration and resulting energy density be derived without embedding architectural bias. The following chapter therefore examines how different offshore system architectures implement these scaling relations in practice and how they constrain the feasible design space of offshore wind farms.</w:t>
      </w:r>
    </w:p>
    <w:p w14:paraId="6BFCD561" w14:textId="77777777" w:rsidR="00471CAA" w:rsidRDefault="00BD7805">
      <w:pPr>
        <w:pStyle w:val="Heading2"/>
      </w:pPr>
      <w:bookmarkStart w:id="10" w:name="references-to-verify"/>
      <w:bookmarkEnd w:id="9"/>
      <w:r>
        <w:t>References (to verify)</w:t>
      </w:r>
    </w:p>
    <w:p w14:paraId="5D92CFC4" w14:textId="77777777" w:rsidR="00471CAA" w:rsidRDefault="00BD7805">
      <w:pPr>
        <w:pStyle w:val="FirstParagraph"/>
      </w:pPr>
      <w:r>
        <w:t xml:space="preserve">[1] EU_GreenDeal_2019 — European Commission. (2019). </w:t>
      </w:r>
      <w:r>
        <w:rPr>
          <w:i/>
          <w:iCs/>
        </w:rPr>
        <w:t>The European Green Deal</w:t>
      </w:r>
      <w:r>
        <w:t xml:space="preserve"> (COM(2019) 640 final). EUR‑Lex. URL: https://eur-lex.europa.eu/legal-content/EN/TXT/?uri=CELEX:52019DC0640 </w:t>
      </w:r>
      <w:proofErr w:type="spellStart"/>
      <w:r>
        <w:t>Vindplaats</w:t>
      </w:r>
      <w:proofErr w:type="spellEnd"/>
      <w:r>
        <w:t xml:space="preserve">: document </w:t>
      </w:r>
      <w:proofErr w:type="spellStart"/>
      <w:r>
        <w:t>als</w:t>
      </w:r>
      <w:proofErr w:type="spellEnd"/>
      <w:r>
        <w:t xml:space="preserve"> </w:t>
      </w:r>
      <w:proofErr w:type="spellStart"/>
      <w:r>
        <w:t>geheel</w:t>
      </w:r>
      <w:proofErr w:type="spellEnd"/>
      <w:r>
        <w:t xml:space="preserve"> (</w:t>
      </w:r>
      <w:proofErr w:type="spellStart"/>
      <w:r>
        <w:t>positionering</w:t>
      </w:r>
      <w:proofErr w:type="spellEnd"/>
      <w:r>
        <w:t xml:space="preserve"> Green Deal; </w:t>
      </w:r>
      <w:proofErr w:type="spellStart"/>
      <w:r>
        <w:t>energie</w:t>
      </w:r>
      <w:proofErr w:type="spellEnd"/>
      <w:r>
        <w:t xml:space="preserve">/hydrogen context).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643970D6" w14:textId="77777777" w:rsidR="00471CAA" w:rsidRDefault="00BD7805">
      <w:pPr>
        <w:pStyle w:val="BodyText"/>
      </w:pPr>
      <w:r>
        <w:t xml:space="preserve">[2] Liebreich_H2Ladder — </w:t>
      </w:r>
      <w:proofErr w:type="spellStart"/>
      <w:r>
        <w:t>Liebreich</w:t>
      </w:r>
      <w:proofErr w:type="spellEnd"/>
      <w:r>
        <w:t xml:space="preserve"> Associates / Michael Liebreich. (2023). </w:t>
      </w:r>
      <w:r>
        <w:rPr>
          <w:i/>
          <w:iCs/>
        </w:rPr>
        <w:t>Hydrogen Ladder Version 5.0</w:t>
      </w:r>
      <w:r>
        <w:t xml:space="preserve"> (</w:t>
      </w:r>
      <w:proofErr w:type="spellStart"/>
      <w:r>
        <w:t>webpublicatie</w:t>
      </w:r>
      <w:proofErr w:type="spellEnd"/>
      <w:r>
        <w:t xml:space="preserve">). URL: https://liebreich.com/hydrogen-ladder-version-5-0/ </w:t>
      </w:r>
      <w:proofErr w:type="spellStart"/>
      <w:r>
        <w:t>Vindplaats</w:t>
      </w:r>
      <w:proofErr w:type="spellEnd"/>
      <w:r>
        <w:t>: ladder/</w:t>
      </w:r>
      <w:proofErr w:type="spellStart"/>
      <w:r>
        <w:t>logica</w:t>
      </w:r>
      <w:proofErr w:type="spellEnd"/>
      <w:r>
        <w:t xml:space="preserve"> “electricity preferred unless molecule required”.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0AAAAB65" w14:textId="77777777" w:rsidR="00471CAA" w:rsidRDefault="00BD7805">
      <w:pPr>
        <w:pStyle w:val="BodyText"/>
      </w:pPr>
      <w:r>
        <w:t xml:space="preserve">[3] EU_RFNBOMethod_2023_1184 — Commission Delegated Regulation (EU) 2023/1184 (10 February 2023), Union methodology for RFNBOs. EUR‑Lex (OJ L 157, 20.6.2023). URL: https://eur-lex.europa.eu/eli/reg_del/2023/1184/oj/eng </w:t>
      </w:r>
      <w:proofErr w:type="spellStart"/>
      <w:r>
        <w:t>Vindplaats</w:t>
      </w:r>
      <w:proofErr w:type="spellEnd"/>
      <w:r>
        <w:t xml:space="preserve">: recitals </w:t>
      </w:r>
      <w:proofErr w:type="spellStart"/>
      <w:r>
        <w:t>en</w:t>
      </w:r>
      <w:proofErr w:type="spellEnd"/>
      <w:r>
        <w:t xml:space="preserve"> </w:t>
      </w:r>
      <w:proofErr w:type="spellStart"/>
      <w:r>
        <w:t>artikelen</w:t>
      </w:r>
      <w:proofErr w:type="spellEnd"/>
      <w:r>
        <w:t xml:space="preserve"> over </w:t>
      </w:r>
      <w:proofErr w:type="spellStart"/>
      <w:r>
        <w:t>afhankelijkheid</w:t>
      </w:r>
      <w:proofErr w:type="spellEnd"/>
      <w:r>
        <w:t xml:space="preserve"> van renewable electricity </w:t>
      </w:r>
      <w:proofErr w:type="spellStart"/>
      <w:r>
        <w:t>en</w:t>
      </w:r>
      <w:proofErr w:type="spellEnd"/>
      <w:r>
        <w:t xml:space="preserve"> additionality‑regels.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507DF983" w14:textId="77777777" w:rsidR="00471CAA" w:rsidRDefault="00BD7805">
      <w:pPr>
        <w:pStyle w:val="BodyText"/>
      </w:pPr>
      <w:r>
        <w:t xml:space="preserve">[4] HamburgDecl_EnergyMin_2026 — North Sea Summit / Energy Ministers. (2026). </w:t>
      </w:r>
      <w:r>
        <w:rPr>
          <w:i/>
          <w:iCs/>
        </w:rPr>
        <w:t>Hamburg Declaration of Energy Ministers</w:t>
      </w:r>
      <w:r>
        <w:t xml:space="preserve">. URL: https://windeurope.org/files/news/2026/hamburg-declaration-of-energy-ministers.pdf </w:t>
      </w:r>
      <w:proofErr w:type="spellStart"/>
      <w:r>
        <w:t>Vindplaats</w:t>
      </w:r>
      <w:proofErr w:type="spellEnd"/>
      <w:r>
        <w:t xml:space="preserve">: passage over offshore electricity </w:t>
      </w:r>
      <w:proofErr w:type="spellStart"/>
      <w:r>
        <w:t>en</w:t>
      </w:r>
      <w:proofErr w:type="spellEnd"/>
      <w:r>
        <w:t xml:space="preserve"> hydrogen </w:t>
      </w:r>
      <w:proofErr w:type="spellStart"/>
      <w:r>
        <w:t>productie</w:t>
      </w:r>
      <w:proofErr w:type="spellEnd"/>
      <w:r>
        <w:t xml:space="preserve">.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0BD9FCCC" w14:textId="77777777" w:rsidR="00471CAA" w:rsidRDefault="00BD7805">
      <w:pPr>
        <w:pStyle w:val="BodyText"/>
      </w:pPr>
      <w:r>
        <w:t xml:space="preserve">[5] Khan_H2Compression_2021 — Khan, M.A., Young, C., MacKinnon, C., &amp; </w:t>
      </w:r>
      <w:proofErr w:type="spellStart"/>
      <w:r>
        <w:t>Layzell</w:t>
      </w:r>
      <w:proofErr w:type="spellEnd"/>
      <w:r>
        <w:t xml:space="preserve">, D. (2021). </w:t>
      </w:r>
      <w:r>
        <w:rPr>
          <w:i/>
          <w:iCs/>
        </w:rPr>
        <w:t>The Techno‑Economics of Hydrogen Compression</w:t>
      </w:r>
      <w:r>
        <w:t xml:space="preserve">. Transition Accelerator Technical Briefs Vol.1 Issue 1. URL: https://docs.nlr.gov/docs/fy24osti/87625.pdf </w:t>
      </w:r>
      <w:proofErr w:type="spellStart"/>
      <w:r>
        <w:t>Vindplaats</w:t>
      </w:r>
      <w:proofErr w:type="spellEnd"/>
      <w:r>
        <w:t xml:space="preserve">: compressor scaling </w:t>
      </w:r>
      <w:proofErr w:type="spellStart"/>
      <w:r>
        <w:t>en</w:t>
      </w:r>
      <w:proofErr w:type="spellEnd"/>
      <w:r>
        <w:t xml:space="preserve"> </w:t>
      </w:r>
      <w:proofErr w:type="spellStart"/>
      <w:r>
        <w:t>kostenstructuur</w:t>
      </w:r>
      <w:proofErr w:type="spellEnd"/>
      <w:r>
        <w:t xml:space="preserve">.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44C3C84B" w14:textId="77777777" w:rsidR="00471CAA" w:rsidRDefault="00BD7805">
      <w:pPr>
        <w:pStyle w:val="BodyText"/>
      </w:pPr>
      <w:r>
        <w:t xml:space="preserve">[6] Khan_H2Pipeline_2021 — Khan, M.A., Young, C., &amp; </w:t>
      </w:r>
      <w:proofErr w:type="spellStart"/>
      <w:r>
        <w:t>Layzell</w:t>
      </w:r>
      <w:proofErr w:type="spellEnd"/>
      <w:r>
        <w:t xml:space="preserve">, D.B. (2021). </w:t>
      </w:r>
      <w:r>
        <w:rPr>
          <w:i/>
          <w:iCs/>
        </w:rPr>
        <w:t>The Techno‑Economics of Hydrogen Pipelines</w:t>
      </w:r>
      <w:r>
        <w:t xml:space="preserve">. Transition Accelerator Technical Briefs Vol.1 Issue 2. </w:t>
      </w:r>
      <w:proofErr w:type="spellStart"/>
      <w:r>
        <w:t>Vindplaats</w:t>
      </w:r>
      <w:proofErr w:type="spellEnd"/>
      <w:r>
        <w:t xml:space="preserve">: </w:t>
      </w:r>
      <w:proofErr w:type="spellStart"/>
      <w:r>
        <w:t>relatie</w:t>
      </w:r>
      <w:proofErr w:type="spellEnd"/>
      <w:r>
        <w:t xml:space="preserve"> </w:t>
      </w:r>
      <w:proofErr w:type="spellStart"/>
      <w:r>
        <w:t>tussen</w:t>
      </w:r>
      <w:proofErr w:type="spellEnd"/>
      <w:r>
        <w:t xml:space="preserve"> pipeline diameter, </w:t>
      </w:r>
      <w:proofErr w:type="spellStart"/>
      <w:r>
        <w:t>druk</w:t>
      </w:r>
      <w:proofErr w:type="spellEnd"/>
      <w:r>
        <w:t xml:space="preserve"> </w:t>
      </w:r>
      <w:proofErr w:type="spellStart"/>
      <w:r>
        <w:t>en</w:t>
      </w:r>
      <w:proofErr w:type="spellEnd"/>
      <w:r>
        <w:t xml:space="preserve"> </w:t>
      </w:r>
      <w:proofErr w:type="spellStart"/>
      <w:r>
        <w:t>transportcapaciteit</w:t>
      </w:r>
      <w:proofErr w:type="spellEnd"/>
      <w:r>
        <w:t xml:space="preserve">.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25E7C934" w14:textId="77777777" w:rsidR="00471CAA" w:rsidRDefault="00BD7805">
      <w:pPr>
        <w:pStyle w:val="BodyText"/>
      </w:pPr>
      <w:r>
        <w:t xml:space="preserve">[7] Hirth_ValueWind_2013 — Hirth, L. (2013). </w:t>
      </w:r>
      <w:r>
        <w:rPr>
          <w:i/>
          <w:iCs/>
        </w:rPr>
        <w:t>The market value of variable renewables: The effect of solar wind power variability on their relative price</w:t>
      </w:r>
      <w:r>
        <w:t xml:space="preserve">. Energy Economics, 38, 218–236. </w:t>
      </w:r>
      <w:proofErr w:type="spellStart"/>
      <w:r>
        <w:t>Vindplaats</w:t>
      </w:r>
      <w:proofErr w:type="spellEnd"/>
      <w:r>
        <w:t xml:space="preserve">: price </w:t>
      </w:r>
      <w:proofErr w:type="spellStart"/>
      <w:r>
        <w:t>cannibalisation</w:t>
      </w:r>
      <w:proofErr w:type="spellEnd"/>
      <w:r>
        <w:t xml:space="preserve"> / declining market value of variable renewables.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481E8F34" w14:textId="77777777" w:rsidR="00471CAA" w:rsidRDefault="00BD7805">
      <w:pPr>
        <w:pStyle w:val="BodyText"/>
      </w:pPr>
      <w:r>
        <w:t xml:space="preserve">[8] MillsWiser_Curtailment_2012 — Mills, A., &amp; Wiser, R. (2012). </w:t>
      </w:r>
      <w:r>
        <w:rPr>
          <w:i/>
          <w:iCs/>
        </w:rPr>
        <w:t>Changes in the economic value of wind energy and flexible resources at increasing penetration levels in the Rocky Mountain Power Area</w:t>
      </w:r>
      <w:r>
        <w:t xml:space="preserve">. Energy Journal. </w:t>
      </w:r>
      <w:proofErr w:type="spellStart"/>
      <w:r>
        <w:t>Vindplaats</w:t>
      </w:r>
      <w:proofErr w:type="spellEnd"/>
      <w:r>
        <w:t xml:space="preserve">: curtailment dynamics and declining marginal value of wind generation.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5768AA63" w14:textId="77777777" w:rsidR="00471CAA" w:rsidRDefault="00BD7805">
      <w:pPr>
        <w:pStyle w:val="BodyText"/>
      </w:pPr>
      <w:r>
        <w:t xml:space="preserve">[9] BrownReichenberg_Curtailment_2021 — Brown, T., &amp; Reichenberg, L. (2021). </w:t>
      </w:r>
      <w:r>
        <w:rPr>
          <w:i/>
          <w:iCs/>
        </w:rPr>
        <w:t>Decreasing market value of variable renewables is a result of policy, not variability</w:t>
      </w:r>
      <w:r>
        <w:t xml:space="preserve">. Energy Economics. </w:t>
      </w:r>
      <w:proofErr w:type="spellStart"/>
      <w:r>
        <w:t>Vindplaats</w:t>
      </w:r>
      <w:proofErr w:type="spellEnd"/>
      <w:r>
        <w:t xml:space="preserve">: discussion of market value decline and system integration dynamics.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655D7267" w14:textId="77777777" w:rsidR="00471CAA" w:rsidRDefault="00BD7805">
      <w:pPr>
        <w:pStyle w:val="BodyText"/>
      </w:pPr>
      <w:r>
        <w:t xml:space="preserve">[10] Jensen_WakeModel_1983 — Jensen, N.O. (1983). </w:t>
      </w:r>
      <w:r>
        <w:rPr>
          <w:i/>
          <w:iCs/>
        </w:rPr>
        <w:t>A note on wind generator interaction</w:t>
      </w:r>
      <w:r>
        <w:t xml:space="preserve">. Risø National Laboratory Report. </w:t>
      </w:r>
      <w:proofErr w:type="spellStart"/>
      <w:r>
        <w:t>Vindplaats</w:t>
      </w:r>
      <w:proofErr w:type="spellEnd"/>
      <w:r>
        <w:t xml:space="preserve">: classical wake interaction model used for spacing and wake loss estimation.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4CFABC79" w14:textId="77777777" w:rsidR="00471CAA" w:rsidRDefault="00BD7805">
      <w:pPr>
        <w:pStyle w:val="BodyText"/>
      </w:pPr>
      <w:r>
        <w:t xml:space="preserve">[11] Barthelmie_WakeLoss_2010 — </w:t>
      </w:r>
      <w:proofErr w:type="spellStart"/>
      <w:r>
        <w:t>Barthelmie</w:t>
      </w:r>
      <w:proofErr w:type="spellEnd"/>
      <w:r>
        <w:t xml:space="preserve">, R.J. et al. (2010). </w:t>
      </w:r>
      <w:r>
        <w:rPr>
          <w:i/>
          <w:iCs/>
        </w:rPr>
        <w:t>Quantifying the impact of wind turbine wakes on power output at offshore wind farms</w:t>
      </w:r>
      <w:r>
        <w:t xml:space="preserve">. Journal of Atmospheric and Oceanic Technology. </w:t>
      </w:r>
      <w:proofErr w:type="spellStart"/>
      <w:r>
        <w:t>Vindplaats</w:t>
      </w:r>
      <w:proofErr w:type="spellEnd"/>
      <w:r>
        <w:t xml:space="preserve">: empirical wake-loss evidence for offshore wind farms.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4A1D4CBE" w14:textId="77777777" w:rsidR="00471CAA" w:rsidRDefault="00BD7805">
      <w:pPr>
        <w:pStyle w:val="BodyText"/>
      </w:pPr>
      <w:r>
        <w:t xml:space="preserve">[12] IEA_OffshoreWindOutlook_2019 — International Energy Agency. (2019). </w:t>
      </w:r>
      <w:r>
        <w:rPr>
          <w:i/>
          <w:iCs/>
        </w:rPr>
        <w:t>Offshore Wind Outlook 2019</w:t>
      </w:r>
      <w:r>
        <w:t xml:space="preserve">. IEA. </w:t>
      </w:r>
      <w:proofErr w:type="spellStart"/>
      <w:r>
        <w:t>Vindplaats</w:t>
      </w:r>
      <w:proofErr w:type="spellEnd"/>
      <w:r>
        <w:t xml:space="preserve">: global offshore wind expansion, infrastructure scaling and system integration.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6115E63E" w14:textId="77777777" w:rsidR="00471CAA" w:rsidRDefault="00BD7805">
      <w:pPr>
        <w:pStyle w:val="BodyText"/>
      </w:pPr>
      <w:r>
        <w:t xml:space="preserve">[13] ENTSOe_OffshoreGrid_2023 — ENTSO‑E. (2023). </w:t>
      </w:r>
      <w:r>
        <w:rPr>
          <w:i/>
          <w:iCs/>
        </w:rPr>
        <w:t>Offshore Network Development Plans / Offshore Grid Studies</w:t>
      </w:r>
      <w:r>
        <w:t xml:space="preserve">. </w:t>
      </w:r>
      <w:proofErr w:type="spellStart"/>
      <w:r>
        <w:t>Vindplaats</w:t>
      </w:r>
      <w:proofErr w:type="spellEnd"/>
      <w:r>
        <w:t xml:space="preserve">: HVDC offshore grid development and capacity block logic.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202ED4D5" w14:textId="77777777" w:rsidR="00471CAA" w:rsidRDefault="00BD7805">
      <w:pPr>
        <w:pStyle w:val="BodyText"/>
      </w:pPr>
      <w:r>
        <w:t xml:space="preserve">[14] WindEurope_Statistics_2024 — </w:t>
      </w:r>
      <w:proofErr w:type="spellStart"/>
      <w:r>
        <w:t>WindEurope</w:t>
      </w:r>
      <w:proofErr w:type="spellEnd"/>
      <w:r>
        <w:t xml:space="preserve">. (2024). </w:t>
      </w:r>
      <w:r>
        <w:rPr>
          <w:i/>
          <w:iCs/>
        </w:rPr>
        <w:t>Offshore Wind in Europe – Key Trends and Statistics</w:t>
      </w:r>
      <w:r>
        <w:t xml:space="preserve">. </w:t>
      </w:r>
      <w:proofErr w:type="spellStart"/>
      <w:r>
        <w:t>Vindplaats</w:t>
      </w:r>
      <w:proofErr w:type="spellEnd"/>
      <w:r>
        <w:t xml:space="preserve">: empirical offshore wind deployment statistics and market development.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3FA7AFF8" w14:textId="77777777" w:rsidR="00471CAA" w:rsidRDefault="00BD7805">
      <w:pPr>
        <w:pStyle w:val="BodyText"/>
      </w:pPr>
      <w:r>
        <w:t xml:space="preserve">[15] </w:t>
      </w:r>
      <w:proofErr w:type="spellStart"/>
      <w:r>
        <w:t>TenneT_OffshoreGrid_Program</w:t>
      </w:r>
      <w:proofErr w:type="spellEnd"/>
      <w:r>
        <w:t xml:space="preserve"> — </w:t>
      </w:r>
      <w:proofErr w:type="spellStart"/>
      <w:r>
        <w:t>TenneT</w:t>
      </w:r>
      <w:proofErr w:type="spellEnd"/>
      <w:r>
        <w:t xml:space="preserve">. (2023). </w:t>
      </w:r>
      <w:r>
        <w:rPr>
          <w:i/>
          <w:iCs/>
        </w:rPr>
        <w:t xml:space="preserve">Offshore Grid </w:t>
      </w:r>
      <w:proofErr w:type="spellStart"/>
      <w:r>
        <w:rPr>
          <w:i/>
          <w:iCs/>
        </w:rPr>
        <w:t>Programme</w:t>
      </w:r>
      <w:proofErr w:type="spellEnd"/>
      <w:r>
        <w:rPr>
          <w:i/>
          <w:iCs/>
        </w:rPr>
        <w:t xml:space="preserve"> Netherlands / 2‑GW Standard Platform Concept</w:t>
      </w:r>
      <w:r>
        <w:t xml:space="preserve">. </w:t>
      </w:r>
      <w:proofErr w:type="spellStart"/>
      <w:r>
        <w:t>Vindplaats</w:t>
      </w:r>
      <w:proofErr w:type="spellEnd"/>
      <w:r>
        <w:t xml:space="preserve">: </w:t>
      </w:r>
      <w:proofErr w:type="spellStart"/>
      <w:r>
        <w:t>standaardisatie</w:t>
      </w:r>
      <w:proofErr w:type="spellEnd"/>
      <w:r>
        <w:t xml:space="preserve"> van 2‑GW HVDC offshore platforms in Nederlandse </w:t>
      </w:r>
      <w:proofErr w:type="spellStart"/>
      <w:r>
        <w:t>Noordzeeplanning</w:t>
      </w:r>
      <w:proofErr w:type="spellEnd"/>
      <w:r>
        <w:t xml:space="preserve">.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1F16869A" w14:textId="77777777" w:rsidR="00471CAA" w:rsidRDefault="00BD7805">
      <w:pPr>
        <w:pStyle w:val="BodyText"/>
      </w:pPr>
      <w:r>
        <w:t xml:space="preserve">[16] </w:t>
      </w:r>
      <w:proofErr w:type="spellStart"/>
      <w:r>
        <w:t>CBS_RenewableElectricity_NL</w:t>
      </w:r>
      <w:proofErr w:type="spellEnd"/>
      <w:r>
        <w:t xml:space="preserve"> — </w:t>
      </w:r>
      <w:proofErr w:type="spellStart"/>
      <w:r>
        <w:t>Centraal</w:t>
      </w:r>
      <w:proofErr w:type="spellEnd"/>
      <w:r>
        <w:t xml:space="preserve"> Bureau </w:t>
      </w:r>
      <w:proofErr w:type="spellStart"/>
      <w:r>
        <w:t>voor</w:t>
      </w:r>
      <w:proofErr w:type="spellEnd"/>
      <w:r>
        <w:t xml:space="preserve"> de </w:t>
      </w:r>
      <w:proofErr w:type="spellStart"/>
      <w:r>
        <w:t>Statistiek</w:t>
      </w:r>
      <w:proofErr w:type="spellEnd"/>
      <w:r>
        <w:t xml:space="preserve"> (CBS). (2025). </w:t>
      </w:r>
      <w:proofErr w:type="spellStart"/>
      <w:r>
        <w:rPr>
          <w:i/>
          <w:iCs/>
        </w:rPr>
        <w:t>Hernieuwbare</w:t>
      </w:r>
      <w:proofErr w:type="spellEnd"/>
      <w:r>
        <w:rPr>
          <w:i/>
          <w:iCs/>
        </w:rPr>
        <w:t xml:space="preserve"> </w:t>
      </w:r>
      <w:proofErr w:type="spellStart"/>
      <w:r>
        <w:rPr>
          <w:i/>
          <w:iCs/>
        </w:rPr>
        <w:t>energie</w:t>
      </w:r>
      <w:proofErr w:type="spellEnd"/>
      <w:r>
        <w:rPr>
          <w:i/>
          <w:iCs/>
        </w:rPr>
        <w:t xml:space="preserve"> in Nederland</w:t>
      </w:r>
      <w:r>
        <w:t xml:space="preserve">. </w:t>
      </w:r>
      <w:proofErr w:type="spellStart"/>
      <w:r>
        <w:t>Vindplaats</w:t>
      </w:r>
      <w:proofErr w:type="spellEnd"/>
      <w:r>
        <w:t xml:space="preserve">: </w:t>
      </w:r>
      <w:proofErr w:type="spellStart"/>
      <w:r>
        <w:t>aandeel</w:t>
      </w:r>
      <w:proofErr w:type="spellEnd"/>
      <w:r>
        <w:t xml:space="preserve"> </w:t>
      </w:r>
      <w:proofErr w:type="spellStart"/>
      <w:r>
        <w:t>hernieuwbare</w:t>
      </w:r>
      <w:proofErr w:type="spellEnd"/>
      <w:r>
        <w:t xml:space="preserve"> </w:t>
      </w:r>
      <w:proofErr w:type="spellStart"/>
      <w:r>
        <w:t>elektriciteit</w:t>
      </w:r>
      <w:proofErr w:type="spellEnd"/>
      <w:r>
        <w:t xml:space="preserve"> in Nederlandse </w:t>
      </w:r>
      <w:proofErr w:type="spellStart"/>
      <w:r>
        <w:t>elektriciteitsproductie</w:t>
      </w:r>
      <w:proofErr w:type="spellEnd"/>
      <w:r>
        <w:t xml:space="preserve">.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3E367CB1" w14:textId="77777777" w:rsidR="00471CAA" w:rsidRDefault="00BD7805">
      <w:pPr>
        <w:pStyle w:val="BodyText"/>
      </w:pPr>
      <w:r>
        <w:t xml:space="preserve">[17] </w:t>
      </w:r>
      <w:proofErr w:type="spellStart"/>
      <w:r>
        <w:t>ENTSOE_NegativePrices</w:t>
      </w:r>
      <w:proofErr w:type="spellEnd"/>
      <w:r>
        <w:t xml:space="preserve"> — ENTSO‑E / Market data portals. (2025–2026). </w:t>
      </w:r>
      <w:r>
        <w:rPr>
          <w:i/>
          <w:iCs/>
        </w:rPr>
        <w:t>European electricity market price statistics</w:t>
      </w:r>
      <w:r>
        <w:t xml:space="preserve">. </w:t>
      </w:r>
      <w:proofErr w:type="spellStart"/>
      <w:r>
        <w:t>Vindplaats</w:t>
      </w:r>
      <w:proofErr w:type="spellEnd"/>
      <w:r>
        <w:t xml:space="preserve">: </w:t>
      </w:r>
      <w:proofErr w:type="spellStart"/>
      <w:r>
        <w:t>aantal</w:t>
      </w:r>
      <w:proofErr w:type="spellEnd"/>
      <w:r>
        <w:t xml:space="preserve"> </w:t>
      </w:r>
      <w:proofErr w:type="spellStart"/>
      <w:r>
        <w:t>uren</w:t>
      </w:r>
      <w:proofErr w:type="spellEnd"/>
      <w:r>
        <w:t xml:space="preserve"> met </w:t>
      </w:r>
      <w:proofErr w:type="spellStart"/>
      <w:r>
        <w:t>negatieve</w:t>
      </w:r>
      <w:proofErr w:type="spellEnd"/>
      <w:r>
        <w:t xml:space="preserve"> of </w:t>
      </w:r>
      <w:proofErr w:type="spellStart"/>
      <w:r>
        <w:t>zeer</w:t>
      </w:r>
      <w:proofErr w:type="spellEnd"/>
      <w:r>
        <w:t xml:space="preserve"> </w:t>
      </w:r>
      <w:proofErr w:type="spellStart"/>
      <w:r>
        <w:t>lage</w:t>
      </w:r>
      <w:proofErr w:type="spellEnd"/>
      <w:r>
        <w:t xml:space="preserve"> </w:t>
      </w:r>
      <w:proofErr w:type="spellStart"/>
      <w:r>
        <w:t>elektriciteitsprijzen</w:t>
      </w:r>
      <w:proofErr w:type="spellEnd"/>
      <w:r>
        <w:t xml:space="preserve">.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4B5A555C" w14:textId="77777777" w:rsidR="00471CAA" w:rsidRDefault="00BD7805">
      <w:pPr>
        <w:pStyle w:val="BodyText"/>
      </w:pPr>
      <w:r>
        <w:t xml:space="preserve">[18] </w:t>
      </w:r>
      <w:proofErr w:type="spellStart"/>
      <w:r>
        <w:t>CBS_ElectricityDemand_NL</w:t>
      </w:r>
      <w:proofErr w:type="spellEnd"/>
      <w:r>
        <w:t xml:space="preserve"> — </w:t>
      </w:r>
      <w:proofErr w:type="spellStart"/>
      <w:r>
        <w:t>Centraal</w:t>
      </w:r>
      <w:proofErr w:type="spellEnd"/>
      <w:r>
        <w:t xml:space="preserve"> Bureau </w:t>
      </w:r>
      <w:proofErr w:type="spellStart"/>
      <w:r>
        <w:t>voor</w:t>
      </w:r>
      <w:proofErr w:type="spellEnd"/>
      <w:r>
        <w:t xml:space="preserve"> de </w:t>
      </w:r>
      <w:proofErr w:type="spellStart"/>
      <w:r>
        <w:t>Statistiek</w:t>
      </w:r>
      <w:proofErr w:type="spellEnd"/>
      <w:r>
        <w:t xml:space="preserve"> (CBS). (2024). </w:t>
      </w:r>
      <w:r>
        <w:rPr>
          <w:i/>
          <w:iCs/>
        </w:rPr>
        <w:t>Electricity consumption statistics Netherlands</w:t>
      </w:r>
      <w:r>
        <w:t xml:space="preserve">. </w:t>
      </w:r>
      <w:proofErr w:type="spellStart"/>
      <w:r>
        <w:t>Vindplaats</w:t>
      </w:r>
      <w:proofErr w:type="spellEnd"/>
      <w:r>
        <w:t xml:space="preserve">: </w:t>
      </w:r>
      <w:proofErr w:type="spellStart"/>
      <w:r>
        <w:t>lange‑termijn</w:t>
      </w:r>
      <w:proofErr w:type="spellEnd"/>
      <w:r>
        <w:t xml:space="preserve"> </w:t>
      </w:r>
      <w:proofErr w:type="spellStart"/>
      <w:r>
        <w:t>ontwikkeling</w:t>
      </w:r>
      <w:proofErr w:type="spellEnd"/>
      <w:r>
        <w:t xml:space="preserve"> </w:t>
      </w:r>
      <w:proofErr w:type="spellStart"/>
      <w:r>
        <w:t>elektriciteitsvraag</w:t>
      </w:r>
      <w:proofErr w:type="spellEnd"/>
      <w:r>
        <w:t xml:space="preserve"> Nederland.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p>
    <w:p w14:paraId="63899A10" w14:textId="77777777" w:rsidR="00471CAA" w:rsidRDefault="00BD7805">
      <w:pPr>
        <w:pStyle w:val="BodyText"/>
      </w:pPr>
      <w:r>
        <w:t xml:space="preserve">[19] </w:t>
      </w:r>
      <w:proofErr w:type="spellStart"/>
      <w:r>
        <w:t>IEA_GasMarketReport</w:t>
      </w:r>
      <w:proofErr w:type="spellEnd"/>
      <w:r>
        <w:t xml:space="preserve"> — International Energy Agency. (2023). </w:t>
      </w:r>
      <w:r>
        <w:rPr>
          <w:i/>
          <w:iCs/>
        </w:rPr>
        <w:t>Gas Market Report</w:t>
      </w:r>
      <w:r>
        <w:t xml:space="preserve">. </w:t>
      </w:r>
      <w:proofErr w:type="spellStart"/>
      <w:r>
        <w:t>Vindplaats</w:t>
      </w:r>
      <w:proofErr w:type="spellEnd"/>
      <w:r>
        <w:t xml:space="preserve">: </w:t>
      </w:r>
      <w:proofErr w:type="spellStart"/>
      <w:r>
        <w:t>structurele</w:t>
      </w:r>
      <w:proofErr w:type="spellEnd"/>
      <w:r>
        <w:t xml:space="preserve"> </w:t>
      </w:r>
      <w:proofErr w:type="spellStart"/>
      <w:r>
        <w:t>veranderingen</w:t>
      </w:r>
      <w:proofErr w:type="spellEnd"/>
      <w:r>
        <w:t xml:space="preserve"> in </w:t>
      </w:r>
      <w:proofErr w:type="spellStart"/>
      <w:r>
        <w:t>Europese</w:t>
      </w:r>
      <w:proofErr w:type="spellEnd"/>
      <w:r>
        <w:t xml:space="preserve"> </w:t>
      </w:r>
      <w:proofErr w:type="spellStart"/>
      <w:r>
        <w:t>gasmarkt</w:t>
      </w:r>
      <w:proofErr w:type="spellEnd"/>
      <w:r>
        <w:t xml:space="preserve"> </w:t>
      </w:r>
      <w:proofErr w:type="spellStart"/>
      <w:r>
        <w:t>na</w:t>
      </w:r>
      <w:proofErr w:type="spellEnd"/>
      <w:r>
        <w:t xml:space="preserve"> </w:t>
      </w:r>
      <w:proofErr w:type="spellStart"/>
      <w:r>
        <w:t>wegvallen</w:t>
      </w:r>
      <w:proofErr w:type="spellEnd"/>
      <w:r>
        <w:t xml:space="preserve"> </w:t>
      </w:r>
      <w:proofErr w:type="spellStart"/>
      <w:r>
        <w:t>Russische</w:t>
      </w:r>
      <w:proofErr w:type="spellEnd"/>
      <w:r>
        <w:t xml:space="preserve"> </w:t>
      </w:r>
      <w:proofErr w:type="spellStart"/>
      <w:r>
        <w:t>leveringen</w:t>
      </w:r>
      <w:proofErr w:type="spellEnd"/>
      <w:r>
        <w:t xml:space="preserve">. Status: </w:t>
      </w:r>
      <w:proofErr w:type="spellStart"/>
      <w:r>
        <w:t>nog</w:t>
      </w:r>
      <w:proofErr w:type="spellEnd"/>
      <w:r>
        <w:t xml:space="preserve"> </w:t>
      </w:r>
      <w:proofErr w:type="spellStart"/>
      <w:r>
        <w:t>niet</w:t>
      </w:r>
      <w:proofErr w:type="spellEnd"/>
      <w:r>
        <w:t xml:space="preserve"> </w:t>
      </w:r>
      <w:proofErr w:type="spellStart"/>
      <w:r>
        <w:t>dubbel</w:t>
      </w:r>
      <w:proofErr w:type="spellEnd"/>
      <w:r>
        <w:t xml:space="preserve"> </w:t>
      </w:r>
      <w:proofErr w:type="spellStart"/>
      <w:r>
        <w:t>geverifieerd</w:t>
      </w:r>
      <w:proofErr w:type="spellEnd"/>
      <w:r>
        <w:t>.</w:t>
      </w:r>
      <w:bookmarkEnd w:id="0"/>
      <w:bookmarkEnd w:id="10"/>
    </w:p>
    <w:sectPr w:rsidR="00471CAA">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DengXian Light">
    <w:altName w:val="等线 Light"/>
    <w:panose1 w:val="00000000000000000000"/>
    <w:charset w:val="86"/>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2EE09A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4265798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1CAA"/>
    <w:rsid w:val="0001443D"/>
    <w:rsid w:val="001C755C"/>
    <w:rsid w:val="00372E3E"/>
    <w:rsid w:val="00471CAA"/>
    <w:rsid w:val="00683D6D"/>
    <w:rsid w:val="007D2A59"/>
    <w:rsid w:val="00953CD7"/>
    <w:rsid w:val="00A468B9"/>
    <w:rsid w:val="00BA07C3"/>
    <w:rsid w:val="00BD7805"/>
    <w:rsid w:val="00BE2571"/>
    <w:rsid w:val="00BF7826"/>
    <w:rsid w:val="00C55A09"/>
    <w:rsid w:val="00F20B7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1CCFBD"/>
  <w15:docId w15:val="{4CA6D340-6B50-40B8-9375-93C2AEC69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5c92b00-d93f-4882-809f-f7c5befd140b" xsi:nil="true"/>
    <lcf76f155ced4ddcb4097134ff3c332f xmlns="6cea53e0-2c3d-4bee-90d6-026564cf89e5">
      <Terms xmlns="http://schemas.microsoft.com/office/infopath/2007/PartnerControls"/>
    </lcf76f155ced4ddcb4097134ff3c332f>
    <Status xmlns="6cea53e0-2c3d-4bee-90d6-026564cf89e5" xsi:nil="true"/>
    <_Flow_SignoffStatus xmlns="6cea53e0-2c3d-4bee-90d6-026564cf89e5" xsi:nil="true"/>
    <DocumentID xmlns="6cea53e0-2c3d-4bee-90d6-026564cf89e5" xsi:nil="true"/>
  </documentManagement>
</p:properties>
</file>

<file path=customXml/item3.xml><?xml version="1.0" encoding="utf-8"?>
<b:Sources xmlns:b="http://schemas.openxmlformats.org/officeDocument/2006/bibliography" xmlns="http://schemas.openxmlformats.org/officeDocument/2006/bibliography" SelectedStyle="\IEEE2006OfficeOnline.xsl" StyleName="IEEE" Version="2006"/>
</file>

<file path=customXml/item4.xml><?xml version="1.0" encoding="utf-8"?>
<ct:contentTypeSchema xmlns:ct="http://schemas.microsoft.com/office/2006/metadata/contentType" xmlns:ma="http://schemas.microsoft.com/office/2006/metadata/properties/metaAttributes" ct:_="" ma:_="" ma:contentTypeName="Document" ma:contentTypeID="0x01010047DB144859B4EE4CB039B18FB536882E" ma:contentTypeVersion="22" ma:contentTypeDescription="Create a new document." ma:contentTypeScope="" ma:versionID="f35f845e19e9f960c769d3eec311c6f7">
  <xsd:schema xmlns:xsd="http://www.w3.org/2001/XMLSchema" xmlns:xs="http://www.w3.org/2001/XMLSchema" xmlns:p="http://schemas.microsoft.com/office/2006/metadata/properties" xmlns:ns2="6cea53e0-2c3d-4bee-90d6-026564cf89e5" xmlns:ns3="15c92b00-d93f-4882-809f-f7c5befd140b" targetNamespace="http://schemas.microsoft.com/office/2006/metadata/properties" ma:root="true" ma:fieldsID="d2f12032b40738d4e066ed0eabdff137" ns2:_="" ns3:_="">
    <xsd:import namespace="6cea53e0-2c3d-4bee-90d6-026564cf89e5"/>
    <xsd:import namespace="15c92b00-d93f-4882-809f-f7c5befd140b"/>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2:MediaServiceLocation" minOccurs="0"/>
                <xsd:element ref="ns2:DocumentID" minOccurs="0"/>
                <xsd:element ref="ns2:_Flow_SignoffStatus" minOccurs="0"/>
                <xsd:element ref="ns2:lcf76f155ced4ddcb4097134ff3c332f" minOccurs="0"/>
                <xsd:element ref="ns3:TaxCatchAll" minOccurs="0"/>
                <xsd:element ref="ns2:Statu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ea53e0-2c3d-4bee-90d6-026564cf89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DocumentID" ma:index="20" nillable="true" ma:displayName="Document ID" ma:format="Dropdown" ma:list="6cea53e0-2c3d-4bee-90d6-026564cf89e5" ma:internalName="DocumentID" ma:showField="ID">
      <xsd:simpleType>
        <xsd:restriction base="dms:Lookup"/>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c89ec43a-4709-4bd5-aa9c-72cc12c08b5e" ma:termSetId="09814cd3-568e-fe90-9814-8d621ff8fb84" ma:anchorId="fba54fb3-c3e1-fe81-a776-ca4b69148c4d" ma:open="true" ma:isKeyword="false">
      <xsd:complexType>
        <xsd:sequence>
          <xsd:element ref="pc:Terms" minOccurs="0" maxOccurs="1"/>
        </xsd:sequence>
      </xsd:complexType>
    </xsd:element>
    <xsd:element name="Status" ma:index="25" nillable="true" ma:displayName="Release status" ma:format="Dropdown" ma:internalName="Status">
      <xsd:simpleType>
        <xsd:restriction base="dms:Choice">
          <xsd:enumeration value="Active"/>
          <xsd:enumeration value="Archived"/>
          <xsd:enumeration value="Obsolete"/>
        </xsd:restriction>
      </xsd:simpleType>
    </xsd:element>
    <xsd:element name="MediaLengthInSeconds" ma:index="26" nillable="true" ma:displayName="MediaLengthInSeconds" ma:hidden="true" ma:internalName="MediaLengthInSeconds" ma:readOnly="true">
      <xsd:simpleType>
        <xsd:restriction base="dms:Unknown"/>
      </xsd:simpleType>
    </xsd:element>
    <xsd:element name="MediaServiceObjectDetectorVersions" ma:index="27"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5c92b00-d93f-4882-809f-f7c5befd140b"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11baf65c-1aac-4aff-9538-66cf38d5d38b}" ma:internalName="TaxCatchAll" ma:showField="CatchAllData" ma:web="15c92b00-d93f-4882-809f-f7c5befd14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31A73A-C9D6-4B1D-9A94-E7D275D191A8}">
  <ds:schemaRefs>
    <ds:schemaRef ds:uri="http://schemas.microsoft.com/sharepoint/v3/contenttype/forms"/>
  </ds:schemaRefs>
</ds:datastoreItem>
</file>

<file path=customXml/itemProps2.xml><?xml version="1.0" encoding="utf-8"?>
<ds:datastoreItem xmlns:ds="http://schemas.openxmlformats.org/officeDocument/2006/customXml" ds:itemID="{E1814796-99E6-46DC-AABF-A5CF15FB0166}">
  <ds:schemaRefs>
    <ds:schemaRef ds:uri="http://schemas.microsoft.com/office/2006/metadata/properties"/>
    <ds:schemaRef ds:uri="http://schemas.microsoft.com/office/infopath/2007/PartnerControls"/>
    <ds:schemaRef ds:uri="15c92b00-d93f-4882-809f-f7c5befd140b"/>
    <ds:schemaRef ds:uri="6cea53e0-2c3d-4bee-90d6-026564cf89e5"/>
  </ds:schemaRefs>
</ds:datastoreItem>
</file>

<file path=customXml/itemProps3.xml><?xml version="1.0" encoding="utf-8"?>
<ds:datastoreItem xmlns:ds="http://schemas.openxmlformats.org/officeDocument/2006/customXml" ds:itemID="{FF4354AA-CE2D-4070-8BAB-078942B3E630}">
  <ds:schemaRefs>
    <ds:schemaRef ds:uri="http://schemas.openxmlformats.org/officeDocument/2006/bibliography"/>
  </ds:schemaRefs>
</ds:datastoreItem>
</file>

<file path=customXml/itemProps4.xml><?xml version="1.0" encoding="utf-8"?>
<ds:datastoreItem xmlns:ds="http://schemas.openxmlformats.org/officeDocument/2006/customXml" ds:itemID="{1F1676FA-296C-4C51-BE12-0BB7A0BEB2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ea53e0-2c3d-4bee-90d6-026564cf89e5"/>
    <ds:schemaRef ds:uri="15c92b00-d93f-4882-809f-f7c5befd14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5620</Words>
  <Characters>37178</Characters>
  <Application>Microsoft Office Word</Application>
  <DocSecurity>4</DocSecurity>
  <Lines>570</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JWL MOBIHY</dc:creator>
  <cp:keywords/>
  <cp:lastModifiedBy>JWL MOBIHY</cp:lastModifiedBy>
  <cp:revision>4</cp:revision>
  <dcterms:created xsi:type="dcterms:W3CDTF">2026-03-06T23:13:00Z</dcterms:created>
  <dcterms:modified xsi:type="dcterms:W3CDTF">2026-03-06T14:25:00Z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0x01010047DB144859B4EE4CB039B18FB536882E</vt:lpwstr>
  </property>
  <property fmtid="{D5CDD505-2E9C-101B-9397-08002B2CF9AE}" pid="3" name="MediaServiceImageTags">
    <vt:lpwstr/>
  </property>
</Properties>
</file>