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016BE" w14:textId="77777777" w:rsidR="00EB04DE" w:rsidRDefault="00932640">
      <w:pPr>
        <w:pStyle w:val="Heading1"/>
      </w:pPr>
      <w:bookmarkStart w:id="0" w:name="phd-draft-working-version"/>
      <w:r>
        <w:t>PhD Draft (working version)</w:t>
      </w:r>
    </w:p>
    <w:p w14:paraId="488CA1B2" w14:textId="19FA4218" w:rsidR="00EB04DE" w:rsidRDefault="005713C3">
      <w:r>
        <w:rPr>
          <w:noProof/>
        </w:rPr>
        <w:pict w14:anchorId="768A79E4">
          <v:rect id="_x0000_i1025" style="width:468pt;height:.05pt" o:hralign="center" o:hrstd="t" o:hr="t"/>
        </w:pict>
      </w:r>
    </w:p>
    <w:p w14:paraId="5623FDCF" w14:textId="77777777" w:rsidR="00EB04DE" w:rsidRDefault="00932640">
      <w:pPr>
        <w:pStyle w:val="Heading2"/>
      </w:pPr>
      <w:bookmarkStart w:id="1" w:name="X0bb82303eec4450f0afaab269b86f1628e1e9eb"/>
      <w:r>
        <w:t>Chapter 1 — Introduction: system reassessment of offshore wind</w:t>
      </w:r>
    </w:p>
    <w:p w14:paraId="74091A77" w14:textId="003C9EFA" w:rsidR="00EB04DE" w:rsidRDefault="00932640">
      <w:pPr>
        <w:pStyle w:val="Heading3"/>
      </w:pPr>
      <w:bookmarkStart w:id="2" w:name="X66d3af28d72e98cca4983f4d6ba29aef2448236"/>
      <w:r>
        <w:t xml:space="preserve">1.1 </w:t>
      </w:r>
      <w:r w:rsidR="00BD085A" w:rsidRPr="00BD085A">
        <w:t xml:space="preserve">The </w:t>
      </w:r>
      <w:r w:rsidR="00697D5B">
        <w:t>o</w:t>
      </w:r>
      <w:r w:rsidR="00BD085A" w:rsidRPr="00BD085A">
        <w:t xml:space="preserve">ffshore </w:t>
      </w:r>
      <w:r w:rsidR="00697D5B">
        <w:t>w</w:t>
      </w:r>
      <w:r w:rsidR="00BD085A" w:rsidRPr="00BD085A">
        <w:t xml:space="preserve">ind </w:t>
      </w:r>
      <w:r w:rsidR="00697D5B">
        <w:t>p</w:t>
      </w:r>
      <w:r w:rsidR="00BD085A" w:rsidRPr="00BD085A">
        <w:t xml:space="preserve">athway: </w:t>
      </w:r>
      <w:r w:rsidR="005713C3">
        <w:t>h</w:t>
      </w:r>
      <w:r w:rsidR="00BD085A" w:rsidRPr="00BD085A">
        <w:t>igh-</w:t>
      </w:r>
      <w:r w:rsidR="005713C3">
        <w:t>c</w:t>
      </w:r>
      <w:r w:rsidR="00BD085A" w:rsidRPr="00BD085A">
        <w:t xml:space="preserve">apital </w:t>
      </w:r>
      <w:r w:rsidR="005713C3">
        <w:t>c</w:t>
      </w:r>
      <w:r w:rsidR="00BD085A" w:rsidRPr="00BD085A">
        <w:t xml:space="preserve">ommitment to </w:t>
      </w:r>
      <w:r w:rsidR="005713C3">
        <w:t>e</w:t>
      </w:r>
      <w:r w:rsidR="00BD085A" w:rsidRPr="00BD085A">
        <w:t>lectrification</w:t>
      </w:r>
    </w:p>
    <w:p w14:paraId="1C4945B6" w14:textId="77777777" w:rsidR="00EB04DE" w:rsidRDefault="00932640">
      <w:pPr>
        <w:pStyle w:val="FirstParagraph"/>
      </w:pPr>
      <w:r>
        <w:t>Over the past decade, offshore wind has grown rapidly worldwide. This development fits within a dominant strategy in the energy transition: large-scale electrification of energy demand. The core assumption underlying this strategy is that energy services currently relying on fossil energy carriers—gas, oil, and coal—can largely be converted to electricity. In Northwest Europe, offshore wind is regarded as a technologically mature option that is expected to sustainably supply a substantial share of this future electricity demand.</w:t>
      </w:r>
    </w:p>
    <w:p w14:paraId="420421F9" w14:textId="77777777" w:rsidR="00EB04DE" w:rsidRDefault="00932640">
      <w:pPr>
        <w:pStyle w:val="BodyText"/>
      </w:pPr>
      <w:r>
        <w:t>In anticipation of this role, transmission system operators, including TenneT, have committed to large-scale investments in electrical offshore infrastructure. The standardisation on 2 GW HVDC stations and policy targets that assume approximately 40 GW of installed offshore wind capacity in the Dutch–German North Sea by around 2030 mark a clearly defined development pathway. This pathway requires investments of tens of billions of euros and is characterised by high capital intensity and limited reversibility. Implicit in this investment logic is the assumption that both offshore electricity production and the associated demand will grow steadily and persistently over time.</w:t>
      </w:r>
    </w:p>
    <w:p w14:paraId="3398128B" w14:textId="77777777" w:rsidR="00EB04DE" w:rsidRDefault="00932640">
      <w:pPr>
        <w:pStyle w:val="BodyText"/>
      </w:pPr>
      <w:r>
        <w:t>This assumption is politically reinforced in statements such as the Hamburg Declaration of January 2026, in which the North Sea is positioned as “Europe’s Clean Power Hub”. Offshore wind is framed not merely as a technology, but as a structural pillar of the future European energy system. The underlying expectation is that further scaling of offshore wind, combined with continued electrification of end-use sectors, will lead to an economically viable energy system.</w:t>
      </w:r>
    </w:p>
    <w:p w14:paraId="6C0C241A" w14:textId="77777777" w:rsidR="00EB04DE" w:rsidRDefault="00932640">
      <w:pPr>
        <w:pStyle w:val="Heading3"/>
      </w:pPr>
      <w:bookmarkStart w:id="3" w:name="X23c5b88b3ceaede1fffbb5006479d01e885be58"/>
      <w:bookmarkEnd w:id="2"/>
      <w:r>
        <w:t>1.2 The economic paradox: a system under pressure</w:t>
      </w:r>
    </w:p>
    <w:p w14:paraId="28D1EFD5" w14:textId="77777777" w:rsidR="00EB04DE" w:rsidRDefault="00932640">
      <w:pPr>
        <w:pStyle w:val="FirstParagraph"/>
      </w:pPr>
      <w:r>
        <w:t>This strategic commitment contrasts with recent developments in practice. Whereas offshore wind was characterised only a few years ago by zero-subsidy bids—where developers effectively paid for the right to build, in line with expectations of subsidy-free competitiveness—multiple tenders have failed in the past year, including in the United Kingdom, Denmark, Germany, and the Netherlands. This indicates that the economic balance of the current offshore wind system has shifted.</w:t>
      </w:r>
    </w:p>
    <w:p w14:paraId="18EA97EC" w14:textId="77777777" w:rsidR="00EB04DE" w:rsidRDefault="00932640">
      <w:pPr>
        <w:pStyle w:val="BodyText"/>
      </w:pPr>
      <w:r>
        <w:t>Analytically, this shift can be traced back to two interrelated developments: (i) an increase in the cost per produced MWh of offshore wind, and (ii) lagging or stagnating growth in electricity demand, despite explicit electrification policies.</w:t>
      </w:r>
    </w:p>
    <w:p w14:paraId="7AD2EE88" w14:textId="77777777" w:rsidR="00EB04DE" w:rsidRDefault="00932640">
      <w:pPr>
        <w:pStyle w:val="Heading4"/>
      </w:pPr>
      <w:bookmarkStart w:id="4" w:name="rising-costs-and-price-cannibalisation"/>
      <w:r>
        <w:t>1.2.1 Rising costs and price cannibalisation</w:t>
      </w:r>
    </w:p>
    <w:p w14:paraId="0915C149" w14:textId="77777777" w:rsidR="00EB04DE" w:rsidRDefault="00932640">
      <w:pPr>
        <w:pStyle w:val="FirstParagraph"/>
      </w:pPr>
      <w:r>
        <w:t>Offshore wind projects are highly capital-intensive. Rising interest rates in recent years have increased financing costs for capital expenditures on turbines, foundations, and offshore infrastructure. As a result, annual capital charges per installed MW have increased. When utilisation remains constant or declines, this translates directly into higher capital costs per produced MWh.</w:t>
      </w:r>
    </w:p>
    <w:p w14:paraId="22A4B3F6" w14:textId="77777777" w:rsidR="00EB04DE" w:rsidRDefault="00932640">
      <w:pPr>
        <w:pStyle w:val="BodyText"/>
      </w:pPr>
      <w:r>
        <w:t>At the same time, investment costs per installed MW have risen. This includes higher costs for turbines, foundations, and offshore infrastructure, partly due to shortages of skilled labour, materials, and installation capacity. These shortages are linked to the simultaneous scaling-up of offshore wind capacity across multiple countries.</w:t>
      </w:r>
    </w:p>
    <w:p w14:paraId="23989ED0" w14:textId="77777777" w:rsidR="00EB04DE" w:rsidRDefault="00932640">
      <w:pPr>
        <w:pStyle w:val="BodyText"/>
      </w:pPr>
      <w:r>
        <w:t>In addition to rising costs, a second mechanism has become increasingly important: price cannibalisation. As the share of variable renewable electricity generation increases—reaching approximately 57% of total electricity production in the Netherlands—periods of simultaneous high production from wind and solar occur structurally. In 2025, this resulted in roughly 630 hours with very low or negative electricity prices, indicating that this effect is no longer marginal.</w:t>
      </w:r>
    </w:p>
    <w:p w14:paraId="31115F1D" w14:textId="77777777" w:rsidR="00EB04DE" w:rsidRDefault="00932640">
      <w:pPr>
        <w:pStyle w:val="BodyText"/>
      </w:pPr>
      <w:r>
        <w:t>During such periods, electricity production is curtailed because curtailment is economically preferable to storage for most surplus volumes. Curtailment reduces the actual annual energy production (MWh), while installed capacity (MW) remains unchanged. As a result, the ratio of produced energy to installed capacity—the capacity factor—declines.</w:t>
      </w:r>
    </w:p>
    <w:p w14:paraId="027AB54E" w14:textId="77777777" w:rsidR="00EB04DE" w:rsidRDefault="00932640">
      <w:pPr>
        <w:pStyle w:val="BodyText"/>
      </w:pPr>
      <w:r>
        <w:t>The investment costs of wind turbines and electrical export infrastructure scale primarily with peak capacity (€/MW) and are only weakly dependent on actual utilisation. When these capacity-related costs are spread over fewer produced MWh, the cost per MWh increases.</w:t>
      </w:r>
    </w:p>
    <w:p w14:paraId="388A15AD" w14:textId="77777777" w:rsidR="00EB04DE" w:rsidRDefault="00932640">
      <w:pPr>
        <w:pStyle w:val="BodyText"/>
      </w:pPr>
      <w:r>
        <w:t>Technically, the capacity factor can be increased by placing turbines further apart. Larger spacing reduces wake losses, allowing individual turbines to operate closer to their maximum output more frequently. This increases utilisation of installed capacity and reduces the likelihood of simultaneous peak production and curtailment. However, lower power density also reduces total energy yield per square kilometre.</w:t>
      </w:r>
    </w:p>
    <w:p w14:paraId="246E6B5D" w14:textId="77777777" w:rsidR="00EB04DE" w:rsidRDefault="00932640">
      <w:pPr>
        <w:pStyle w:val="BodyText"/>
      </w:pPr>
      <w:r>
        <w:t>This leads to a system-level consequence. As the share of offshore wind in the overall electricity system increases, the economic optimum of new wind farms shifts towards configurations with lower power densities. These configurations require more offshore space per unit of produced energy.</w:t>
      </w:r>
    </w:p>
    <w:p w14:paraId="3B198D47" w14:textId="77777777" w:rsidR="00EB04DE" w:rsidRDefault="00932640">
      <w:pPr>
        <w:pStyle w:val="BodyText"/>
      </w:pPr>
      <w:r>
        <w:t>As a result, the economic value of offshore space declines from a project-economic perspective. In situations where subsidies are required to make projects viable, this value becomes negative. This deterioration in economic performance does not stem from technological regression, but from fundamental system mechanisms associated with a high share of wind energy in the electricity system.</w:t>
      </w:r>
    </w:p>
    <w:p w14:paraId="5E4DA300" w14:textId="77777777" w:rsidR="00EB04DE" w:rsidRDefault="00932640">
      <w:pPr>
        <w:pStyle w:val="BodyText"/>
      </w:pPr>
      <w:r>
        <w:t>Offshore space use thus becomes not only a techno-economic issue, but also a politically sensitive one. A recent study by TU Delft suggests that policy assumptions regarding the potential energy yield per square kilometre of the North Sea may be overly optimistic. This study has triggered parliamentary questions.</w:t>
      </w:r>
    </w:p>
    <w:p w14:paraId="63731868" w14:textId="77777777" w:rsidR="00EB04DE" w:rsidRDefault="00932640">
      <w:pPr>
        <w:pStyle w:val="Heading4"/>
      </w:pPr>
      <w:bookmarkStart w:id="5" w:name="Xd7162b644153b44b4e8827f8bf80a3e2f13297c"/>
      <w:bookmarkEnd w:id="4"/>
      <w:r>
        <w:t>1.2.2 Stagnating demand despite electrification policy</w:t>
      </w:r>
    </w:p>
    <w:p w14:paraId="517C2CB7" w14:textId="77777777" w:rsidR="00EB04DE" w:rsidRDefault="00932640">
      <w:pPr>
        <w:pStyle w:val="FirstParagraph"/>
      </w:pPr>
      <w:r>
        <w:t>Contrasting with growing supply is a remarkably stable electricity demand. For more than a decade, total electricity consumption in the Netherlands has barely increased, despite a period in which electrification has been increasingly promoted as a policy objective. Grid congestion is often cited as an explanation, but it can only partially account for this pattern, as both generation and transmission capacity continue to expand.</w:t>
      </w:r>
    </w:p>
    <w:p w14:paraId="23CC47A4" w14:textId="77777777" w:rsidR="00EB04DE" w:rsidRDefault="00932640">
      <w:pPr>
        <w:pStyle w:val="BodyText"/>
      </w:pPr>
      <w:r>
        <w:t>A more plausible explanation lies in energy cost developments. The loss of Russia and the Netherlands as major natural gas suppliers has led to structurally higher gas prices. This has weakened the competitive position of energy-intensive industry in the Netherlands, causing contraction in this sector and a corresponding decline in electricity demand.</w:t>
      </w:r>
    </w:p>
    <w:p w14:paraId="6EE52C47" w14:textId="77777777" w:rsidR="00EB04DE" w:rsidRDefault="00932640">
      <w:pPr>
        <w:pStyle w:val="BodyText"/>
      </w:pPr>
      <w:r>
        <w:t>For these sectors, electrification of other energy uses is currently not an economically attractive alternative. In many industrial applications, electricity remains more expensive than natural gas. Policy can encourage electrification, but it cannot compel companies to continue production at higher energy costs. In practice, it may be economically rational to cease operations rather than switch to electricity.</w:t>
      </w:r>
    </w:p>
    <w:p w14:paraId="68E0877E" w14:textId="77777777" w:rsidR="00EB04DE" w:rsidRDefault="00932640">
      <w:pPr>
        <w:pStyle w:val="BodyText"/>
      </w:pPr>
      <w:r>
        <w:t>This reveals a core problem. Offshore wind developers are investing in a system in which the cost per MWh is rising, while future demand is uncertain and may be structurally too expensive for the very parties expected to absorb a significant share of that demand.</w:t>
      </w:r>
    </w:p>
    <w:p w14:paraId="08BAD59A" w14:textId="77777777" w:rsidR="00EB04DE" w:rsidRDefault="00932640">
      <w:pPr>
        <w:pStyle w:val="Heading3"/>
      </w:pPr>
      <w:bookmarkStart w:id="6" w:name="Xd2b7917085761883074e2400269a5dd95629d5d"/>
      <w:bookmarkEnd w:id="3"/>
      <w:bookmarkEnd w:id="5"/>
      <w:r>
        <w:t>1.3 Full electrification as the default pathway — is there an alternative?</w:t>
      </w:r>
    </w:p>
    <w:p w14:paraId="02A12CD9" w14:textId="77777777" w:rsidR="00EB04DE" w:rsidRDefault="00932640">
      <w:pPr>
        <w:pStyle w:val="FirstParagraph"/>
      </w:pPr>
      <w:r>
        <w:t>In the European Green Deal (December 2019), hydrogen was positioned as an important element of the future energy system, particularly for sectors that are difficult to electrify directly, such as heavy industry and transport. Policy attention focused primarily on end-use applications, while the role of hydrogen in relation to system-level challenges associated with large-scale offshore wind development remained underexplored.</w:t>
      </w:r>
    </w:p>
    <w:p w14:paraId="7C422146" w14:textId="77777777" w:rsidR="00EB04DE" w:rsidRDefault="00932640">
      <w:pPr>
        <w:pStyle w:val="BodyText"/>
      </w:pPr>
      <w:r>
        <w:t>By 2026, it has become clear that a large share of these hydrogen ambitions has not been realised. Many projects have been delayed or not implemented. Hydrogen remains costly, while willingness to provide long-term, large-scale subsidies is limited. The dominant explanation for this outcome is thermodynamic in nature: hydrogen is produced from electricity with conversion losses, followed by additional losses during subsequent conversion. From this perspective, hydrogen is structurally more expensive than direct electrification.</w:t>
      </w:r>
    </w:p>
    <w:p w14:paraId="10036D3A" w14:textId="77777777" w:rsidR="00EB04DE" w:rsidRDefault="00932640">
      <w:pPr>
        <w:pStyle w:val="BodyText"/>
      </w:pPr>
      <w:r>
        <w:t>This reasoning is deeply embedded in policy frameworks and analytical tools, such as Liebreich’s hydrogen ladder, in which electricity is preferred in almost all applications unless the molecule is functionally necessary. European regulation follows the same ordering: renewable electricity is treated as the primary energy carrier from wind and solar, while hydrogen is defined as a derived conversion product. The additionality requirement reinforces this hierarchy by preventing electrolysers from drawing scarce renewable electricity away from direct electrification.</w:t>
      </w:r>
    </w:p>
    <w:p w14:paraId="6E81F899" w14:textId="77777777" w:rsidR="00EB04DE" w:rsidRDefault="00932640">
      <w:pPr>
        <w:pStyle w:val="BodyText"/>
      </w:pPr>
      <w:r>
        <w:t>Recent offshore wind policy statements, including the Hamburg Declaration of January 2026, explicitly position hydrogen as being produced from offshore electricity. Wind turbines are thereby primarily framed as electricity generators, with hydrogen as a downstream application.</w:t>
      </w:r>
    </w:p>
    <w:p w14:paraId="0B2AFE12" w14:textId="77777777" w:rsidR="00EB04DE" w:rsidRDefault="00932640">
      <w:pPr>
        <w:pStyle w:val="BodyText"/>
      </w:pPr>
      <w:r>
        <w:t>Taken together, this policy logic, the seemingly compelling efficiency arguments, and the limited success of hydrogen projects have led to a dominant conclusion: large-scale decarbonisation should primarily proceed through electrification. Where the system comes under pressure, policy responses focus mainly on additional subsidies rather than on reconsidering system architecture.</w:t>
      </w:r>
    </w:p>
    <w:p w14:paraId="0B61AF04" w14:textId="77777777" w:rsidR="00EB04DE" w:rsidRDefault="00932640">
      <w:pPr>
        <w:pStyle w:val="BodyText"/>
      </w:pPr>
      <w:r>
        <w:t>At the same time, a fundamental tension emerges. Hydrogen possesses system characteristics that are scarcely utilised within the dominant electrification paradigm, including relatively low infrastructure costs per MW of peak capacity, limited sensitivity to utilisation rates, and inexpensive large-scale storage per MWh. By treating wind energy primarily as electricity production and hydrogen consistently as a derived grid product, these characteristics remain outside the design space.</w:t>
      </w:r>
    </w:p>
    <w:p w14:paraId="3D83E1F4" w14:textId="77777777" w:rsidR="00EB04DE" w:rsidRDefault="00932640">
      <w:pPr>
        <w:pStyle w:val="BodyText"/>
      </w:pPr>
      <w:r>
        <w:t>This leads to the central question of this study: if electrical infrastructure is relatively capital-intensive and hydrogen infrastructure scales more favourably with peak capacity, why is it not systematically explored what it would mean to produce hydrogen directly at the wind turbine? And what would this imply for offshore wind farm design, in particular for the economically achievable energy yield per square kilometre and the comparison between electricity- and hydrogen-based configurations?</w:t>
      </w:r>
    </w:p>
    <w:p w14:paraId="07801BA5" w14:textId="77777777" w:rsidR="00EB04DE" w:rsidRDefault="00932640">
      <w:pPr>
        <w:pStyle w:val="BodyText"/>
      </w:pPr>
      <w:r>
        <w:t>This dissertation starts from the hypothesis that the current outcome pattern is not self-evident, but the result of implicit design choices. It investigates what happens when hydrogen is no longer treated as a secondary energy carrier, but as a primary design parameter in the offshore wind system.</w:t>
      </w:r>
    </w:p>
    <w:p w14:paraId="58B13FCA" w14:textId="30C64B71" w:rsidR="00EB04DE" w:rsidRDefault="005713C3">
      <w:r>
        <w:rPr>
          <w:noProof/>
        </w:rPr>
        <w:pict w14:anchorId="4838B840">
          <v:rect id="_x0000_i1026" style="width:468pt;height:.05pt" o:hralign="center" o:hrstd="t" o:hr="t"/>
        </w:pict>
      </w:r>
    </w:p>
    <w:p w14:paraId="22E900BA" w14:textId="77777777" w:rsidR="00EB04DE" w:rsidRDefault="00932640">
      <w:pPr>
        <w:pStyle w:val="Heading2"/>
      </w:pPr>
      <w:bookmarkStart w:id="7" w:name="X5a9818dbdd047b5d24c1555ce963e0fa033838f"/>
      <w:bookmarkEnd w:id="1"/>
      <w:bookmarkEnd w:id="6"/>
      <w:r>
        <w:t>Chapter 2 — Research approach: system logic, mechanisms and scenarios</w:t>
      </w:r>
    </w:p>
    <w:p w14:paraId="5FCD98F7" w14:textId="77777777" w:rsidR="00EB04DE" w:rsidRDefault="00932640">
      <w:pPr>
        <w:pStyle w:val="Heading3"/>
      </w:pPr>
      <w:bookmarkStart w:id="8" w:name="positioning-of-the-study"/>
      <w:r>
        <w:t>2.1 Positioning of the study</w:t>
      </w:r>
    </w:p>
    <w:p w14:paraId="6D721AD0" w14:textId="77777777" w:rsidR="00EB04DE" w:rsidRDefault="00932640">
      <w:pPr>
        <w:pStyle w:val="FirstParagraph"/>
      </w:pPr>
      <w:r>
        <w:t>This study is explicitly set up as a system-level analysis of offshore wind development. Its objective is not to optimise individual components, such as turbines, cables, electrolysers, or pipelines, in isolation. Instead, it investigates how offshore wind system design changes when key design choices are treated as outcomes of the system rather than as predefined inputs.</w:t>
      </w:r>
    </w:p>
    <w:p w14:paraId="4D7B8AA8" w14:textId="77777777" w:rsidR="00EB04DE" w:rsidRDefault="00932640">
      <w:pPr>
        <w:pStyle w:val="BodyText"/>
      </w:pPr>
      <w:r>
        <w:t>The focus is therefore on understanding system behaviour under different design logics, rather than identifying a single optimal configuration. Design variables emerge from the interaction between physical constraints, infrastructure cost structures, and conversion pathways.</w:t>
      </w:r>
    </w:p>
    <w:p w14:paraId="17833ADB" w14:textId="77777777" w:rsidR="00EB04DE" w:rsidRDefault="00932640">
      <w:pPr>
        <w:pStyle w:val="Heading3"/>
      </w:pPr>
      <w:bookmarkStart w:id="9" w:name="system-boundaries-and-analytical-scope"/>
      <w:bookmarkEnd w:id="8"/>
      <w:r>
        <w:t>2.2 System boundaries and analytical scope</w:t>
      </w:r>
    </w:p>
    <w:p w14:paraId="2075A5A6" w14:textId="5A21172E" w:rsidR="00EB04DE" w:rsidRDefault="00932640">
      <w:pPr>
        <w:pStyle w:val="FirstParagraph"/>
      </w:pPr>
      <w:r>
        <w:t>The system under investigation comprises offshore wind energy production</w:t>
      </w:r>
      <w:r w:rsidR="00632AFB">
        <w:t xml:space="preserve"> </w:t>
      </w:r>
      <w:r>
        <w:t>and transport of energy to the onshore landing point. The analysis ends at the point where energy—either as electricity or as hydrogen—reaches the onshore system.</w:t>
      </w:r>
    </w:p>
    <w:p w14:paraId="5C608CB9" w14:textId="77777777" w:rsidR="00EB04DE" w:rsidRDefault="00932640">
      <w:pPr>
        <w:pStyle w:val="BodyText"/>
      </w:pPr>
      <w:r>
        <w:t>Downstream elements such as end-use applications, market design, pricing mechanisms, and policy instruments are deliberately excluded. This boundary choice allows the analysis to focus on structural design consequences within the offshore system itself.</w:t>
      </w:r>
    </w:p>
    <w:p w14:paraId="7F03709E" w14:textId="77777777" w:rsidR="00EB04DE" w:rsidRDefault="00932640">
      <w:pPr>
        <w:pStyle w:val="Heading3"/>
      </w:pPr>
      <w:bookmarkStart w:id="10" w:name="core-system-mechanisms"/>
      <w:bookmarkEnd w:id="9"/>
      <w:r>
        <w:t>2.3 Core system mechanisms</w:t>
      </w:r>
    </w:p>
    <w:p w14:paraId="42044E51" w14:textId="77777777" w:rsidR="00EB04DE" w:rsidRDefault="00932640">
      <w:pPr>
        <w:pStyle w:val="FirstParagraph"/>
      </w:pPr>
      <w:r>
        <w:t>The research approach is structured around two system mechanisms that fundamentally shape offshore wind design.</w:t>
      </w:r>
    </w:p>
    <w:p w14:paraId="3A3D4913" w14:textId="7EF106C9" w:rsidR="00EB04DE" w:rsidRDefault="00932640">
      <w:pPr>
        <w:pStyle w:val="BodyText"/>
      </w:pPr>
      <w:r>
        <w:t>The first mechanism concerns the cost structure and design of transport infrastructure. Electrical systems and hydrogen pipeline systems differ in how costs scale with peak capacity, utilisation, distance, and redundancy. These differences propagate upstream into wind farm layout, turbine spacing, and installed capacity per unit of sea area.</w:t>
      </w:r>
    </w:p>
    <w:p w14:paraId="5C293AF6" w14:textId="77777777" w:rsidR="00EB04DE" w:rsidRDefault="00932640">
      <w:pPr>
        <w:pStyle w:val="BodyText"/>
      </w:pPr>
      <w:r>
        <w:t>The second mechanism concerns the integration of energy conversion within the offshore wind system. Energy conversion may be absent (electricity export), centralised at an offshore platform, or decentralised at turbine level. Each configuration affects efficiency, losses, flexibility, maintenance requirements, and interaction with transport infrastructure.</w:t>
      </w:r>
    </w:p>
    <w:p w14:paraId="34C7E023" w14:textId="77777777" w:rsidR="00EB04DE" w:rsidRDefault="00932640">
      <w:pPr>
        <w:pStyle w:val="BodyText"/>
      </w:pPr>
      <w:r>
        <w:t>These mechanisms are analysed jointly, as their effects are interdependent.</w:t>
      </w:r>
    </w:p>
    <w:p w14:paraId="72EE6059" w14:textId="77777777" w:rsidR="00EB04DE" w:rsidRDefault="00932640">
      <w:pPr>
        <w:pStyle w:val="Heading3"/>
      </w:pPr>
      <w:bookmarkStart w:id="11" w:name="Xdbfdf135318ff7f86f07499706932293de335f0"/>
      <w:bookmarkEnd w:id="10"/>
      <w:r>
        <w:t>2.4 Scenario definition as combinations of mechanisms</w:t>
      </w:r>
    </w:p>
    <w:p w14:paraId="3DF33B08" w14:textId="77777777" w:rsidR="00EB04DE" w:rsidRDefault="00932640">
      <w:pPr>
        <w:pStyle w:val="FirstParagraph"/>
      </w:pPr>
      <w:r>
        <w:t>To analyse the consequences of these mechanisms, three scenarios are defined. The scenarios are not treated as isolated alternatives, but as distinct configurations of the same underlying system mechanisms.</w:t>
      </w:r>
    </w:p>
    <w:p w14:paraId="372C6FC2" w14:textId="77777777" w:rsidR="00EB04DE" w:rsidRDefault="00932640">
      <w:pPr>
        <w:pStyle w:val="BodyText"/>
      </w:pPr>
      <w:r>
        <w:t>The first scenario represents offshore wind with conventional electricity export using HVDC infrastructure. The second scenario represents offshore wind with centralised offshore hydrogen production and pipeline export. The third scenario represents offshore wind with decentralised hydrogen production integrated at the turbine level, combined with pipeline export.</w:t>
      </w:r>
    </w:p>
    <w:p w14:paraId="3EC834C0" w14:textId="77777777" w:rsidR="00EB04DE" w:rsidRDefault="00932640">
      <w:pPr>
        <w:pStyle w:val="BodyText"/>
      </w:pPr>
      <w:r>
        <w:t>Across all scenarios, the same analytical framework is applied. Differences in outcomes are therefore attributable to differences in infrastructure choice and conversion integration, rather than to inconsistent assumptions.</w:t>
      </w:r>
    </w:p>
    <w:p w14:paraId="219C8A56" w14:textId="77777777" w:rsidR="00EB04DE" w:rsidRDefault="00932640">
      <w:pPr>
        <w:pStyle w:val="Heading3"/>
      </w:pPr>
      <w:bookmarkStart w:id="12" w:name="Xd9881d0c07e418682544058fba707dca312f58b"/>
      <w:bookmarkEnd w:id="11"/>
      <w:r>
        <w:t>2.5 Implications for modelling and optimisation</w:t>
      </w:r>
    </w:p>
    <w:p w14:paraId="0D73BDE4" w14:textId="77777777" w:rsidR="00EB04DE" w:rsidRDefault="00932640">
      <w:pPr>
        <w:pStyle w:val="FirstParagraph"/>
      </w:pPr>
      <w:r>
        <w:t>Because infrastructure design and conversion integration are coupled, optimisation cannot be meaningfully performed on individual subsystems in isolation. Fixing one element by assumption would implicitly predefine outcomes in another part of the system.</w:t>
      </w:r>
    </w:p>
    <w:p w14:paraId="2C489398" w14:textId="77777777" w:rsidR="00EB04DE" w:rsidRDefault="00932640">
      <w:pPr>
        <w:pStyle w:val="BodyText"/>
      </w:pPr>
      <w:r>
        <w:t>For this reason, the study employs an integrated techno-economic model in which key design variables are optimised simultaneously within each scenario. Assumptions that are not directly related to the investigated mechanisms are kept constant across scenarios and are specified explicitly in the subsequent chapter.</w:t>
      </w:r>
    </w:p>
    <w:p w14:paraId="7752F7CC" w14:textId="77777777" w:rsidR="00EB04DE" w:rsidRDefault="00932640">
      <w:pPr>
        <w:pStyle w:val="Heading3"/>
      </w:pPr>
      <w:bookmarkStart w:id="13" w:name="X43b86748f87a4d8f25d6d71c3280765123b36e6"/>
      <w:bookmarkEnd w:id="12"/>
      <w:r>
        <w:t>2.6 Transparency, assumptions, and scientific scrutiny</w:t>
      </w:r>
    </w:p>
    <w:p w14:paraId="44F9352F" w14:textId="77777777" w:rsidR="00EB04DE" w:rsidRDefault="00932640">
      <w:pPr>
        <w:pStyle w:val="FirstParagraph"/>
      </w:pPr>
      <w:r>
        <w:t>The research approach adopted in this study involves a large number of assumptions spanning multiple domains, including wind modelling, infrastructure design, conversion efficiency, reliability, and cost parameters. This is not a consequence of model complexity for its own sake, but an inherent characteristic of system-level analysis.</w:t>
      </w:r>
    </w:p>
    <w:p w14:paraId="277A3174" w14:textId="77777777" w:rsidR="00EB04DE" w:rsidRDefault="00932640">
      <w:pPr>
        <w:pStyle w:val="BodyText"/>
      </w:pPr>
      <w:r>
        <w:t>Rather than minimising or obscuring these assumptions, the study treats them as explicit elements of the research design. All assumptions are documented, parameterised, and applied consistently across scenarios, allowing their influence on system outcomes to be traced.</w:t>
      </w:r>
    </w:p>
    <w:p w14:paraId="15C7FFC4" w14:textId="77777777" w:rsidR="00EB04DE" w:rsidRDefault="00932640">
      <w:pPr>
        <w:pStyle w:val="BodyText"/>
      </w:pPr>
      <w:r>
        <w:t>Scientific scrutiny is therefore not based on identifying a single “correct” outcome, but on the ability to evaluate how outcomes change when assumptions are varied. Transparency and reproducibility are thus essential conditions for falsifiability in this context.</w:t>
      </w:r>
    </w:p>
    <w:p w14:paraId="34ABC6C3" w14:textId="77777777" w:rsidR="00EB04DE" w:rsidRDefault="00932640">
      <w:pPr>
        <w:pStyle w:val="BodyText"/>
      </w:pPr>
      <w:r>
        <w:t>For this reason, the model structure and parameter sets are designed to be inspectable and modifiable, enabling external experts from different fields to assess assumptions within their domain of expertise and to observe the resulting system-level effects. This form of open scrutiny complements conventional peer review and is particularly suited to interdisciplinary system studies.</w:t>
      </w:r>
    </w:p>
    <w:p w14:paraId="3CF50866" w14:textId="4248F4C9" w:rsidR="00EB04DE" w:rsidRDefault="005713C3">
      <w:r>
        <w:rPr>
          <w:noProof/>
        </w:rPr>
        <w:pict w14:anchorId="5DE9FBC1">
          <v:rect id="_x0000_i1027" style="width:468pt;height:.05pt" o:hralign="center" o:hrstd="t" o:hr="t"/>
        </w:pict>
      </w:r>
    </w:p>
    <w:p w14:paraId="1F4FF791" w14:textId="77777777" w:rsidR="00EB04DE" w:rsidRDefault="00932640">
      <w:pPr>
        <w:pStyle w:val="Heading2"/>
      </w:pPr>
      <w:bookmarkStart w:id="14" w:name="Xd2446358ff1f7a6be61782b93168724711dc086"/>
      <w:bookmarkEnd w:id="7"/>
      <w:bookmarkEnd w:id="13"/>
      <w:r>
        <w:t>Chapter 3 — Common assumptions and modelling basis</w:t>
      </w:r>
    </w:p>
    <w:p w14:paraId="59D9263A" w14:textId="77777777" w:rsidR="00EB04DE" w:rsidRDefault="00932640">
      <w:pPr>
        <w:pStyle w:val="Heading3"/>
      </w:pPr>
      <w:bookmarkStart w:id="15" w:name="wind-resource-and-wake-modelling"/>
      <w:r>
        <w:t>3.1 Wind resource and wake modelling</w:t>
      </w:r>
    </w:p>
    <w:p w14:paraId="7A9C73E1" w14:textId="77777777" w:rsidR="00EB04DE" w:rsidRDefault="00932640">
      <w:pPr>
        <w:pStyle w:val="FirstParagraph"/>
      </w:pPr>
      <w:r>
        <w:t>To estimate energy yield, meteorological data are required not only for annual production but also for the full wind profile, as wake losses and conversion efficiency depend on turbine operating power. A consistent wind and wake modelling methodology is therefore applied across all scenarios.</w:t>
      </w:r>
    </w:p>
    <w:p w14:paraId="5F1685C2" w14:textId="77777777" w:rsidR="00EB04DE" w:rsidRDefault="00932640">
      <w:pPr>
        <w:pStyle w:val="Heading3"/>
      </w:pPr>
      <w:bookmarkStart w:id="16" w:name="X23daf8eb7dce58b97af03052ae48312252d33c4"/>
      <w:bookmarkEnd w:id="15"/>
      <w:r>
        <w:t>3.2 Spatial assumptions and wind farm geometry</w:t>
      </w:r>
    </w:p>
    <w:p w14:paraId="7E164973" w14:textId="77777777" w:rsidR="00EB04DE" w:rsidRDefault="00932640">
      <w:pPr>
        <w:pStyle w:val="FirstParagraph"/>
      </w:pPr>
      <w:r>
        <w:t>Wind farm power density is defined through the relationship between installed capacity and occupied sea area. Variations in power density are implemented through turbine spacing, while maintaining a consistent geometric approach across scenarios.</w:t>
      </w:r>
    </w:p>
    <w:p w14:paraId="380CC926" w14:textId="77777777" w:rsidR="00EB04DE" w:rsidRDefault="00932640">
      <w:pPr>
        <w:pStyle w:val="Heading3"/>
      </w:pPr>
      <w:bookmarkStart w:id="17" w:name="financial-assumptions"/>
      <w:bookmarkEnd w:id="16"/>
      <w:r>
        <w:t>3.3 Financial assumptions</w:t>
      </w:r>
    </w:p>
    <w:p w14:paraId="5D8D80C2" w14:textId="77777777" w:rsidR="00EB04DE" w:rsidRDefault="00932640">
      <w:pPr>
        <w:pStyle w:val="FirstParagraph"/>
      </w:pPr>
      <w:r>
        <w:t>All scenarios use identical financial assumptions, including weighted average cost of capital, project lifetime, and depreciation methodology. This ensures that differences in results originate from system design choices rather than financial framing.</w:t>
      </w:r>
    </w:p>
    <w:p w14:paraId="18917708" w14:textId="77777777" w:rsidR="00EB04DE" w:rsidRDefault="00932640">
      <w:pPr>
        <w:pStyle w:val="Heading3"/>
      </w:pPr>
      <w:bookmarkStart w:id="18" w:name="operation-maintenance-and-availability"/>
      <w:bookmarkEnd w:id="17"/>
      <w:r>
        <w:t>3.4 Operation, maintenance, and availability</w:t>
      </w:r>
    </w:p>
    <w:p w14:paraId="1F903E9B" w14:textId="77777777" w:rsidR="00EB04DE" w:rsidRDefault="00932640">
      <w:pPr>
        <w:pStyle w:val="FirstParagraph"/>
      </w:pPr>
      <w:r>
        <w:t>Operation and maintenance costs, availability, and component reliability are modelled consistently where technologies are physically identical. Differences are introduced only where system configurations require additional offshore components.</w:t>
      </w:r>
    </w:p>
    <w:p w14:paraId="7BBE8BD5" w14:textId="77777777" w:rsidR="00EB04DE" w:rsidRDefault="00932640">
      <w:pPr>
        <w:pStyle w:val="Heading3"/>
      </w:pPr>
      <w:bookmarkStart w:id="19" w:name="cost-base-harmonisation"/>
      <w:bookmarkEnd w:id="18"/>
      <w:r>
        <w:t>3.5 Cost base harmonisation</w:t>
      </w:r>
    </w:p>
    <w:p w14:paraId="58076E2D" w14:textId="77777777" w:rsidR="00EB04DE" w:rsidRDefault="00932640">
      <w:pPr>
        <w:pStyle w:val="FirstParagraph"/>
      </w:pPr>
      <w:r>
        <w:t>Cost data are normalised to ensure comparability across scenarios. Infrastructure, conversion equipment, and installation costs are treated consistently, avoiding implicit bias toward any configuration.</w:t>
      </w:r>
    </w:p>
    <w:p w14:paraId="301AA1AB" w14:textId="03E3887B" w:rsidR="00EB04DE" w:rsidRDefault="005713C3">
      <w:r>
        <w:rPr>
          <w:noProof/>
        </w:rPr>
        <w:pict w14:anchorId="0CE39139">
          <v:rect id="_x0000_i1028" style="width:468pt;height:.05pt" o:hralign="center" o:hrstd="t" o:hr="t"/>
        </w:pict>
      </w:r>
    </w:p>
    <w:p w14:paraId="08B8F77D" w14:textId="77777777" w:rsidR="00EB04DE" w:rsidRDefault="00932640">
      <w:pPr>
        <w:pStyle w:val="Heading2"/>
      </w:pPr>
      <w:bookmarkStart w:id="20" w:name="X8312d78daed9e8302ad6c7a889743ef32451d3d"/>
      <w:bookmarkEnd w:id="14"/>
      <w:bookmarkEnd w:id="19"/>
      <w:r>
        <w:t>Chapter 4 — Infrastructure as a design and cost mechanism</w:t>
      </w:r>
    </w:p>
    <w:p w14:paraId="3AFB2C22" w14:textId="77777777" w:rsidR="00EB04DE" w:rsidRDefault="00932640">
      <w:pPr>
        <w:pStyle w:val="Heading3"/>
      </w:pPr>
      <w:bookmarkStart w:id="21" w:name="X2869b3a74465e0949711bd840460be0e16c3636"/>
      <w:r>
        <w:t>4.1 Conceptual framework: infrastructure costs, peaks, and wind farm design</w:t>
      </w:r>
    </w:p>
    <w:p w14:paraId="50D8F742" w14:textId="77777777" w:rsidR="00EB04DE" w:rsidRDefault="00932640">
      <w:pPr>
        <w:pStyle w:val="Heading4"/>
      </w:pPr>
      <w:bookmarkStart w:id="22" w:name="levelised-cost-of-electricity"/>
      <w:r>
        <w:t>4.1.1 Levelised Cost of Electricity</w:t>
      </w:r>
    </w:p>
    <w:p w14:paraId="2E926FD3" w14:textId="77777777" w:rsidR="00EB04DE" w:rsidRDefault="00932640">
      <w:pPr>
        <w:pStyle w:val="FirstParagraph"/>
      </w:pPr>
      <w:r>
        <w:t>The central assumption in this work is that wind farm design results from an optimisation process aimed at minimising the cost of energy production. In other words: wind farm design is an output of a cost optimisation, not an input. Wind farm developers are profit-driven entities seeking to maximise the return on their investments. All else equal, a lower cost per unit of produced energy increases the developer’s margin. Accordingly, wind farm performance in this study is evaluated using the Levelised Cost of Energy (LCOE).</w:t>
      </w:r>
    </w:p>
    <w:p w14:paraId="42D8CB1E" w14:textId="77777777" w:rsidR="00EB04DE" w:rsidRDefault="00932640">
      <w:pPr>
        <w:pStyle w:val="BodyText"/>
      </w:pPr>
      <w:r>
        <w:t>The LCOE accounts for all costs incurred over the lifetime of a wind farm, including capital expenditures (CAPEX), financing costs, and operation and maintenance costs (OPEX), relative to the expected lifetime energy yield. While a formal definition is provided later, the LCOE can be intuitively understood as the total discounted project cost divided by the total discounted energy production, yielding an average cost per unit of energy produced.</w:t>
      </w:r>
    </w:p>
    <w:p w14:paraId="11F51318" w14:textId="77777777" w:rsidR="00EB04DE" w:rsidRDefault="00932640">
      <w:pPr>
        <w:pStyle w:val="BodyText"/>
      </w:pPr>
      <w:r>
        <w:t>The total project costs can be broadly classified into three categories: (i) fixed costs, which are independent of capacity or energy yield; (ii) infrastructure costs, which scale with the installed peak capacity (MW) of the wind farm; and (iii) volume-related costs, which scale with the total energy yield. Expressed in levelised terms, fixed costs benefit from a high total yield, while infrastructure costs are minimised when the ratio of yield to installed capacity is high. This ratio is commonly referred to as the Capacity Factor. Volume-related costs, when expressed per unit of energy, are largely independent of the total yield.</w:t>
      </w:r>
    </w:p>
    <w:p w14:paraId="01EA475B" w14:textId="77777777" w:rsidR="00EB04DE" w:rsidRDefault="00932640">
      <w:pPr>
        <w:pStyle w:val="BodyText"/>
      </w:pPr>
      <w:r>
        <w:t>Based on this decomposition, the LCOE can be abstracted as:</w:t>
      </w:r>
    </w:p>
    <w:p w14:paraId="13C0140D" w14:textId="77777777" w:rsidR="00EB04DE" w:rsidRDefault="00932640">
      <w:pPr>
        <w:pStyle w:val="BodyText"/>
      </w:pPr>
      <w:r>
        <w:t>LCOE = C1 / Yield + C2 / (Capacity Factor) + C3</w:t>
      </w:r>
    </w:p>
    <w:p w14:paraId="4ACDEDB9" w14:textId="77777777" w:rsidR="00EB04DE" w:rsidRDefault="00932640">
      <w:pPr>
        <w:pStyle w:val="BodyText"/>
      </w:pPr>
      <w:r>
        <w:t>where C1, C2, and C3 represent aggregated cost components. This expression is intended solely as a conceptual illustration.</w:t>
      </w:r>
    </w:p>
    <w:p w14:paraId="5925A91F" w14:textId="77777777" w:rsidR="00EB04DE" w:rsidRDefault="00932640">
      <w:pPr>
        <w:pStyle w:val="BodyText"/>
      </w:pPr>
      <w:r>
        <w:t>An optimal wind farm configuration therefore combines (i) a high total energy yield, (ii) a high capacity factor, and (iii) low unit costs. However, energy yield per unit area is typically inversely related to the capacity factor, as higher installed capacities often lead to increased wake losses and lower average utilisation. Minimising the LCOE thus requires balancing these competing effects.</w:t>
      </w:r>
    </w:p>
    <w:p w14:paraId="14D5FF14" w14:textId="77777777" w:rsidR="00EB04DE" w:rsidRDefault="00932640">
      <w:pPr>
        <w:pStyle w:val="Heading4"/>
      </w:pPr>
      <w:bookmarkStart w:id="23" w:name="X7015344ae15d97ac5b56c6286f7d1ceee4adc2c"/>
      <w:bookmarkEnd w:id="22"/>
      <w:r>
        <w:t>4.1.2 Yield versus capacity factor trade-off in wind farm design</w:t>
      </w:r>
    </w:p>
    <w:p w14:paraId="70A75C8F" w14:textId="77777777" w:rsidR="00EB04DE" w:rsidRDefault="00932640">
      <w:pPr>
        <w:pStyle w:val="FirstParagraph"/>
      </w:pPr>
      <w:r>
        <w:t>Offshore wind farm design is governed by a trade-off between energy yield and capacity factor. Increasing turbine spacing reduces wake losses and increases capacity factor, but lowers the total installed capacity and energy yield per unit area. Conversely, increasing power density through denser layouts raises total energy yield but increases wake losses, reducing the capacity factor.</w:t>
      </w:r>
    </w:p>
    <w:p w14:paraId="5F96BFED" w14:textId="77777777" w:rsidR="00EB04DE" w:rsidRDefault="00932640">
      <w:pPr>
        <w:pStyle w:val="BodyText"/>
      </w:pPr>
      <w:r>
        <w:t>In electricity-based systems, this trade-off is resolved in favour of higher capacity factors, because infrastructure costs dominate and are allocated per unit of peak capacity. Lower capacity factors directly increase the cost per unit of delivered energy.</w:t>
      </w:r>
    </w:p>
    <w:p w14:paraId="354DC92E" w14:textId="77777777" w:rsidR="00EB04DE" w:rsidRDefault="00932640">
      <w:pPr>
        <w:pStyle w:val="Heading4"/>
      </w:pPr>
      <w:bookmarkStart w:id="24" w:name="electricity-transmission-economics"/>
      <w:bookmarkEnd w:id="23"/>
      <w:r>
        <w:t>4.1.3 Electricity transmission economics</w:t>
      </w:r>
    </w:p>
    <w:p w14:paraId="042BBAA3" w14:textId="77777777" w:rsidR="00EB04DE" w:rsidRDefault="00932640">
      <w:pPr>
        <w:pStyle w:val="FirstParagraph"/>
      </w:pPr>
      <w:r>
        <w:t>Electricity transmission infrastructure for offshore wind farms is inherently peak-driven. Export cables, substations, and converters must be sized to accommodate the maximum instantaneous power output of the wind farm. Capital expenditures therefore scale primarily with installed capacity rather than annual energy delivered.</w:t>
      </w:r>
    </w:p>
    <w:p w14:paraId="1CA3B949" w14:textId="77777777" w:rsidR="00EB04DE" w:rsidRDefault="00932640">
      <w:pPr>
        <w:pStyle w:val="BodyText"/>
      </w:pPr>
      <w:r>
        <w:t>This cost structure penalises low utilisation and drives optimisation toward high capacity factors. Offshore installation further amplifies this effect due to platform requirements and vessel-intensive cable installation.</w:t>
      </w:r>
    </w:p>
    <w:p w14:paraId="5007F697" w14:textId="77777777" w:rsidR="00EB04DE" w:rsidRDefault="00932640">
      <w:pPr>
        <w:pStyle w:val="Heading4"/>
      </w:pPr>
      <w:bookmarkStart w:id="25" w:name="hydrogen-pipeline-economics"/>
      <w:bookmarkEnd w:id="24"/>
      <w:r>
        <w:t>4.1.4 Hydrogen pipeline economics</w:t>
      </w:r>
    </w:p>
    <w:p w14:paraId="5C8BED39" w14:textId="77777777" w:rsidR="00EB04DE" w:rsidRDefault="00932640">
      <w:pPr>
        <w:pStyle w:val="FirstParagraph"/>
      </w:pPr>
      <w:r>
        <w:t>Hydrogen transport via pipelines exhibits similar peak-driven behaviour, but with substantially lower costs per unit of capacity. Pipelines replace solid conductors with hollow composites and offer higher energy transport capacity per unit cost.</w:t>
      </w:r>
    </w:p>
    <w:p w14:paraId="7F1892E6" w14:textId="77777777" w:rsidR="00EB04DE" w:rsidRDefault="00932640">
      <w:pPr>
        <w:pStyle w:val="BodyText"/>
      </w:pPr>
      <w:r>
        <w:t>Although hydrogen infrastructure costs still scale with capacity factor, their contribution to total system cost is smaller. As a result, the pressure to maximise capacity factor is reduced compared to electricity-based systems.</w:t>
      </w:r>
    </w:p>
    <w:p w14:paraId="6CC870AC" w14:textId="77777777" w:rsidR="00EB04DE" w:rsidRDefault="00932640">
      <w:pPr>
        <w:pStyle w:val="Heading4"/>
      </w:pPr>
      <w:bookmarkStart w:id="26" w:name="X48e06e2aef99e900b79d4560f28998bff8f2b38"/>
      <w:bookmarkEnd w:id="25"/>
      <w:r>
        <w:t>4.1.5 Hypothesis: infrastructure cost structure determines the design optimum</w:t>
      </w:r>
    </w:p>
    <w:p w14:paraId="60975EB5" w14:textId="77777777" w:rsidR="00EB04DE" w:rsidRDefault="00932640">
      <w:pPr>
        <w:pStyle w:val="FirstParagraph"/>
      </w:pPr>
      <w:r>
        <w:t>Based on the preceding arguments, this study hypothesises that the cost structure of export infrastructure is a primary determinant of optimal offshore wind farm design. Expensive, peak-sensitive infrastructure favours high capacity factors and low power densities, whereas lower-cost, peak-insensitive infrastructure enables higher energy yield configurations, even at lower capacity factors.</w:t>
      </w:r>
    </w:p>
    <w:p w14:paraId="2A193912" w14:textId="4AF798C5" w:rsidR="00EB04DE" w:rsidRDefault="005713C3">
      <w:r>
        <w:rPr>
          <w:noProof/>
        </w:rPr>
        <w:pict w14:anchorId="6DA13DB7">
          <v:rect id="_x0000_i1029" style="width:468pt;height:.05pt" o:hralign="center" o:hrstd="t" o:hr="t"/>
        </w:pict>
      </w:r>
    </w:p>
    <w:p w14:paraId="24AF2FEC" w14:textId="77777777" w:rsidR="00EB04DE" w:rsidRDefault="00932640">
      <w:pPr>
        <w:pStyle w:val="Heading2"/>
      </w:pPr>
      <w:bookmarkStart w:id="27" w:name="Xf52eef1130968a230f3af50ac949d65bd004ee1"/>
      <w:bookmarkEnd w:id="20"/>
      <w:bookmarkEnd w:id="21"/>
      <w:bookmarkEnd w:id="26"/>
      <w:r>
        <w:t>Chapter 5 — Integration of conversion into the wind system</w:t>
      </w:r>
    </w:p>
    <w:p w14:paraId="6FCE360A" w14:textId="77777777" w:rsidR="00EB04DE" w:rsidRDefault="00932640">
      <w:pPr>
        <w:pStyle w:val="FirstParagraph"/>
      </w:pPr>
      <w:r>
        <w:t>This chapter examines how the location and degree of energy conversion—absent, centralised, or decentralised—affects system efficiency, losses, flexibility, maintenance, and interaction with transport infrastructure. The configurations discussed here directly implement the mechanisms introduced in Chapters 2 and 4.</w:t>
      </w:r>
    </w:p>
    <w:p w14:paraId="54FC1E82" w14:textId="77777777" w:rsidR="00EB04DE" w:rsidRDefault="00932640">
      <w:pPr>
        <w:pStyle w:val="Heading3"/>
      </w:pPr>
      <w:bookmarkStart w:id="28" w:name="X90be6bee31bc538b6468924d1f6441c94869ddf"/>
      <w:r>
        <w:t>5.1 Offshore hydrogen wind farms: configurations and scope</w:t>
      </w:r>
    </w:p>
    <w:p w14:paraId="672B4B3F" w14:textId="77777777" w:rsidR="00EB04DE" w:rsidRDefault="00932640">
      <w:pPr>
        <w:pStyle w:val="FirstParagraph"/>
      </w:pPr>
      <w:r>
        <w:t>In this study, two hydrogen-based offshore wind farm configurations are considered: centralised hydrogen production and decentralised hydrogen production. Both configurations are analysed alongside the conventional fully electric wind farm as a reference.</w:t>
      </w:r>
    </w:p>
    <w:p w14:paraId="02F2B0EB" w14:textId="77777777" w:rsidR="00EB04DE" w:rsidRDefault="00932640">
      <w:pPr>
        <w:pStyle w:val="BodyText"/>
      </w:pPr>
      <w:r>
        <w:t>Figures 1 and 2 provide schematic overviews of the electric wind farm configuration and a comparison between decentralised hydrogen production and the electric configuration.</w:t>
      </w:r>
    </w:p>
    <w:p w14:paraId="3379D29B" w14:textId="77777777" w:rsidR="00EB04DE" w:rsidRDefault="00932640">
      <w:pPr>
        <w:pStyle w:val="Heading3"/>
      </w:pPr>
      <w:bookmarkStart w:id="29" w:name="centralised-offshore-hydrogen-production"/>
      <w:bookmarkEnd w:id="28"/>
      <w:r>
        <w:t>5.2 Centralised offshore hydrogen production</w:t>
      </w:r>
    </w:p>
    <w:p w14:paraId="639156BB" w14:textId="77777777" w:rsidR="00EB04DE" w:rsidRDefault="00932640">
      <w:pPr>
        <w:pStyle w:val="FirstParagraph"/>
      </w:pPr>
      <w:r>
        <w:t>In the centralised hydrogen configuration, the wind farm layout up to the offshore substation is identical to that of a conventional electric wind farm. Within each turbine, the generator output undergoes full power conversion: variable-frequency AC is rectified to DC, inverted to grid-compliant AC, and stepped up in voltage for transport through the infield AC grid.</w:t>
      </w:r>
    </w:p>
    <w:p w14:paraId="59B92D48" w14:textId="77777777" w:rsidR="00EB04DE" w:rsidRDefault="00932640">
      <w:pPr>
        <w:pStyle w:val="BodyText"/>
      </w:pPr>
      <w:r>
        <w:t>Instead of exporting electricity to shore via HVAC or HVDC, the offshore substation hosts electrolyser modules. Electricity from the infield grid is stepped down in voltage and converted to DC to feed the electrolyser stacks. The electrolyser system consists of power electronics, stacks, and balance-of-plant components such as desalination, cooling, purification, drying, and piping. The produced hydrogen is compressed and transported to shore through export pipelines.</w:t>
      </w:r>
    </w:p>
    <w:p w14:paraId="300B0BD5" w14:textId="77777777" w:rsidR="00EB04DE" w:rsidRDefault="00932640">
      <w:pPr>
        <w:pStyle w:val="BodyText"/>
      </w:pPr>
      <w:r>
        <w:t>This configuration benefits from economies of scale at the level of the electrolyser facility, while retaining most characteristics of conventional offshore electrical infrastructure.</w:t>
      </w:r>
    </w:p>
    <w:p w14:paraId="32D1BAB4" w14:textId="77777777" w:rsidR="00EB04DE" w:rsidRDefault="00932640">
      <w:pPr>
        <w:pStyle w:val="Heading3"/>
      </w:pPr>
      <w:bookmarkStart w:id="30" w:name="Xab83a072d88f55dedc65b4eccc57ad4d33dda25"/>
      <w:bookmarkEnd w:id="29"/>
      <w:r>
        <w:t>5.3 Decentralised hydrogen production at turbine level</w:t>
      </w:r>
    </w:p>
    <w:p w14:paraId="32F45A71" w14:textId="77777777" w:rsidR="00EB04DE" w:rsidRDefault="00932640">
      <w:pPr>
        <w:pStyle w:val="FirstParagraph"/>
      </w:pPr>
      <w:r>
        <w:t>Given the lower cost and peak sensitivity of hydrogen transport infrastructure, a configuration with decentralised hydrogen production is also considered. In this configuration, electrolysers are integrated within individual wind turbines, and most of the electrical infield infrastructure is replaced by hydrogen pipelines.</w:t>
      </w:r>
    </w:p>
    <w:p w14:paraId="633E6CBA" w14:textId="77777777" w:rsidR="00EB04DE" w:rsidRDefault="00932640">
      <w:pPr>
        <w:pStyle w:val="BodyText"/>
      </w:pPr>
      <w:r>
        <w:t>The electrolyser stacks are connected directly to the turbine DC link, eliminating the need for an inverter and transformer on the turbine side, as well as a transformer and rectifier on the electrolyser side. This reduces capital expenditures, conversion losses, and downtime. As turbine output is conventionally measured after the inverter, the elimination of inverter losses results in approximately 1% additional electrical power being available for hydrogen production.</w:t>
      </w:r>
    </w:p>
    <w:p w14:paraId="6CDE06F1" w14:textId="77777777" w:rsidR="00EB04DE" w:rsidRDefault="00932640">
      <w:pPr>
        <w:pStyle w:val="BodyText"/>
      </w:pPr>
      <w:r>
        <w:t>Hydrogen produced at each turbine is compressed locally and collected in a pipeline grid that replaces the AC infield grid. This grid connects directly to the export pipelines, removing the need for a central offshore platform and reducing system complexity.</w:t>
      </w:r>
    </w:p>
    <w:p w14:paraId="1CBD308E" w14:textId="77777777" w:rsidR="00EB04DE" w:rsidRDefault="00932640">
      <w:pPr>
        <w:pStyle w:val="Heading3"/>
      </w:pPr>
      <w:bookmarkStart w:id="31" w:name="X3cc3d605c29aa2602b08172d0b375a5a6809332"/>
      <w:bookmarkEnd w:id="30"/>
      <w:r>
        <w:t>5.4 Technological innovations and modelling choices</w:t>
      </w:r>
    </w:p>
    <w:p w14:paraId="20FC8BBC" w14:textId="77777777" w:rsidR="00EB04DE" w:rsidRDefault="00932640">
      <w:pPr>
        <w:pStyle w:val="FirstParagraph"/>
      </w:pPr>
      <w:r>
        <w:t>Several design choices in the hydrogen wind farm configurations differ from conventional large-scale hydrogen production facilities and are explicitly modelled in this study:</w:t>
      </w:r>
    </w:p>
    <w:p w14:paraId="13895E1A" w14:textId="77777777" w:rsidR="00EB04DE" w:rsidRDefault="00932640">
      <w:pPr>
        <w:pStyle w:val="Compact"/>
        <w:numPr>
          <w:ilvl w:val="0"/>
          <w:numId w:val="2"/>
        </w:numPr>
      </w:pPr>
      <w:r>
        <w:t>Direct integration of electrolysers within wind turbines, reducing power electronics and cabling</w:t>
      </w:r>
    </w:p>
    <w:p w14:paraId="17EBC4C5" w14:textId="77777777" w:rsidR="00EB04DE" w:rsidRDefault="00932640">
      <w:pPr>
        <w:pStyle w:val="Compact"/>
        <w:numPr>
          <w:ilvl w:val="0"/>
          <w:numId w:val="2"/>
        </w:numPr>
      </w:pPr>
      <w:r>
        <w:t>Dynamic modelling of electrolyser power to capture efficiency variations at partial load</w:t>
      </w:r>
    </w:p>
    <w:p w14:paraId="4AE86B52" w14:textId="77777777" w:rsidR="00EB04DE" w:rsidRDefault="00932640">
      <w:pPr>
        <w:pStyle w:val="Compact"/>
        <w:numPr>
          <w:ilvl w:val="0"/>
          <w:numId w:val="2"/>
        </w:numPr>
      </w:pPr>
      <w:r>
        <w:t>Stack oversizing to reduce current density and improve efficiency, trading higher CAPEX for increased yield</w:t>
      </w:r>
    </w:p>
    <w:p w14:paraId="5169F3A4" w14:textId="77777777" w:rsidR="00EB04DE" w:rsidRDefault="00932640">
      <w:pPr>
        <w:pStyle w:val="Compact"/>
        <w:numPr>
          <w:ilvl w:val="0"/>
          <w:numId w:val="2"/>
        </w:numPr>
      </w:pPr>
      <w:r>
        <w:t>Explicit modelling of stack degradation and its interaction with optimisation</w:t>
      </w:r>
    </w:p>
    <w:p w14:paraId="68B4C606" w14:textId="77777777" w:rsidR="00EB04DE" w:rsidRDefault="00932640">
      <w:pPr>
        <w:pStyle w:val="Compact"/>
        <w:numPr>
          <w:ilvl w:val="0"/>
          <w:numId w:val="2"/>
        </w:numPr>
      </w:pPr>
      <w:r>
        <w:t>Use of composite pipelines instead of steel pipelines</w:t>
      </w:r>
    </w:p>
    <w:p w14:paraId="7A1DC026" w14:textId="77777777" w:rsidR="00EB04DE" w:rsidRDefault="00932640">
      <w:pPr>
        <w:pStyle w:val="Compact"/>
        <w:numPr>
          <w:ilvl w:val="0"/>
          <w:numId w:val="2"/>
        </w:numPr>
      </w:pPr>
      <w:r>
        <w:t>Optimisation of hydrogen pipeline pressure up to approximately 150 bar</w:t>
      </w:r>
    </w:p>
    <w:p w14:paraId="62616831" w14:textId="77777777" w:rsidR="00EB04DE" w:rsidRDefault="00932640">
      <w:pPr>
        <w:pStyle w:val="Compact"/>
        <w:numPr>
          <w:ilvl w:val="0"/>
          <w:numId w:val="2"/>
        </w:numPr>
      </w:pPr>
      <w:r>
        <w:t>Joint optimisation of pipeline pressure and diameter</w:t>
      </w:r>
    </w:p>
    <w:p w14:paraId="4DE6F957" w14:textId="77777777" w:rsidR="00EB04DE" w:rsidRDefault="00932640">
      <w:pPr>
        <w:pStyle w:val="Compact"/>
        <w:numPr>
          <w:ilvl w:val="0"/>
          <w:numId w:val="2"/>
        </w:numPr>
      </w:pPr>
      <w:r>
        <w:t>Ladder-layout pipeline topology replacing star-layout electrical infield grids</w:t>
      </w:r>
    </w:p>
    <w:p w14:paraId="30F85AC5" w14:textId="77777777" w:rsidR="00EB04DE" w:rsidRDefault="00932640">
      <w:pPr>
        <w:pStyle w:val="Compact"/>
        <w:numPr>
          <w:ilvl w:val="0"/>
          <w:numId w:val="2"/>
        </w:numPr>
      </w:pPr>
      <w:r>
        <w:t>Application of electrolyser scaling factors on a per-component basis</w:t>
      </w:r>
    </w:p>
    <w:p w14:paraId="42BEFB14" w14:textId="77777777" w:rsidR="00EB04DE" w:rsidRDefault="00932640">
      <w:pPr>
        <w:pStyle w:val="FirstParagraph"/>
      </w:pPr>
      <w:r>
        <w:t>In addition, modelling techniques applied across all configurations include variation of wind farm power density and detailed calculation of offshore infrastructure elements such as infield length, material costs, installation costs, and platform requirements.</w:t>
      </w:r>
    </w:p>
    <w:p w14:paraId="33B2FAFE" w14:textId="77777777" w:rsidR="00EB04DE" w:rsidRDefault="00932640">
      <w:pPr>
        <w:pStyle w:val="Heading3"/>
      </w:pPr>
      <w:bookmarkStart w:id="32" w:name="electrolyser-design-considerations"/>
      <w:bookmarkEnd w:id="31"/>
      <w:r>
        <w:t>5.5 Electrolyser design considerations</w:t>
      </w:r>
    </w:p>
    <w:p w14:paraId="7453BC1C" w14:textId="77777777" w:rsidR="00EB04DE" w:rsidRDefault="00932640">
      <w:pPr>
        <w:pStyle w:val="Heading4"/>
      </w:pPr>
      <w:bookmarkStart w:id="33" w:name="pem-electrolyser-selection"/>
      <w:r>
        <w:t>5.5.1 PEM electrolyser selection</w:t>
      </w:r>
    </w:p>
    <w:p w14:paraId="4B647635" w14:textId="77777777" w:rsidR="00EB04DE" w:rsidRDefault="00932640">
      <w:pPr>
        <w:pStyle w:val="FirstParagraph"/>
      </w:pPr>
      <w:r>
        <w:t>This study exclusively considers PEM electrolysers. PEM technology is well suited to fluctuating loads associated with wind power and delivers hydrogen at an outlet pressure of approximately 30 bar. Compression from this pressure to pipeline pressures of 100–150 bar requires significantly fewer compression stages than compression from atmospheric pressure, resulting in lower energy consumption and reduced compressor complexity.</w:t>
      </w:r>
    </w:p>
    <w:p w14:paraId="6817A8A4" w14:textId="77777777" w:rsidR="00EB04DE" w:rsidRDefault="00932640">
      <w:pPr>
        <w:pStyle w:val="Heading4"/>
      </w:pPr>
      <w:bookmarkStart w:id="34" w:name="stack-current-density-and-oversizing"/>
      <w:bookmarkEnd w:id="33"/>
      <w:r>
        <w:t>5.5.2 Stack current density and oversizing</w:t>
      </w:r>
    </w:p>
    <w:p w14:paraId="6EAD902A" w14:textId="77777777" w:rsidR="00EB04DE" w:rsidRDefault="00932640">
      <w:pPr>
        <w:pStyle w:val="FirstParagraph"/>
      </w:pPr>
      <w:r>
        <w:t>Electrolyser stacks are typically rated at a nominal capacity, but operation at higher current densities reduces efficiency and accelerates degradation. Conversely, operating at lower current densities improves efficiency and lifetime but requires larger installed stack area.</w:t>
      </w:r>
    </w:p>
    <w:p w14:paraId="13808D60" w14:textId="77777777" w:rsidR="00EB04DE" w:rsidRDefault="00932640">
      <w:pPr>
        <w:pStyle w:val="BodyText"/>
      </w:pPr>
      <w:r>
        <w:t>In this study, stack size is treated as an optimisation variable. Increasing stack size increases both capital cost and hydrogen yield. Where yield increases faster than total CAPEX, the levelised cost of hydrogen decreases. Stack modules are rated at 2.5 MW, and multiple modules are combined to match turbine capacity. At each operating point, the number of active modules is selected to maximise overall efficiency while respecting minimum load constraints.</w:t>
      </w:r>
    </w:p>
    <w:p w14:paraId="45BC67ED" w14:textId="17AC9F5A" w:rsidR="00EB04DE" w:rsidRDefault="005713C3">
      <w:r>
        <w:rPr>
          <w:noProof/>
        </w:rPr>
        <w:pict w14:anchorId="372FFA69">
          <v:rect id="_x0000_i1030" style="width:468pt;height:.05pt" o:hralign="center" o:hrstd="t" o:hr="t"/>
        </w:pict>
      </w:r>
    </w:p>
    <w:p w14:paraId="67EBD6F2" w14:textId="77777777" w:rsidR="00EB04DE" w:rsidRDefault="00932640">
      <w:pPr>
        <w:pStyle w:val="Heading2"/>
      </w:pPr>
      <w:bookmarkStart w:id="35" w:name="X9f225f95c95b52fdf34a15d3800562e822469c3"/>
      <w:bookmarkEnd w:id="27"/>
      <w:bookmarkEnd w:id="32"/>
      <w:bookmarkEnd w:id="34"/>
      <w:r>
        <w:t>Chapter 6 — Combined system model and optimisation approach</w:t>
      </w:r>
    </w:p>
    <w:p w14:paraId="5DA1F8AD" w14:textId="77777777" w:rsidR="00EB04DE" w:rsidRDefault="00932640">
      <w:pPr>
        <w:pStyle w:val="FirstParagraph"/>
      </w:pPr>
      <w:r>
        <w:t>This chapter describes the integrated techno-economic modelling framework used to analyse offshore wind farm configurations and to evaluate how infrastructure and conversion mechanisms jointly determine system outcomes. The purpose of the model is not to identify a single optimal design, but to analyse how design optima shift under different system configurations and assumptions.</w:t>
      </w:r>
    </w:p>
    <w:p w14:paraId="29CDDADE" w14:textId="77777777" w:rsidR="00EB04DE" w:rsidRDefault="00932640">
      <w:pPr>
        <w:pStyle w:val="Heading3"/>
      </w:pPr>
      <w:bookmarkStart w:id="36" w:name="Xfca7d522c72308ffdbd5a7664e4ca3974075357"/>
      <w:r>
        <w:t>6.1 Modelling objective and scenario parameters</w:t>
      </w:r>
    </w:p>
    <w:p w14:paraId="59523E34" w14:textId="77777777" w:rsidR="00EB04DE" w:rsidRDefault="00932640">
      <w:pPr>
        <w:pStyle w:val="FirstParagraph"/>
      </w:pPr>
      <w:r>
        <w:t>The central modelling objective is to determine how the levelised cost of energy depends on (i) the system configuration and (ii) the wind farm power density. These two dimensions form the core scenario parameters of the study.</w:t>
      </w:r>
    </w:p>
    <w:p w14:paraId="43293CA3" w14:textId="77777777" w:rsidR="00EB04DE" w:rsidRDefault="00932640">
      <w:pPr>
        <w:pStyle w:val="BodyText"/>
      </w:pPr>
      <w:r>
        <w:t>The system configuration takes one of three discrete values: fully electric export, centralised offshore electrolysis, or decentralised offshore electrolysis. Wind farm power density is treated as a continuous design dimension and is implemented through the combination of installed capacity and occupied sea area.</w:t>
      </w:r>
    </w:p>
    <w:p w14:paraId="20081AB3" w14:textId="77777777" w:rsidR="00EB04DE" w:rsidRDefault="00932640">
      <w:pPr>
        <w:pStyle w:val="BodyText"/>
      </w:pPr>
      <w:r>
        <w:t>No a priori restriction is imposed on whether power density is varied by changing the number of turbines or the spatial footprint of the wind farm. All resulting layouts are evaluated consistently within the same modelling framework.</w:t>
      </w:r>
    </w:p>
    <w:p w14:paraId="71F50490" w14:textId="77777777" w:rsidR="00EB04DE" w:rsidRDefault="00932640">
      <w:pPr>
        <w:pStyle w:val="Heading3"/>
      </w:pPr>
      <w:bookmarkStart w:id="37" w:name="Xdad565b3827d40957b4904823def4fe82773eab"/>
      <w:bookmarkEnd w:id="36"/>
      <w:r>
        <w:t>6.2 Deterministic parameters and calculated quantities</w:t>
      </w:r>
    </w:p>
    <w:p w14:paraId="5FBD09B6" w14:textId="77777777" w:rsidR="00EB04DE" w:rsidRDefault="00932640">
      <w:pPr>
        <w:pStyle w:val="FirstParagraph"/>
      </w:pPr>
      <w:r>
        <w:t>A subset of model parameters is calculated deterministically from the scenario parameters. Given the number of turbines and the wind farm area, turbine positions are determined, from which wake losses and electricity production per turbine follow. The same spatial configuration determines infield cable or pipeline lengths and thereby infrastructure costs.</w:t>
      </w:r>
    </w:p>
    <w:p w14:paraId="722A7FA1" w14:textId="77777777" w:rsidR="00EB04DE" w:rsidRDefault="00932640">
      <w:pPr>
        <w:pStyle w:val="BodyText"/>
      </w:pPr>
      <w:r>
        <w:t>These calculated quantities form the link between spatial design choices and techno-economic performance and enter directly into the levelised cost calculation.</w:t>
      </w:r>
    </w:p>
    <w:p w14:paraId="636F2EA2" w14:textId="77777777" w:rsidR="00EB04DE" w:rsidRDefault="00932640">
      <w:pPr>
        <w:pStyle w:val="Heading3"/>
      </w:pPr>
      <w:bookmarkStart w:id="38" w:name="optimisation-variables"/>
      <w:bookmarkEnd w:id="37"/>
      <w:r>
        <w:t>6.3 Optimisation variables</w:t>
      </w:r>
    </w:p>
    <w:p w14:paraId="3B5CF350" w14:textId="77777777" w:rsidR="00EB04DE" w:rsidRDefault="00932640">
      <w:pPr>
        <w:pStyle w:val="FirstParagraph"/>
      </w:pPr>
      <w:r>
        <w:t>Not all system parameters can be derived deterministically. Several parameters are treated as optimisation variables and are allowed to vary such that the resulting system configuration minimises the levelised cost of energy.</w:t>
      </w:r>
    </w:p>
    <w:p w14:paraId="77EF2491" w14:textId="77777777" w:rsidR="00EB04DE" w:rsidRDefault="00932640">
      <w:pPr>
        <w:pStyle w:val="BodyText"/>
      </w:pPr>
      <w:r>
        <w:t>In the hydrogen-based configurations, the most relevant optimisation variables include:</w:t>
      </w:r>
    </w:p>
    <w:p w14:paraId="2C5ACD15" w14:textId="77777777" w:rsidR="00EB04DE" w:rsidRDefault="00932640">
      <w:pPr>
        <w:pStyle w:val="Compact"/>
        <w:numPr>
          <w:ilvl w:val="0"/>
          <w:numId w:val="3"/>
        </w:numPr>
      </w:pPr>
      <w:r>
        <w:t>Electrolyser stack size, which determines operating current density, efficiency, degradation behaviour, and total stack costs</w:t>
      </w:r>
    </w:p>
    <w:p w14:paraId="327A6297" w14:textId="77777777" w:rsidR="00EB04DE" w:rsidRDefault="00932640">
      <w:pPr>
        <w:pStyle w:val="Compact"/>
        <w:numPr>
          <w:ilvl w:val="0"/>
          <w:numId w:val="3"/>
        </w:numPr>
      </w:pPr>
      <w:r>
        <w:t>Hydrogen pipeline pressure and diameter, which jointly determine compression energy requirements, pipeline capacity, material costs, and installation costs</w:t>
      </w:r>
    </w:p>
    <w:p w14:paraId="1C250B08" w14:textId="77777777" w:rsidR="00EB04DE" w:rsidRDefault="00932640">
      <w:pPr>
        <w:pStyle w:val="FirstParagraph"/>
      </w:pPr>
      <w:r>
        <w:t>The values of these parameters are therefore outcomes of the optimisation rather than predefined inputs and may differ between scenarios.</w:t>
      </w:r>
    </w:p>
    <w:p w14:paraId="5424F305" w14:textId="77777777" w:rsidR="00EB04DE" w:rsidRDefault="00932640">
      <w:pPr>
        <w:pStyle w:val="Heading3"/>
      </w:pPr>
      <w:bookmarkStart w:id="39" w:name="fixed-input-parameters-and-assumptions"/>
      <w:bookmarkEnd w:id="38"/>
      <w:r>
        <w:t>6.4 Fixed input parameters and assumptions</w:t>
      </w:r>
    </w:p>
    <w:p w14:paraId="288BDABD" w14:textId="77777777" w:rsidR="00EB04DE" w:rsidRDefault="00932640">
      <w:pPr>
        <w:pStyle w:val="FirstParagraph"/>
      </w:pPr>
      <w:r>
        <w:t>All remaining parameters are treated as fixed inputs and are applied consistently across all scenarios. These include cost assumptions, scaling factors, component efficiencies, environmental conditions, and financial parameters.</w:t>
      </w:r>
    </w:p>
    <w:p w14:paraId="185348EC" w14:textId="77777777" w:rsidR="00EB04DE" w:rsidRDefault="00932640">
      <w:pPr>
        <w:pStyle w:val="BodyText"/>
      </w:pPr>
      <w:r>
        <w:t>A complete overview of these assumptions is provided in Chapter 3 and in the appendices to ensure transparency and reproducibility.</w:t>
      </w:r>
    </w:p>
    <w:p w14:paraId="4E214B6B" w14:textId="77777777" w:rsidR="00EB04DE" w:rsidRDefault="00932640">
      <w:pPr>
        <w:pStyle w:val="Heading3"/>
      </w:pPr>
      <w:bookmarkStart w:id="40" w:name="Xb3cc544d18b5d72186aaed68440561efaa5a17e"/>
      <w:bookmarkEnd w:id="39"/>
      <w:r>
        <w:t>6.5 Dynamic representation of wind conditions and conversion processes</w:t>
      </w:r>
    </w:p>
    <w:p w14:paraId="6E571EDC" w14:textId="77777777" w:rsidR="00EB04DE" w:rsidRDefault="00932640">
      <w:pPr>
        <w:pStyle w:val="FirstParagraph"/>
      </w:pPr>
      <w:r>
        <w:t>Accurate estimation of energy yield requires representation of the full wind power distribution rather than reliance on annual average values. Wake losses, electrolyser efficiency, and compression energy depend on instantaneous turbine output.</w:t>
      </w:r>
    </w:p>
    <w:p w14:paraId="1F47D9B5" w14:textId="77777777" w:rsidR="00EB04DE" w:rsidRDefault="00932640">
      <w:pPr>
        <w:pStyle w:val="BodyText"/>
      </w:pPr>
      <w:r>
        <w:t>A direct time-series simulation using multi-year hourly wind data would provide high accuracy but entails significant computational effort. To reduce this burden, a statistical representation of the wind resource is adopted.</w:t>
      </w:r>
    </w:p>
    <w:p w14:paraId="2277AAEE" w14:textId="77777777" w:rsidR="00EB04DE" w:rsidRDefault="00932640">
      <w:pPr>
        <w:pStyle w:val="BodyText"/>
      </w:pPr>
      <w:r>
        <w:t>Wind conditions are represented using a Weibull distribution fitted to ten years of offshore wind data from the Dutch Offshore Wind Atlas. Expected values of relevant quantities are obtained by integrating over the wind distribution.</w:t>
      </w:r>
    </w:p>
    <w:p w14:paraId="63E52C73" w14:textId="77777777" w:rsidR="00EB04DE" w:rsidRDefault="00932640">
      <w:pPr>
        <w:pStyle w:val="Heading3"/>
      </w:pPr>
      <w:bookmarkStart w:id="41" w:name="Xdcf02d4fc313e7ce5d6e187460892636b4896e8"/>
      <w:bookmarkEnd w:id="40"/>
      <w:r>
        <w:t>6.6 Wind farm energy production and wake modelling</w:t>
      </w:r>
    </w:p>
    <w:p w14:paraId="69E71642" w14:textId="77777777" w:rsidR="00EB04DE" w:rsidRDefault="00932640">
      <w:pPr>
        <w:pStyle w:val="FirstParagraph"/>
      </w:pPr>
      <w:r>
        <w:t>Wind farm energy production and wake losses are modelled using the PyWake framework. Given turbine positions and wind conditions, PyWake computes turbine-level power output and wake interactions. These outputs are combined with the wind distribution to obtain average annual energy production and wake losses for each configuration.</w:t>
      </w:r>
    </w:p>
    <w:p w14:paraId="614DE40D" w14:textId="77777777" w:rsidR="00EB04DE" w:rsidRDefault="00932640">
      <w:pPr>
        <w:pStyle w:val="Heading3"/>
      </w:pPr>
      <w:bookmarkStart w:id="42" w:name="X0887f86efae172924071e088b689caf1ae551f2"/>
      <w:bookmarkEnd w:id="41"/>
      <w:r>
        <w:t>6.7 Hydrogen production and auxiliary energy consumption</w:t>
      </w:r>
    </w:p>
    <w:p w14:paraId="0432AD27" w14:textId="77777777" w:rsidR="00EB04DE" w:rsidRDefault="00932640">
      <w:pPr>
        <w:pStyle w:val="FirstParagraph"/>
      </w:pPr>
      <w:r>
        <w:t>Hydrogen production is modelled by combining turbine-level power output with detailed representations of electrolyser efficiency, balance-of-plant electricity consumption, power electronics losses, and compressor energy use.</w:t>
      </w:r>
    </w:p>
    <w:p w14:paraId="27297042" w14:textId="77777777" w:rsidR="00EB04DE" w:rsidRDefault="00932640">
      <w:pPr>
        <w:pStyle w:val="BodyText"/>
      </w:pPr>
      <w:r>
        <w:t>Stack efficiency is derived from manufacturer-provided polarisation curves. The number of active stack modules is adjusted dynamically such that each module operates close to its efficiency optimum, subject to minimum load constraints.</w:t>
      </w:r>
    </w:p>
    <w:p w14:paraId="7BC46B90" w14:textId="77777777" w:rsidR="00EB04DE" w:rsidRDefault="00932640">
      <w:pPr>
        <w:pStyle w:val="BodyText"/>
      </w:pPr>
      <w:r>
        <w:t>Balance-of-plant electricity consumption consists of a fixed component and a load-dependent component. Compression energy is calculated assuming staged isothermal compression with specified efficiency constraints.</w:t>
      </w:r>
    </w:p>
    <w:p w14:paraId="395F807A" w14:textId="77777777" w:rsidR="00EB04DE" w:rsidRDefault="00932640">
      <w:pPr>
        <w:pStyle w:val="Heading3"/>
      </w:pPr>
      <w:bookmarkStart w:id="43" w:name="levelised-cost-calculation"/>
      <w:bookmarkEnd w:id="42"/>
      <w:r>
        <w:t>6.8 Levelised cost calculation</w:t>
      </w:r>
    </w:p>
    <w:p w14:paraId="1FD0AA41" w14:textId="77777777" w:rsidR="00EB04DE" w:rsidRDefault="00932640">
      <w:pPr>
        <w:pStyle w:val="FirstParagraph"/>
      </w:pPr>
      <w:r>
        <w:t>The levelised cost of energy accounts for all capital expenditures, installation costs, operation and maintenance costs, and financing costs over the project lifetime. Capital costs are annualised using a capital recovery factor based on a weighted average cost of capital of 6.6% and a project lifetime of 25 years.</w:t>
      </w:r>
    </w:p>
    <w:p w14:paraId="2320429A" w14:textId="77777777" w:rsidR="00EB04DE" w:rsidRDefault="00932640">
      <w:pPr>
        <w:pStyle w:val="BodyText"/>
      </w:pPr>
      <w:r>
        <w:t>The levelised cost is calculated as the ratio of total annualised costs to annual energy yield. For electricity-based systems, yield is expressed in MWh. For hydrogen-based systems, hydrogen output is converted to energy units using the higher heating value of hydrogen to enable consistent comparison.</w:t>
      </w:r>
    </w:p>
    <w:p w14:paraId="27A7D042" w14:textId="5469F4BE" w:rsidR="00EB04DE" w:rsidRDefault="005713C3">
      <w:r>
        <w:rPr>
          <w:noProof/>
        </w:rPr>
        <w:pict w14:anchorId="157EF01D">
          <v:rect id="_x0000_i1031" style="width:468pt;height:.05pt" o:hralign="center" o:hrstd="t" o:hr="t"/>
        </w:pict>
      </w:r>
    </w:p>
    <w:p w14:paraId="6BED444C" w14:textId="77777777" w:rsidR="00EB04DE" w:rsidRDefault="00932640">
      <w:pPr>
        <w:pStyle w:val="Heading2"/>
      </w:pPr>
      <w:bookmarkStart w:id="44" w:name="X19eb2d9da5a6c819ef1e0be3aac455bea0655d8"/>
      <w:bookmarkEnd w:id="35"/>
      <w:bookmarkEnd w:id="43"/>
      <w:r>
        <w:t>Chapter 7 — Scenario results: electricity export</w:t>
      </w:r>
    </w:p>
    <w:p w14:paraId="08620D07" w14:textId="77777777" w:rsidR="00EB04DE" w:rsidRDefault="00932640">
      <w:pPr>
        <w:pStyle w:val="FirstParagraph"/>
      </w:pPr>
      <w:r>
        <w:t>This chapter presents results for offshore wind with conventional electricity export, focusing on wind farm layout, infrastructure utilisation, curtailment behaviour, and cost structure.</w:t>
      </w:r>
    </w:p>
    <w:p w14:paraId="349A6AEF" w14:textId="7FDF0DF0" w:rsidR="00EB04DE" w:rsidRDefault="005713C3">
      <w:r>
        <w:rPr>
          <w:noProof/>
        </w:rPr>
        <w:pict w14:anchorId="36328F00">
          <v:rect id="_x0000_i1032" style="width:468pt;height:.05pt" o:hralign="center" o:hrstd="t" o:hr="t"/>
        </w:pict>
      </w:r>
    </w:p>
    <w:p w14:paraId="23051ECE" w14:textId="77777777" w:rsidR="00EB04DE" w:rsidRDefault="00932640">
      <w:pPr>
        <w:pStyle w:val="Heading2"/>
      </w:pPr>
      <w:bookmarkStart w:id="45" w:name="Xe63be4b899def735731a6c6bd2a5cb0a781d008"/>
      <w:bookmarkEnd w:id="44"/>
      <w:r>
        <w:t>Chapter 8 — Scenario results: central hydrogen production</w:t>
      </w:r>
    </w:p>
    <w:p w14:paraId="167B7F5C" w14:textId="77777777" w:rsidR="00EB04DE" w:rsidRDefault="00932640">
      <w:pPr>
        <w:pStyle w:val="FirstParagraph"/>
      </w:pPr>
      <w:r>
        <w:t>This chapter presents results for offshore wind with centralised hydrogen production and pipeline export, highlighting differences relative to the electricity-based configuration.</w:t>
      </w:r>
    </w:p>
    <w:p w14:paraId="1AD19A95" w14:textId="2B26A620" w:rsidR="00EB04DE" w:rsidRDefault="005713C3">
      <w:r>
        <w:rPr>
          <w:noProof/>
        </w:rPr>
        <w:pict w14:anchorId="69B04947">
          <v:rect id="_x0000_i1033" style="width:468pt;height:.05pt" o:hralign="center" o:hrstd="t" o:hr="t"/>
        </w:pict>
      </w:r>
    </w:p>
    <w:p w14:paraId="7623F568" w14:textId="77777777" w:rsidR="00EB04DE" w:rsidRDefault="00932640">
      <w:pPr>
        <w:pStyle w:val="Heading2"/>
      </w:pPr>
      <w:bookmarkStart w:id="46" w:name="X6a5cf22733493650639e2881181e363e9e0a639"/>
      <w:bookmarkEnd w:id="45"/>
      <w:r>
        <w:t>Chapter 9 — Scenario results: decentral hydrogen production</w:t>
      </w:r>
    </w:p>
    <w:p w14:paraId="5C8A8839" w14:textId="77777777" w:rsidR="00EB04DE" w:rsidRDefault="00932640">
      <w:pPr>
        <w:pStyle w:val="FirstParagraph"/>
      </w:pPr>
      <w:r>
        <w:t>This chapter presents results for offshore wind with decentralised hydrogen production integrated at turbine level, and analyses how this configuration alters system behaviour.</w:t>
      </w:r>
    </w:p>
    <w:p w14:paraId="4998CCB2" w14:textId="04BFEFDF" w:rsidR="00EB04DE" w:rsidRDefault="005713C3">
      <w:r>
        <w:rPr>
          <w:noProof/>
        </w:rPr>
        <w:pict w14:anchorId="2C14DE69">
          <v:rect id="_x0000_i1034" style="width:468pt;height:.05pt" o:hralign="center" o:hrstd="t" o:hr="t"/>
        </w:pict>
      </w:r>
    </w:p>
    <w:p w14:paraId="05F1A847" w14:textId="77777777" w:rsidR="00EB04DE" w:rsidRDefault="00932640">
      <w:pPr>
        <w:pStyle w:val="Heading2"/>
      </w:pPr>
      <w:bookmarkStart w:id="47" w:name="chapter-10-cross-scenario-comparison"/>
      <w:bookmarkEnd w:id="46"/>
      <w:r>
        <w:t>Chapter 10 — Cross-scenario comparison</w:t>
      </w:r>
    </w:p>
    <w:p w14:paraId="22D15694" w14:textId="77777777" w:rsidR="00EB04DE" w:rsidRDefault="00932640">
      <w:pPr>
        <w:pStyle w:val="FirstParagraph"/>
      </w:pPr>
      <w:r>
        <w:t>This chapter compares the three scenarios at the level of total system cost, dominant cost drivers, and design trade-offs.</w:t>
      </w:r>
    </w:p>
    <w:p w14:paraId="53F33ABD" w14:textId="5261F41C" w:rsidR="00EB04DE" w:rsidRDefault="005713C3">
      <w:r>
        <w:rPr>
          <w:noProof/>
        </w:rPr>
        <w:pict w14:anchorId="430E78F1">
          <v:rect id="_x0000_i1035" style="width:468pt;height:.05pt" o:hralign="center" o:hrstd="t" o:hr="t"/>
        </w:pict>
      </w:r>
    </w:p>
    <w:p w14:paraId="35214FBC" w14:textId="77777777" w:rsidR="00EB04DE" w:rsidRDefault="00932640">
      <w:pPr>
        <w:pStyle w:val="Heading2"/>
      </w:pPr>
      <w:bookmarkStart w:id="48" w:name="chapter-11-conclusions"/>
      <w:bookmarkEnd w:id="47"/>
      <w:r>
        <w:t>Chapter 11 — Conclusions</w:t>
      </w:r>
    </w:p>
    <w:p w14:paraId="59FCA86D" w14:textId="77777777" w:rsidR="00EB04DE" w:rsidRDefault="00932640">
      <w:pPr>
        <w:pStyle w:val="FirstParagraph"/>
      </w:pPr>
      <w:r>
        <w:t>This chapter synthesises the findings of the study and reflects on their implications for offshore wind system design, infrastructure planning, and future research.</w:t>
      </w:r>
    </w:p>
    <w:p w14:paraId="4CD6423A" w14:textId="12DEB58F" w:rsidR="00EB04DE" w:rsidRDefault="005713C3">
      <w:r>
        <w:rPr>
          <w:noProof/>
        </w:rPr>
        <w:pict w14:anchorId="7057F1F2">
          <v:rect id="_x0000_i1036" style="width:468pt;height:.05pt" o:hralign="center" o:hrstd="t" o:hr="t"/>
        </w:pict>
      </w:r>
    </w:p>
    <w:p w14:paraId="52B782BC" w14:textId="77777777" w:rsidR="00EB04DE" w:rsidRDefault="00932640">
      <w:pPr>
        <w:pStyle w:val="Heading2"/>
      </w:pPr>
      <w:bookmarkStart w:id="49" w:name="appendices-model-documentation"/>
      <w:bookmarkEnd w:id="48"/>
      <w:r>
        <w:t>Appendices — Model documentation</w:t>
      </w:r>
    </w:p>
    <w:p w14:paraId="651F5411" w14:textId="77777777" w:rsidR="00EB04DE" w:rsidRDefault="00932640">
      <w:pPr>
        <w:pStyle w:val="FirstParagraph"/>
      </w:pPr>
      <w:r>
        <w:t>The appendices provide full documentation of model structure, assumptions, parameters, and guidance for modifying inputs to support transparency and reproducibility.</w:t>
      </w:r>
      <w:bookmarkEnd w:id="0"/>
      <w:bookmarkEnd w:id="49"/>
    </w:p>
    <w:sectPr w:rsidR="00EB04D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DengXian Light">
    <w:altName w:val="等线 Light"/>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3005A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70CF4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80091539">
    <w:abstractNumId w:val="0"/>
  </w:num>
  <w:num w:numId="2" w16cid:durableId="271203725">
    <w:abstractNumId w:val="1"/>
  </w:num>
  <w:num w:numId="3" w16cid:durableId="149518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4DE"/>
    <w:rsid w:val="00080E0F"/>
    <w:rsid w:val="00095344"/>
    <w:rsid w:val="00181C7F"/>
    <w:rsid w:val="00185E56"/>
    <w:rsid w:val="001D0DB7"/>
    <w:rsid w:val="002D1401"/>
    <w:rsid w:val="00387CAB"/>
    <w:rsid w:val="00411F02"/>
    <w:rsid w:val="004141FF"/>
    <w:rsid w:val="004708D8"/>
    <w:rsid w:val="004F0FEE"/>
    <w:rsid w:val="0056167E"/>
    <w:rsid w:val="005713C3"/>
    <w:rsid w:val="005B0FC8"/>
    <w:rsid w:val="00632AFB"/>
    <w:rsid w:val="00697D5B"/>
    <w:rsid w:val="006F2C82"/>
    <w:rsid w:val="00716C2F"/>
    <w:rsid w:val="007E6841"/>
    <w:rsid w:val="0080772C"/>
    <w:rsid w:val="00836E62"/>
    <w:rsid w:val="00870348"/>
    <w:rsid w:val="008B1B76"/>
    <w:rsid w:val="008B20D8"/>
    <w:rsid w:val="009139DD"/>
    <w:rsid w:val="00932640"/>
    <w:rsid w:val="0095790B"/>
    <w:rsid w:val="0097694E"/>
    <w:rsid w:val="009A487D"/>
    <w:rsid w:val="00A11BC8"/>
    <w:rsid w:val="00A30398"/>
    <w:rsid w:val="00AD2D98"/>
    <w:rsid w:val="00AF073C"/>
    <w:rsid w:val="00BD085A"/>
    <w:rsid w:val="00C85689"/>
    <w:rsid w:val="00C87C51"/>
    <w:rsid w:val="00E835F1"/>
    <w:rsid w:val="00EB04DE"/>
    <w:rsid w:val="00F2782D"/>
    <w:rsid w:val="00F63DB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E47A8"/>
  <w15:docId w15:val="{1E82D350-1377-4C7E-80B1-2E31C1BFA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7DB144859B4EE4CB039B18FB536882E" ma:contentTypeVersion="22" ma:contentTypeDescription="Create a new document." ma:contentTypeScope="" ma:versionID="f35f845e19e9f960c769d3eec311c6f7">
  <xsd:schema xmlns:xsd="http://www.w3.org/2001/XMLSchema" xmlns:xs="http://www.w3.org/2001/XMLSchema" xmlns:p="http://schemas.microsoft.com/office/2006/metadata/properties" xmlns:ns2="6cea53e0-2c3d-4bee-90d6-026564cf89e5" xmlns:ns3="15c92b00-d93f-4882-809f-f7c5befd140b" targetNamespace="http://schemas.microsoft.com/office/2006/metadata/properties" ma:root="true" ma:fieldsID="d2f12032b40738d4e066ed0eabdff137" ns2:_="" ns3:_="">
    <xsd:import namespace="6cea53e0-2c3d-4bee-90d6-026564cf89e5"/>
    <xsd:import namespace="15c92b00-d93f-4882-809f-f7c5befd140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Location" minOccurs="0"/>
                <xsd:element ref="ns2:DocumentID" minOccurs="0"/>
                <xsd:element ref="ns2:_Flow_SignoffStatus" minOccurs="0"/>
                <xsd:element ref="ns2:lcf76f155ced4ddcb4097134ff3c332f" minOccurs="0"/>
                <xsd:element ref="ns3:TaxCatchAll" minOccurs="0"/>
                <xsd:element ref="ns2:Statu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ea53e0-2c3d-4bee-90d6-026564cf89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DocumentID" ma:index="20" nillable="true" ma:displayName="Document ID" ma:format="Dropdown" ma:list="6cea53e0-2c3d-4bee-90d6-026564cf89e5" ma:internalName="DocumentID" ma:showField="ID">
      <xsd:simpleType>
        <xsd:restriction base="dms:Lookup"/>
      </xsd:simpleType>
    </xsd:element>
    <xsd:element name="_Flow_SignoffStatus" ma:index="21"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89ec43a-4709-4bd5-aa9c-72cc12c08b5e" ma:termSetId="09814cd3-568e-fe90-9814-8d621ff8fb84" ma:anchorId="fba54fb3-c3e1-fe81-a776-ca4b69148c4d" ma:open="true" ma:isKeyword="false">
      <xsd:complexType>
        <xsd:sequence>
          <xsd:element ref="pc:Terms" minOccurs="0" maxOccurs="1"/>
        </xsd:sequence>
      </xsd:complexType>
    </xsd:element>
    <xsd:element name="Status" ma:index="25" nillable="true" ma:displayName="Release status" ma:format="Dropdown" ma:internalName="Status">
      <xsd:simpleType>
        <xsd:restriction base="dms:Choice">
          <xsd:enumeration value="Active"/>
          <xsd:enumeration value="Archived"/>
          <xsd:enumeration value="Obsolete"/>
        </xsd:restriction>
      </xsd:simpleType>
    </xsd:element>
    <xsd:element name="MediaLengthInSeconds" ma:index="26" nillable="true" ma:displayName="MediaLengthInSeconds" ma:hidden="true" ma:internalName="MediaLengthInSeconds" ma:readOnly="true">
      <xsd:simpleType>
        <xsd:restriction base="dms:Unknown"/>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5c92b00-d93f-4882-809f-f7c5befd140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11baf65c-1aac-4aff-9538-66cf38d5d38b}" ma:internalName="TaxCatchAll" ma:showField="CatchAllData" ma:web="15c92b00-d93f-4882-809f-f7c5befd14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5c92b00-d93f-4882-809f-f7c5befd140b" xsi:nil="true"/>
    <lcf76f155ced4ddcb4097134ff3c332f xmlns="6cea53e0-2c3d-4bee-90d6-026564cf89e5">
      <Terms xmlns="http://schemas.microsoft.com/office/infopath/2007/PartnerControls"/>
    </lcf76f155ced4ddcb4097134ff3c332f>
    <Status xmlns="6cea53e0-2c3d-4bee-90d6-026564cf89e5" xsi:nil="true"/>
    <_Flow_SignoffStatus xmlns="6cea53e0-2c3d-4bee-90d6-026564cf89e5" xsi:nil="true"/>
    <DocumentID xmlns="6cea53e0-2c3d-4bee-90d6-026564cf89e5" xsi:nil="true"/>
  </documentManagement>
</p:properties>
</file>

<file path=customXml/itemProps1.xml><?xml version="1.0" encoding="utf-8"?>
<ds:datastoreItem xmlns:ds="http://schemas.openxmlformats.org/officeDocument/2006/customXml" ds:itemID="{DBD58973-4EB7-4BB3-8F90-303CBBE1EC11}">
  <ds:schemaRefs>
    <ds:schemaRef ds:uri="http://schemas.microsoft.com/sharepoint/v3/contenttype/forms"/>
  </ds:schemaRefs>
</ds:datastoreItem>
</file>

<file path=customXml/itemProps2.xml><?xml version="1.0" encoding="utf-8"?>
<ds:datastoreItem xmlns:ds="http://schemas.openxmlformats.org/officeDocument/2006/customXml" ds:itemID="{AAD9AE31-A395-4383-A9C5-5BB16A924D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ea53e0-2c3d-4bee-90d6-026564cf89e5"/>
    <ds:schemaRef ds:uri="15c92b00-d93f-4882-809f-f7c5befd14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1590A7-9C57-4EE3-9419-76AA13F73698}">
  <ds:schemaRefs>
    <ds:schemaRef ds:uri="http://schemas.microsoft.com/office/2006/metadata/properties"/>
    <ds:schemaRef ds:uri="http://schemas.microsoft.com/office/infopath/2007/PartnerControls"/>
    <ds:schemaRef ds:uri="15c92b00-d93f-4882-809f-f7c5befd140b"/>
    <ds:schemaRef ds:uri="6cea53e0-2c3d-4bee-90d6-026564cf89e5"/>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5149</Words>
  <Characters>29355</Characters>
  <Application>Microsoft Office Word</Application>
  <DocSecurity>4</DocSecurity>
  <Lines>244</Lines>
  <Paragraphs>68</Paragraphs>
  <ScaleCrop>false</ScaleCrop>
  <Company/>
  <LinksUpToDate>false</LinksUpToDate>
  <CharactersWithSpaces>34436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JWL MOBIHY</dc:creator>
  <cp:keywords/>
  <cp:lastModifiedBy>JWL MOBIHY</cp:lastModifiedBy>
  <cp:revision>18</cp:revision>
  <dcterms:created xsi:type="dcterms:W3CDTF">2026-02-07T08:30:00Z</dcterms:created>
  <dcterms:modified xsi:type="dcterms:W3CDTF">2026-02-11T12:19:00Z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0x01010047DB144859B4EE4CB039B18FB536882E</vt:lpwstr>
  </property>
  <property fmtid="{D5CDD505-2E9C-101B-9397-08002B2CF9AE}" pid="3" name="MediaServiceImageTags">
    <vt:lpwstr/>
  </property>
  <property fmtid="{D5CDD505-2E9C-101B-9397-08002B2CF9AE}" pid="4" name="docLang">
    <vt:lpwstr>en</vt:lpwstr>
  </property>
</Properties>
</file>