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28B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Hieronder staat een complete, overdraagbare achtergrondprompt met:</w:t>
      </w:r>
    </w:p>
    <w:p w14:paraId="0F719441"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essentie van de studie</w:t>
      </w:r>
    </w:p>
    <w:p w14:paraId="135135B1"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vernieuwendheid (expliciet onderscheidend)</w:t>
      </w:r>
    </w:p>
    <w:p w14:paraId="2D8583FF"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methodologische positie en model-closure</w:t>
      </w:r>
    </w:p>
    <w:p w14:paraId="7625860E"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architectuurvarianten</w:t>
      </w:r>
    </w:p>
    <w:p w14:paraId="1894BEAD"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beoogde documentopbouw</w:t>
      </w:r>
    </w:p>
    <w:p w14:paraId="1D63A26E"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rolverdeling per hoofdstuk (incl. epistemologische intentie)</w:t>
      </w:r>
    </w:p>
    <w:p w14:paraId="125B168D"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alignmentregel</w:t>
      </w:r>
    </w:p>
    <w:p w14:paraId="4B7CE8BA"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schrijfstijl/toon</w:t>
      </w:r>
    </w:p>
    <w:p w14:paraId="11F908AE" w14:textId="77777777" w:rsidR="00B811BE" w:rsidRPr="00B811BE" w:rsidRDefault="00B811BE" w:rsidP="00B811BE">
      <w:pPr>
        <w:numPr>
          <w:ilvl w:val="0"/>
          <w:numId w:val="1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bewakingspunten</w:t>
      </w:r>
    </w:p>
    <w:p w14:paraId="19CEBE4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B664CB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Dit kun je integraal meenemen naar een nieuwe chat.</w:t>
      </w:r>
    </w:p>
    <w:p w14:paraId="0E99AE5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8C14F3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6B08B922"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8B34A7B"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OVERKOEPELEND DOEL EN ESSENTIE VAN DE STUDIE</w:t>
      </w:r>
    </w:p>
    <w:p w14:paraId="213D379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48951D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Deze dissertatie onderzoekt hoe de keuze van energiedrager (elektriciteit versus waterstof) de marginale kostenstructuur van offshore wind wijzigt, en hoe die wijziging het economisch optimale ontwerp van het offshore systeem fundamenteel kan veranderen.</w:t>
      </w:r>
    </w:p>
    <w:p w14:paraId="6315D70F"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7E8437F"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 studie stelt niet dat waterstof “beter” is.</w:t>
      </w:r>
    </w:p>
    <w:p w14:paraId="0472524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Zij test of een andere architectuur leidt tot een ander optimalisatieregime.</w:t>
      </w:r>
    </w:p>
    <w:p w14:paraId="30CC34C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511AA3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 kern is:</w:t>
      </w:r>
    </w:p>
    <w:p w14:paraId="31BB8D05" w14:textId="77777777" w:rsidR="00B811BE" w:rsidRPr="00B811BE" w:rsidRDefault="00B811BE" w:rsidP="00B811BE">
      <w:pPr>
        <w:numPr>
          <w:ilvl w:val="0"/>
          <w:numId w:val="1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Niet alleen kosten vergelijken.</w:t>
      </w:r>
    </w:p>
    <w:p w14:paraId="031DC386" w14:textId="77777777" w:rsidR="00B811BE" w:rsidRPr="00B811BE" w:rsidRDefault="00B811BE" w:rsidP="00B811BE">
      <w:pPr>
        <w:numPr>
          <w:ilvl w:val="0"/>
          <w:numId w:val="1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Niet alleen efficiëntieverliezen bespreken.</w:t>
      </w:r>
    </w:p>
    <w:p w14:paraId="27E2A2D4" w14:textId="77777777" w:rsidR="00B811BE" w:rsidRPr="00B811BE" w:rsidRDefault="00B811BE" w:rsidP="00B811BE">
      <w:pPr>
        <w:numPr>
          <w:ilvl w:val="0"/>
          <w:numId w:val="1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Maar het volledige offshore ontwerp endogeen modelleren.</w:t>
      </w:r>
    </w:p>
    <w:p w14:paraId="3C8D6CDE" w14:textId="77777777" w:rsidR="00B811BE" w:rsidRPr="00B811BE" w:rsidRDefault="00B811BE" w:rsidP="00B811BE">
      <w:pPr>
        <w:numPr>
          <w:ilvl w:val="0"/>
          <w:numId w:val="1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lastRenderedPageBreak/>
        <w:t>Inclusief interacties tussen spacing, wake, productieprofiel, exportcapaciteit, conversiesizing, infrastructuurdimensies, betrouwbaarheid en schaalwetten.</w:t>
      </w:r>
    </w:p>
    <w:p w14:paraId="189666E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CF7699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 uitkomsten (LCOE, MW/km², MWh/km², MW_export/MW_gen, benuttingsgraad) mogen niet vooraf impliciet vastliggen in exogene aannames.</w:t>
      </w:r>
    </w:p>
    <w:p w14:paraId="1A9B8BDF"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C51A9B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Energiedichtheid (MWh/km²) wordt expliciet behandeld als endogeen optimalisatieresultaat.</w:t>
      </w:r>
    </w:p>
    <w:p w14:paraId="43E82101"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B46E932"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Endogeniteit als gekoppeld ontwerpsysteem (niet als variabelenlijst):</w:t>
      </w:r>
    </w:p>
    <w:p w14:paraId="2A6D081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Endogeniteit wordt niet opgevat als een lijst losse parameters (“diameter”, “druk”, “topologie”), maar als een gekoppeld ontwerpsysteem waarin fysische relaties en economische relaties elkaar sluiten. Voorbeeld van zo’n keten:</w:t>
      </w:r>
    </w:p>
    <w:p w14:paraId="33DC4DE5" w14:textId="77777777" w:rsidR="00B811BE" w:rsidRPr="00B811BE" w:rsidRDefault="00B811BE" w:rsidP="00B811BE">
      <w:pPr>
        <w:numPr>
          <w:ilvl w:val="0"/>
          <w:numId w:val="1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Diameter + druk bepalen transportcapaciteit en CAPEX van leiding/cable-infrastructuur.</w:t>
      </w:r>
    </w:p>
    <w:p w14:paraId="25A5277B" w14:textId="77777777" w:rsidR="00B811BE" w:rsidRPr="00B811BE" w:rsidRDefault="00B811BE" w:rsidP="00B811BE">
      <w:pPr>
        <w:numPr>
          <w:ilvl w:val="0"/>
          <w:numId w:val="1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Druk beïnvloedt compressiebehoefte en energieverbruik (OPEX en netto energie).</w:t>
      </w:r>
    </w:p>
    <w:p w14:paraId="4BE852A1" w14:textId="77777777" w:rsidR="00B811BE" w:rsidRPr="00B811BE" w:rsidRDefault="00B811BE" w:rsidP="00B811BE">
      <w:pPr>
        <w:numPr>
          <w:ilvl w:val="0"/>
          <w:numId w:val="1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Energieverbruik beïnvloedt netto energie beschikbaar voor elektrolyse en dus netto H₂-output.</w:t>
      </w:r>
    </w:p>
    <w:p w14:paraId="2AB6C621" w14:textId="77777777" w:rsidR="00B811BE" w:rsidRPr="00B811BE" w:rsidRDefault="00B811BE" w:rsidP="00B811BE">
      <w:pPr>
        <w:numPr>
          <w:ilvl w:val="0"/>
          <w:numId w:val="1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Netto output beïnvloedt effectieve benutting van export/landing-capaciteit (MW_export) en de marginale €/MWh.</w:t>
      </w:r>
    </w:p>
    <w:p w14:paraId="40DB9915" w14:textId="77777777" w:rsidR="00B811BE" w:rsidRPr="00B811BE" w:rsidRDefault="00B811BE" w:rsidP="00B811BE">
      <w:pPr>
        <w:numPr>
          <w:ilvl w:val="0"/>
          <w:numId w:val="1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Dat beïnvloedt weer optimale stack sizing, optimale MW_export, en daarmee optimale spacing en MW/km², omdat de marginale kostenstructuur terugkoppelt op ruimtelijke keuzes.</w:t>
      </w:r>
    </w:p>
    <w:p w14:paraId="438CA434"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584361C"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Regimes ontstaan uit terugkoppelende subsysteminteracties, niet uit één dominante parameter.</w:t>
      </w:r>
    </w:p>
    <w:p w14:paraId="3C1C9422"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F6BAC8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50C6782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8FC6A73"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WAT DE STUDIE VERNIEUWEND MAAKT (UITGEBREID EN EXPLICIET)</w:t>
      </w:r>
    </w:p>
    <w:p w14:paraId="368CA86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D253D1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lastRenderedPageBreak/>
        <w:t>Deze studie onderscheidt zich fundamenteel van bestaande offshore wind- en offshore waterstofliteratuur op de volgende punten:</w:t>
      </w:r>
    </w:p>
    <w:p w14:paraId="28A5E570" w14:textId="77777777" w:rsidR="00B811BE" w:rsidRPr="00B811BE" w:rsidRDefault="00B811BE" w:rsidP="00B811BE">
      <w:pPr>
        <w:numPr>
          <w:ilvl w:val="0"/>
          <w:numId w:val="1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Windfarm power density (MW/km²) is een ontwerpvariabele.</w:t>
      </w:r>
    </w:p>
    <w:p w14:paraId="7F5FCF1A"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In tegenstelling tot vrijwel alle bestaande studies wordt de ruimtelijke configuratie van het windpark niet als gegeven beschouwd. Turbine spacing en MW/km² worden endogeen geoptimaliseerd onder LCOE- en energiedichtheidsafwegingen.</w:t>
      </w:r>
    </w:p>
    <w:p w14:paraId="19991B59" w14:textId="77777777" w:rsidR="00B811BE" w:rsidRPr="00B811BE" w:rsidRDefault="00B811BE" w:rsidP="00B811BE">
      <w:pPr>
        <w:numPr>
          <w:ilvl w:val="0"/>
          <w:numId w:val="1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Optimalisatie op twee assen: LCOE én MWh/km².</w:t>
      </w:r>
    </w:p>
    <w:p w14:paraId="21BAE566"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 studie beschouwt niet alleen minimale LCOE, maar ook de implicaties voor energiedichtheid (MWh/km²) als economisch relevante uitkomst. Energiedichtheid is geen fysieke constante, maar een optimalisatieresultaat.</w:t>
      </w:r>
    </w:p>
    <w:p w14:paraId="19FF3926" w14:textId="77777777" w:rsidR="00B811BE" w:rsidRPr="00B811BE" w:rsidRDefault="00B811BE" w:rsidP="00B811BE">
      <w:pPr>
        <w:numPr>
          <w:ilvl w:val="0"/>
          <w:numId w:val="1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Integratie van elektrolyse in de turbine als expliciete architectuurvariant.</w:t>
      </w:r>
    </w:p>
    <w:p w14:paraId="6F401808"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Bestaande studies modelleren vrijwel uitsluitend centrale elektrolyse. Deze studie neemt turbine-geïntegreerde elektrolyse expliciet mee en analyseert de structurele kostenverschuiving door:</w:t>
      </w:r>
    </w:p>
    <w:p w14:paraId="08E6D1B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1A07EEB0" w14:textId="77777777" w:rsidR="00B811BE" w:rsidRPr="00B811BE" w:rsidRDefault="00B811BE" w:rsidP="00B811BE">
      <w:pPr>
        <w:numPr>
          <w:ilvl w:val="0"/>
          <w:numId w:val="1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Eliminatie of reductie van zware elektrische aggregatiecomponenten.</w:t>
      </w:r>
    </w:p>
    <w:p w14:paraId="3D5C98ED" w14:textId="77777777" w:rsidR="00B811BE" w:rsidRPr="00B811BE" w:rsidRDefault="00B811BE" w:rsidP="00B811BE">
      <w:pPr>
        <w:numPr>
          <w:ilvl w:val="0"/>
          <w:numId w:val="1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Verschuiving van bespoke megaplatforms naar seriematige modulariteit.</w:t>
      </w:r>
    </w:p>
    <w:p w14:paraId="24637E69" w14:textId="77777777" w:rsidR="00B811BE" w:rsidRPr="00B811BE" w:rsidRDefault="00B811BE" w:rsidP="00B811BE">
      <w:pPr>
        <w:numPr>
          <w:ilvl w:val="0"/>
          <w:numId w:val="1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Verandering van schaalvoordeel via grootte naar schaalvoordeel via herhaalbaarheid.</w:t>
      </w:r>
    </w:p>
    <w:p w14:paraId="17F5527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96994A5" w14:textId="77777777" w:rsidR="00B811BE" w:rsidRPr="00B811BE" w:rsidRDefault="00B811BE" w:rsidP="00B811BE">
      <w:pPr>
        <w:numPr>
          <w:ilvl w:val="0"/>
          <w:numId w:val="15"/>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Endogene modellering van infield- en exportinfrastructuur.</w:t>
      </w:r>
    </w:p>
    <w:p w14:paraId="2278499F"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In tegenstelling tot studies die vaste €/MW of €/km-coëfficiënten hanteren:</w:t>
      </w:r>
    </w:p>
    <w:p w14:paraId="7BAD1DC4"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B5BF392" w14:textId="77777777" w:rsidR="00B811BE" w:rsidRPr="00B811BE" w:rsidRDefault="00B811BE" w:rsidP="00B811BE">
      <w:pPr>
        <w:numPr>
          <w:ilvl w:val="0"/>
          <w:numId w:val="1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Wordt infieldlengte bepaald door spacing.</w:t>
      </w:r>
    </w:p>
    <w:p w14:paraId="519BFC2F" w14:textId="77777777" w:rsidR="00B811BE" w:rsidRPr="00B811BE" w:rsidRDefault="00B811BE" w:rsidP="00B811BE">
      <w:pPr>
        <w:numPr>
          <w:ilvl w:val="0"/>
          <w:numId w:val="1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Wordt topologie (string versus ladder/branched) meegenomen.</w:t>
      </w:r>
    </w:p>
    <w:p w14:paraId="6826703D" w14:textId="77777777" w:rsidR="00B811BE" w:rsidRPr="00B811BE" w:rsidRDefault="00B811BE" w:rsidP="00B811BE">
      <w:pPr>
        <w:numPr>
          <w:ilvl w:val="0"/>
          <w:numId w:val="1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Worden diameter, druk en materiaalkeuze gekoppeld aan capaciteit en kostenniveau.</w:t>
      </w:r>
    </w:p>
    <w:p w14:paraId="25ACB3D8" w14:textId="77777777" w:rsidR="00B811BE" w:rsidRPr="00B811BE" w:rsidRDefault="00B811BE" w:rsidP="00B811BE">
      <w:pPr>
        <w:numPr>
          <w:ilvl w:val="0"/>
          <w:numId w:val="1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Worden discrete schaalstappen (bijv. HVDC-blokken, diameterklassen) expliciet gemodelleerd.</w:t>
      </w:r>
    </w:p>
    <w:p w14:paraId="6D7C3D9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2536E58" w14:textId="77777777" w:rsidR="00B811BE" w:rsidRPr="00B811BE" w:rsidRDefault="00B811BE" w:rsidP="00B811BE">
      <w:pPr>
        <w:numPr>
          <w:ilvl w:val="0"/>
          <w:numId w:val="17"/>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Topologische verschillen tussen kabel- en pijpleidingnetwerken worden structureel meegenomen.</w:t>
      </w:r>
    </w:p>
    <w:p w14:paraId="65BD117D"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lastRenderedPageBreak/>
        <w:t>Elektrische stringtopologie en gasvormige ladder- of branched-structuren verschillen fundamenteel in:</w:t>
      </w:r>
    </w:p>
    <w:p w14:paraId="2154DB5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F6FD799" w14:textId="77777777" w:rsidR="00B811BE" w:rsidRPr="00B811BE" w:rsidRDefault="00B811BE" w:rsidP="00B811BE">
      <w:pPr>
        <w:numPr>
          <w:ilvl w:val="0"/>
          <w:numId w:val="1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Verliesmechanismen.</w:t>
      </w:r>
    </w:p>
    <w:p w14:paraId="10AEE280" w14:textId="77777777" w:rsidR="00B811BE" w:rsidRPr="00B811BE" w:rsidRDefault="00B811BE" w:rsidP="00B811BE">
      <w:pPr>
        <w:numPr>
          <w:ilvl w:val="0"/>
          <w:numId w:val="1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Redundantie.</w:t>
      </w:r>
    </w:p>
    <w:p w14:paraId="2033FAC7" w14:textId="77777777" w:rsidR="00B811BE" w:rsidRPr="00B811BE" w:rsidRDefault="00B811BE" w:rsidP="00B811BE">
      <w:pPr>
        <w:numPr>
          <w:ilvl w:val="0"/>
          <w:numId w:val="1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Capaciteitsconcentratie.</w:t>
      </w:r>
    </w:p>
    <w:p w14:paraId="05287991" w14:textId="77777777" w:rsidR="00B811BE" w:rsidRPr="00B811BE" w:rsidRDefault="00B811BE" w:rsidP="00B811BE">
      <w:pPr>
        <w:numPr>
          <w:ilvl w:val="0"/>
          <w:numId w:val="1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Schaalgedrag.</w:t>
      </w:r>
    </w:p>
    <w:p w14:paraId="7CCC57E9"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Dit verschil wordt niet als detail behandeld, maar als regimebepalend mechanisme.</w:t>
      </w:r>
    </w:p>
    <w:p w14:paraId="4655743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75925E5" w14:textId="77777777" w:rsidR="00B811BE" w:rsidRPr="00B811BE" w:rsidRDefault="00B811BE" w:rsidP="00B811BE">
      <w:pPr>
        <w:numPr>
          <w:ilvl w:val="0"/>
          <w:numId w:val="1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Stack sizing en procesparameters zijn endogeen.</w:t>
      </w:r>
    </w:p>
    <w:p w14:paraId="120FA4F3"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Elektrolysercapaciteit, turndown, part-load gedrag en compressiebehoefte worden niet exogeen vastgezet maar gezamenlijk geoptimaliseerd met ruimtelijke configuratie en export/landing-capaciteit.</w:t>
      </w:r>
    </w:p>
    <w:p w14:paraId="7D37C12F" w14:textId="77777777" w:rsidR="00B811BE" w:rsidRPr="00B811BE" w:rsidRDefault="00B811BE" w:rsidP="00B811BE">
      <w:pPr>
        <w:numPr>
          <w:ilvl w:val="0"/>
          <w:numId w:val="1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Subsystem-uptime wordt per architectuur meegenomen.</w:t>
      </w:r>
    </w:p>
    <w:p w14:paraId="5EFB3024"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Betrouwbaarheid wordt niet uniform verondersteld, maar per subsysteem en architectuur verschillend gemodelleerd, inclusief implicaties voor effectieve benutting van MW_export en daarmee LCOE en energiedichtheid. Detailniveau blijft functioneel: niet “repair time” in detail, maar betrouwbaarheid als parametrische, architecture-dependent input (incl. redundantie/“two-sided” effecten waar relevant).</w:t>
      </w:r>
    </w:p>
    <w:p w14:paraId="6572CFE2" w14:textId="77777777" w:rsidR="00B811BE" w:rsidRPr="00B811BE" w:rsidRDefault="00B811BE" w:rsidP="00B811BE">
      <w:pPr>
        <w:numPr>
          <w:ilvl w:val="0"/>
          <w:numId w:val="1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Geen vooraf veronderstelde dominante subsystemfactor.</w:t>
      </w:r>
    </w:p>
    <w:p w14:paraId="009E0625"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 studie veronderstelt niet dat export, turbine, conversie of transport dominant is. Dominantie kan alleen endogeen ontstaan uit interactie van schaalwetten en terugkoppelingen.</w:t>
      </w:r>
    </w:p>
    <w:p w14:paraId="495E6247" w14:textId="77777777" w:rsidR="00B811BE" w:rsidRPr="00B811BE" w:rsidRDefault="00B811BE" w:rsidP="00B811BE">
      <w:pPr>
        <w:numPr>
          <w:ilvl w:val="0"/>
          <w:numId w:val="1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Discrete schaalstappen worden expliciet gemodelleerd waar ze institutioneel of fysisch ontstaan.</w:t>
      </w:r>
    </w:p>
    <w:p w14:paraId="44ED1769"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Bijvoorbeeld:</w:t>
      </w:r>
    </w:p>
    <w:p w14:paraId="56A7DF6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131439D" w14:textId="77777777" w:rsidR="00B811BE" w:rsidRPr="00B811BE" w:rsidRDefault="00B811BE" w:rsidP="00B811BE">
      <w:pPr>
        <w:numPr>
          <w:ilvl w:val="0"/>
          <w:numId w:val="2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2 GW HVDC-blokken (institutionele standaardisatie, niet per se fysisch optimum).</w:t>
      </w:r>
    </w:p>
    <w:p w14:paraId="59FB9A6D" w14:textId="77777777" w:rsidR="00B811BE" w:rsidRPr="00B811BE" w:rsidRDefault="00B811BE" w:rsidP="00B811BE">
      <w:pPr>
        <w:numPr>
          <w:ilvl w:val="0"/>
          <w:numId w:val="2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Diameter- en materiaalklassen van pijpleidingen.</w:t>
      </w:r>
    </w:p>
    <w:p w14:paraId="246030E0" w14:textId="77777777" w:rsidR="00B811BE" w:rsidRPr="00B811BE" w:rsidRDefault="00B811BE" w:rsidP="00B811BE">
      <w:pPr>
        <w:numPr>
          <w:ilvl w:val="0"/>
          <w:numId w:val="2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Legmethode-implicaties (uitrollen vs rechte stukken, installatiestrategie en kosten).</w:t>
      </w:r>
    </w:p>
    <w:p w14:paraId="193FC82F"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Discretie is geen randopmerking maar onderdeel van de optimalisatiestructuur.</w:t>
      </w:r>
    </w:p>
    <w:p w14:paraId="3EEF7F8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4FB35D5" w14:textId="77777777" w:rsidR="00B811BE" w:rsidRPr="00B811BE" w:rsidRDefault="00B811BE" w:rsidP="00B811BE">
      <w:pPr>
        <w:numPr>
          <w:ilvl w:val="0"/>
          <w:numId w:val="2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Regimes ontstaan uit gekoppelde fysische en economische terugkoppelingen.</w:t>
      </w:r>
    </w:p>
    <w:p w14:paraId="344CE82C" w14:textId="77777777" w:rsidR="00B811BE" w:rsidRPr="00B811BE" w:rsidRDefault="00B811BE" w:rsidP="00B811BE">
      <w:pPr>
        <w:spacing w:before="100" w:beforeAutospacing="1" w:after="100" w:afterAutospacing="1" w:line="240" w:lineRule="auto"/>
        <w:ind w:left="720"/>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Energieverbruik voor compressie beïnvloedt netto output; netto output beïnvloedt MW_export; MW_export beïnvloedt infrastructuur; infrastructuur beïnvloedt LCOE; LCOE beïnvloedt optimale density. Deze gesloten ketenbenadering ontbreekt in de meeste vergelijkende literatuur.</w:t>
      </w:r>
    </w:p>
    <w:p w14:paraId="0573B7E1"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361E8B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 studie is breed in scope, maar diep in subsystem-detaillering waar relevant. “Relevantie” wordt gedefinieerd als: beïnvloedt dit de regimevorming of de location van het optimum?</w:t>
      </w:r>
    </w:p>
    <w:p w14:paraId="1E28796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11C58F74"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631D095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BFD25C6"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ARCHITECTURELE VARIANTEN</w:t>
      </w:r>
    </w:p>
    <w:p w14:paraId="699F19D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17AEF8CB"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 — Elektriciteit export (HVDC, 2 GW blokken)</w:t>
      </w:r>
    </w:p>
    <w:p w14:paraId="2E8B3341"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 — Centrale offshore elektrolyse (carrierwissel, centrale schaalconcentratie blijft)</w:t>
      </w:r>
    </w:p>
    <w:p w14:paraId="2D39FE3C"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C — Turbine-geïntegreerde elektrolyse (upstream integratie, seriematige modulariteit)</w:t>
      </w:r>
    </w:p>
    <w:p w14:paraId="24DB116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3383CF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Variant C is inhoudelijk de kerninnovatie.</w:t>
      </w:r>
    </w:p>
    <w:p w14:paraId="1F87BCA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Variant B wordt meegenomen om carrier-effect te scheiden van structuur-effect, en om de studie niet reduceerbaar te maken tot een simplistische “waterstof versus elektriciteit”-vergelijking.</w:t>
      </w:r>
    </w:p>
    <w:p w14:paraId="355E16BC"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59B0BA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5819F774"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737006B"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METHODISCHE POSITIE EN SCOPE (MODEL CLOSURE)</w:t>
      </w:r>
    </w:p>
    <w:p w14:paraId="1417FC90" w14:textId="77777777" w:rsidR="00B811BE" w:rsidRPr="00B811BE" w:rsidRDefault="00B811BE" w:rsidP="00B811BE">
      <w:pPr>
        <w:numPr>
          <w:ilvl w:val="0"/>
          <w:numId w:val="2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lastRenderedPageBreak/>
        <w:t>Projectniveau optimalisatie.</w:t>
      </w:r>
    </w:p>
    <w:p w14:paraId="7740E52B" w14:textId="77777777" w:rsidR="00B811BE" w:rsidRPr="00B811BE" w:rsidRDefault="00B811BE" w:rsidP="00B811BE">
      <w:pPr>
        <w:numPr>
          <w:ilvl w:val="0"/>
          <w:numId w:val="2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marktsimulatie.</w:t>
      </w:r>
    </w:p>
    <w:p w14:paraId="0FA4A00E" w14:textId="77777777" w:rsidR="00B811BE" w:rsidRPr="00B811BE" w:rsidRDefault="00B811BE" w:rsidP="00B811BE">
      <w:pPr>
        <w:numPr>
          <w:ilvl w:val="0"/>
          <w:numId w:val="2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welvaartsanalyse.</w:t>
      </w:r>
    </w:p>
    <w:p w14:paraId="399CEF1C" w14:textId="77777777" w:rsidR="00B811BE" w:rsidRPr="00B811BE" w:rsidRDefault="00B811BE" w:rsidP="00B811BE">
      <w:pPr>
        <w:numPr>
          <w:ilvl w:val="0"/>
          <w:numId w:val="2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systeemdispatch.</w:t>
      </w:r>
    </w:p>
    <w:p w14:paraId="548DDD9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17AAA3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Exogeen:</w:t>
      </w:r>
    </w:p>
    <w:p w14:paraId="39E1014F" w14:textId="77777777" w:rsidR="00B811BE" w:rsidRPr="00B811BE" w:rsidRDefault="00B811BE" w:rsidP="00B811BE">
      <w:pPr>
        <w:numPr>
          <w:ilvl w:val="0"/>
          <w:numId w:val="2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Windresource tijdreeks.</w:t>
      </w:r>
    </w:p>
    <w:p w14:paraId="07FBFACF" w14:textId="77777777" w:rsidR="00B811BE" w:rsidRPr="00B811BE" w:rsidRDefault="00B811BE" w:rsidP="00B811BE">
      <w:pPr>
        <w:numPr>
          <w:ilvl w:val="0"/>
          <w:numId w:val="2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Afstand tot kust.</w:t>
      </w:r>
    </w:p>
    <w:p w14:paraId="68D19922" w14:textId="77777777" w:rsidR="00B811BE" w:rsidRPr="00B811BE" w:rsidRDefault="00B811BE" w:rsidP="00B811BE">
      <w:pPr>
        <w:numPr>
          <w:ilvl w:val="0"/>
          <w:numId w:val="2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Institutionele blokgrootte.</w:t>
      </w:r>
    </w:p>
    <w:p w14:paraId="4BECA78F" w14:textId="77777777" w:rsidR="00B811BE" w:rsidRPr="00B811BE" w:rsidRDefault="00B811BE" w:rsidP="00B811BE">
      <w:pPr>
        <w:numPr>
          <w:ilvl w:val="0"/>
          <w:numId w:val="2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Financieringsparameters.</w:t>
      </w:r>
    </w:p>
    <w:p w14:paraId="50E4FC9A" w14:textId="77777777" w:rsidR="00B811BE" w:rsidRPr="00B811BE" w:rsidRDefault="00B811BE" w:rsidP="00B811BE">
      <w:pPr>
        <w:numPr>
          <w:ilvl w:val="0"/>
          <w:numId w:val="2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Fysische randvoorwaarden.</w:t>
      </w:r>
    </w:p>
    <w:p w14:paraId="7BBB901C"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5947F2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Endogeen: geïntegreerde ontwerpbeslissingen die via gekoppelde fysica- en kostfuncties samen het optimum bepalen, incl.:</w:t>
      </w:r>
    </w:p>
    <w:p w14:paraId="0CDED41C" w14:textId="77777777" w:rsidR="00B811BE" w:rsidRPr="00B811BE" w:rsidRDefault="00B811BE" w:rsidP="00B811BE">
      <w:pPr>
        <w:numPr>
          <w:ilvl w:val="0"/>
          <w:numId w:val="2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spacing, MW/km², MW_gen</w:t>
      </w:r>
    </w:p>
    <w:p w14:paraId="5B7C00F3" w14:textId="77777777" w:rsidR="00B811BE" w:rsidRPr="00B811BE" w:rsidRDefault="00B811BE" w:rsidP="00B811BE">
      <w:pPr>
        <w:numPr>
          <w:ilvl w:val="0"/>
          <w:numId w:val="2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export/landing-capaciteit (MW_export)</w:t>
      </w:r>
    </w:p>
    <w:p w14:paraId="3F3D4EC2" w14:textId="77777777" w:rsidR="00B811BE" w:rsidRPr="00B811BE" w:rsidRDefault="00B811BE" w:rsidP="00B811BE">
      <w:pPr>
        <w:numPr>
          <w:ilvl w:val="0"/>
          <w:numId w:val="2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infield en export infrastructuur (lengte, topologie, diameter/druk/materiaal waar relevant)</w:t>
      </w:r>
    </w:p>
    <w:p w14:paraId="2E033235" w14:textId="77777777" w:rsidR="00B811BE" w:rsidRPr="00B811BE" w:rsidRDefault="00B811BE" w:rsidP="00B811BE">
      <w:pPr>
        <w:numPr>
          <w:ilvl w:val="0"/>
          <w:numId w:val="2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stack sizing en placement</w:t>
      </w:r>
    </w:p>
    <w:p w14:paraId="4BA9EAE7" w14:textId="77777777" w:rsidR="00B811BE" w:rsidRPr="00B811BE" w:rsidRDefault="00B811BE" w:rsidP="00B811BE">
      <w:pPr>
        <w:numPr>
          <w:ilvl w:val="0"/>
          <w:numId w:val="2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compressie en energieverbruik</w:t>
      </w:r>
    </w:p>
    <w:p w14:paraId="50A57CFA" w14:textId="77777777" w:rsidR="00B811BE" w:rsidRPr="00B811BE" w:rsidRDefault="00B811BE" w:rsidP="00B811BE">
      <w:pPr>
        <w:numPr>
          <w:ilvl w:val="0"/>
          <w:numId w:val="2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architecture-dependent betrouwbaarheid en verliezen</w:t>
      </w:r>
    </w:p>
    <w:p w14:paraId="77B8739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A37297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Regime wordt gedefinieerd als de verhouding tussen:</w:t>
      </w:r>
    </w:p>
    <w:p w14:paraId="313FA51C" w14:textId="77777777" w:rsidR="00B811BE" w:rsidRPr="00B811BE" w:rsidRDefault="00B811BE" w:rsidP="00B811BE">
      <w:pPr>
        <w:numPr>
          <w:ilvl w:val="0"/>
          <w:numId w:val="25"/>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marginale €/MW schaalvergrotingskosten</w:t>
      </w:r>
    </w:p>
    <w:p w14:paraId="71ADF105" w14:textId="77777777" w:rsidR="00B811BE" w:rsidRPr="00B811BE" w:rsidRDefault="00B811BE" w:rsidP="00B811BE">
      <w:pPr>
        <w:numPr>
          <w:ilvl w:val="0"/>
          <w:numId w:val="25"/>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marginale €/MWh opbrengstbehoud</w:t>
      </w:r>
    </w:p>
    <w:p w14:paraId="39044274"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3763CB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Discrete en continue schaalwetten worden expliciet gemodelleerd.</w:t>
      </w:r>
    </w:p>
    <w:p w14:paraId="1A04643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Robuustheid wordt getest via parametergevoeligheid met focus op structureel gedrag.</w:t>
      </w:r>
    </w:p>
    <w:p w14:paraId="3585781C"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C5D93C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Scope-defensies (reviewer-proof):</w:t>
      </w:r>
    </w:p>
    <w:p w14:paraId="0CFA14D4" w14:textId="77777777" w:rsidR="00B811BE" w:rsidRPr="00B811BE" w:rsidRDefault="00B811BE" w:rsidP="00B811BE">
      <w:pPr>
        <w:numPr>
          <w:ilvl w:val="0"/>
          <w:numId w:val="2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lastRenderedPageBreak/>
        <w:t>Curtailment wordt onderscheiden in “by design” (binding export/landing-capaciteit als ontwerpkeuze) versus “after building” (markt/regulering/operatie bij hoge penetratie). Scope focust op de eerste; de tweede wordt benoemd maar niet gemodelleerd.</w:t>
      </w:r>
    </w:p>
    <w:p w14:paraId="70FDC7F4" w14:textId="77777777" w:rsidR="00B811BE" w:rsidRPr="00B811BE" w:rsidRDefault="00B811BE" w:rsidP="00B811BE">
      <w:pPr>
        <w:numPr>
          <w:ilvl w:val="0"/>
          <w:numId w:val="2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LCOE is project-level metric, geen systeemwaarde- of welfare-optimum vergelijking; het is een marginale projectkostenvergelijking binnen architecture-specific feasible sets.</w:t>
      </w:r>
    </w:p>
    <w:p w14:paraId="52ECCBA8" w14:textId="77777777" w:rsidR="00B811BE" w:rsidRPr="00B811BE" w:rsidRDefault="00B811BE" w:rsidP="00B811BE">
      <w:pPr>
        <w:numPr>
          <w:ilvl w:val="0"/>
          <w:numId w:val="2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Hydrogen offtake/demand feasibility wordt niet aangenomen; de analyse is conditioneel op feasible landing/interface en isoleert cost-structure effecten.</w:t>
      </w:r>
    </w:p>
    <w:p w14:paraId="614DDB2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2DD28F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797904E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2BE4A8B"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OPBOUW VAN HET DOCUMENT (INHOUDELIJK)</w:t>
      </w:r>
    </w:p>
    <w:p w14:paraId="493E967B"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11FBA5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1 — Probleemdruk en systeemparadox</w:t>
      </w:r>
    </w:p>
    <w:p w14:paraId="393B496F"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2 — Conceptueel kader</w:t>
      </w:r>
    </w:p>
    <w:p w14:paraId="327CEDE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3 — Architecturen als feasible sets</w:t>
      </w:r>
    </w:p>
    <w:p w14:paraId="7DBFC6A1"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4 — Kwantitatieve implementatie</w:t>
      </w:r>
    </w:p>
    <w:p w14:paraId="4133F72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5 — Resultaten</w:t>
      </w:r>
    </w:p>
    <w:p w14:paraId="019DD6A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6 — Interpretatie en implicaties</w:t>
      </w:r>
    </w:p>
    <w:p w14:paraId="1F40C10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123AD74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7661B60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1D918DC4"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FUNCTIONELE ROLVERDELING PER HOOFDSTUK (INCLUSIEF EPISTEMOLOGISCHE INTENTIE)</w:t>
      </w:r>
    </w:p>
    <w:p w14:paraId="73F8581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19594E6B" w14:textId="77777777" w:rsidR="00B811BE" w:rsidRPr="00B811BE" w:rsidRDefault="00B811BE" w:rsidP="00B811BE">
      <w:pPr>
        <w:spacing w:before="100" w:beforeAutospacing="1" w:after="100" w:afterAutospacing="1" w:line="240" w:lineRule="auto"/>
        <w:outlineLvl w:val="2"/>
        <w:rPr>
          <w:rFonts w:ascii="Times New Roman" w:eastAsia="Times New Roman" w:hAnsi="Times New Roman" w:cs="Times New Roman"/>
          <w:b/>
          <w:bCs/>
          <w:sz w:val="27"/>
          <w:szCs w:val="27"/>
          <w:lang w:val="en-NL" w:eastAsia="zh-CN"/>
        </w:rPr>
      </w:pPr>
      <w:r w:rsidRPr="00B811BE">
        <w:rPr>
          <w:rFonts w:ascii="Times New Roman" w:eastAsia="Times New Roman" w:hAnsi="Times New Roman" w:cs="Times New Roman"/>
          <w:b/>
          <w:bCs/>
          <w:sz w:val="27"/>
          <w:szCs w:val="27"/>
          <w:lang w:val="en-NL" w:eastAsia="zh-CN"/>
        </w:rPr>
        <w:t>Hoofdstuk 1 — Probleemdruk en Intellectuele Opening</w:t>
      </w:r>
    </w:p>
    <w:p w14:paraId="1222185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10CA7A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lastRenderedPageBreak/>
        <w:t>Epistemologische intentie (wat moet het doen bij de lezer):</w:t>
      </w:r>
      <w:r w:rsidRPr="00B811BE">
        <w:rPr>
          <w:rFonts w:ascii="Times New Roman" w:eastAsia="Times New Roman" w:hAnsi="Times New Roman" w:cs="Times New Roman"/>
          <w:sz w:val="24"/>
          <w:szCs w:val="24"/>
          <w:lang w:val="en-NL" w:eastAsia="zh-CN"/>
        </w:rPr>
        <w:t xml:space="preserve"> openen en destabiliseren.</w:t>
      </w:r>
    </w:p>
    <w:p w14:paraId="1D88C102"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2612F9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Functie:</w:t>
      </w:r>
    </w:p>
    <w:p w14:paraId="056A65E2" w14:textId="77777777" w:rsidR="00B811BE" w:rsidRPr="00B811BE" w:rsidRDefault="00B811BE" w:rsidP="00B811BE">
      <w:pPr>
        <w:numPr>
          <w:ilvl w:val="0"/>
          <w:numId w:val="27"/>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Laat zien dat er een structurele spanning is.</w:t>
      </w:r>
    </w:p>
    <w:p w14:paraId="5DD335EA" w14:textId="77777777" w:rsidR="00B811BE" w:rsidRPr="00B811BE" w:rsidRDefault="00B811BE" w:rsidP="00B811BE">
      <w:pPr>
        <w:numPr>
          <w:ilvl w:val="0"/>
          <w:numId w:val="27"/>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Introduceert het systeemparadigma zonder het al te formaliseren.</w:t>
      </w:r>
    </w:p>
    <w:p w14:paraId="0AC82F4C" w14:textId="77777777" w:rsidR="00B811BE" w:rsidRPr="00B811BE" w:rsidRDefault="00B811BE" w:rsidP="00B811BE">
      <w:pPr>
        <w:numPr>
          <w:ilvl w:val="0"/>
          <w:numId w:val="27"/>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Zet de lezer in een staat van cognitieve openheid.</w:t>
      </w:r>
    </w:p>
    <w:p w14:paraId="3CCB2F8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9EC363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Het moet:</w:t>
      </w:r>
    </w:p>
    <w:p w14:paraId="55E9082A" w14:textId="77777777" w:rsidR="00B811BE" w:rsidRPr="00B811BE" w:rsidRDefault="00B811BE" w:rsidP="00B811BE">
      <w:pPr>
        <w:numPr>
          <w:ilvl w:val="0"/>
          <w:numId w:val="2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Nieuwsgierigheid wekken.</w:t>
      </w:r>
    </w:p>
    <w:p w14:paraId="67EB1CD4" w14:textId="77777777" w:rsidR="00B811BE" w:rsidRPr="00B811BE" w:rsidRDefault="00B811BE" w:rsidP="00B811BE">
      <w:pPr>
        <w:numPr>
          <w:ilvl w:val="0"/>
          <w:numId w:val="2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Systeemdenken voelbaar maken.</w:t>
      </w:r>
    </w:p>
    <w:p w14:paraId="41BDEE98" w14:textId="77777777" w:rsidR="00B811BE" w:rsidRPr="00B811BE" w:rsidRDefault="00B811BE" w:rsidP="00B811BE">
      <w:pPr>
        <w:numPr>
          <w:ilvl w:val="0"/>
          <w:numId w:val="2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Niet overmatig defensief zijn.</w:t>
      </w:r>
    </w:p>
    <w:p w14:paraId="2E77278B" w14:textId="77777777" w:rsidR="00B811BE" w:rsidRPr="00B811BE" w:rsidRDefault="00B811BE" w:rsidP="00B811BE">
      <w:pPr>
        <w:numPr>
          <w:ilvl w:val="0"/>
          <w:numId w:val="2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Niet reeds de uitkomst suggereren.</w:t>
      </w:r>
    </w:p>
    <w:p w14:paraId="2C34CFAC"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10FBA9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Mag:</w:t>
      </w:r>
    </w:p>
    <w:p w14:paraId="53765380" w14:textId="77777777" w:rsidR="00B811BE" w:rsidRPr="00B811BE" w:rsidRDefault="00B811BE" w:rsidP="00B811BE">
      <w:pPr>
        <w:numPr>
          <w:ilvl w:val="0"/>
          <w:numId w:val="2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Empirisch zijn.</w:t>
      </w:r>
    </w:p>
    <w:p w14:paraId="7D6E401F" w14:textId="77777777" w:rsidR="00B811BE" w:rsidRPr="00B811BE" w:rsidRDefault="00B811BE" w:rsidP="00B811BE">
      <w:pPr>
        <w:numPr>
          <w:ilvl w:val="0"/>
          <w:numId w:val="2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Licht provocerend zijn.</w:t>
      </w:r>
    </w:p>
    <w:p w14:paraId="099EDCC7" w14:textId="77777777" w:rsidR="00B811BE" w:rsidRPr="00B811BE" w:rsidRDefault="00B811BE" w:rsidP="00B811BE">
      <w:pPr>
        <w:numPr>
          <w:ilvl w:val="0"/>
          <w:numId w:val="2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Systeemkritiek bevatten.</w:t>
      </w:r>
    </w:p>
    <w:p w14:paraId="2E8866FB" w14:textId="77777777" w:rsidR="00B811BE" w:rsidRPr="00B811BE" w:rsidRDefault="00B811BE" w:rsidP="00B811BE">
      <w:pPr>
        <w:numPr>
          <w:ilvl w:val="0"/>
          <w:numId w:val="2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 integratie-intuïtie voelbaar maken.</w:t>
      </w:r>
    </w:p>
    <w:p w14:paraId="41E376D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E53C14B"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Mag niet:</w:t>
      </w:r>
    </w:p>
    <w:p w14:paraId="7E2B3F3F" w14:textId="77777777" w:rsidR="00B811BE" w:rsidRPr="00B811BE" w:rsidRDefault="00B811BE" w:rsidP="00B811BE">
      <w:pPr>
        <w:numPr>
          <w:ilvl w:val="0"/>
          <w:numId w:val="3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Al modelleren.</w:t>
      </w:r>
    </w:p>
    <w:p w14:paraId="5C264E65" w14:textId="77777777" w:rsidR="00B811BE" w:rsidRPr="00B811BE" w:rsidRDefault="00B811BE" w:rsidP="00B811BE">
      <w:pPr>
        <w:numPr>
          <w:ilvl w:val="0"/>
          <w:numId w:val="3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Marginale formules introduceren.</w:t>
      </w:r>
    </w:p>
    <w:p w14:paraId="449A51EE" w14:textId="77777777" w:rsidR="00B811BE" w:rsidRPr="00B811BE" w:rsidRDefault="00B811BE" w:rsidP="00B811BE">
      <w:pPr>
        <w:numPr>
          <w:ilvl w:val="0"/>
          <w:numId w:val="3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Regimes bewijzen.</w:t>
      </w:r>
    </w:p>
    <w:p w14:paraId="6F45FE1C" w14:textId="77777777" w:rsidR="00B811BE" w:rsidRPr="00B811BE" w:rsidRDefault="00B811BE" w:rsidP="00B811BE">
      <w:pPr>
        <w:numPr>
          <w:ilvl w:val="0"/>
          <w:numId w:val="3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Architecturen kunstmatig symmetrisch maken uit voorzichtigheid.</w:t>
      </w:r>
    </w:p>
    <w:p w14:paraId="6B32728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96096B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Chapter 1 beantwoordt: waarom is dit onderzoek noodzakelijk?</w:t>
      </w:r>
    </w:p>
    <w:p w14:paraId="59828CB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05D6F6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1B88506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780AAC0" w14:textId="77777777" w:rsidR="00B811BE" w:rsidRPr="00B811BE" w:rsidRDefault="00B811BE" w:rsidP="00B811BE">
      <w:pPr>
        <w:spacing w:before="100" w:beforeAutospacing="1" w:after="100" w:afterAutospacing="1" w:line="240" w:lineRule="auto"/>
        <w:outlineLvl w:val="2"/>
        <w:rPr>
          <w:rFonts w:ascii="Times New Roman" w:eastAsia="Times New Roman" w:hAnsi="Times New Roman" w:cs="Times New Roman"/>
          <w:b/>
          <w:bCs/>
          <w:sz w:val="27"/>
          <w:szCs w:val="27"/>
          <w:lang w:val="en-NL" w:eastAsia="zh-CN"/>
        </w:rPr>
      </w:pPr>
      <w:r w:rsidRPr="00B811BE">
        <w:rPr>
          <w:rFonts w:ascii="Times New Roman" w:eastAsia="Times New Roman" w:hAnsi="Times New Roman" w:cs="Times New Roman"/>
          <w:b/>
          <w:bCs/>
          <w:sz w:val="27"/>
          <w:szCs w:val="27"/>
          <w:lang w:val="en-NL" w:eastAsia="zh-CN"/>
        </w:rPr>
        <w:lastRenderedPageBreak/>
        <w:t>Hoofdstuk 2 — Conceptuele Mechanica</w:t>
      </w:r>
    </w:p>
    <w:p w14:paraId="7E23663B"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F15E78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Epistemologische intentie:</w:t>
      </w:r>
      <w:r w:rsidRPr="00B811BE">
        <w:rPr>
          <w:rFonts w:ascii="Times New Roman" w:eastAsia="Times New Roman" w:hAnsi="Times New Roman" w:cs="Times New Roman"/>
          <w:sz w:val="24"/>
          <w:szCs w:val="24"/>
          <w:lang w:val="en-NL" w:eastAsia="zh-CN"/>
        </w:rPr>
        <w:t xml:space="preserve"> stabiliseren en formaliseren zonder te sturen.</w:t>
      </w:r>
    </w:p>
    <w:p w14:paraId="765F4CA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10C881F"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Functie:</w:t>
      </w:r>
    </w:p>
    <w:p w14:paraId="18CEE4DB" w14:textId="77777777" w:rsidR="00B811BE" w:rsidRPr="00B811BE" w:rsidRDefault="00B811BE" w:rsidP="00B811BE">
      <w:pPr>
        <w:numPr>
          <w:ilvl w:val="0"/>
          <w:numId w:val="3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Formaliseert het probleem in marginale termen.</w:t>
      </w:r>
    </w:p>
    <w:p w14:paraId="542E65FF" w14:textId="77777777" w:rsidR="00B811BE" w:rsidRPr="00B811BE" w:rsidRDefault="00B811BE" w:rsidP="00B811BE">
      <w:pPr>
        <w:numPr>
          <w:ilvl w:val="0"/>
          <w:numId w:val="3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Definieert wat een regime is.</w:t>
      </w:r>
    </w:p>
    <w:p w14:paraId="130BC992" w14:textId="77777777" w:rsidR="00B811BE" w:rsidRPr="00B811BE" w:rsidRDefault="00B811BE" w:rsidP="00B811BE">
      <w:pPr>
        <w:numPr>
          <w:ilvl w:val="0"/>
          <w:numId w:val="3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Legt vast wat endogeen en exogeen is.</w:t>
      </w:r>
    </w:p>
    <w:p w14:paraId="4640A906" w14:textId="77777777" w:rsidR="00B811BE" w:rsidRPr="00B811BE" w:rsidRDefault="00B811BE" w:rsidP="00B811BE">
      <w:pPr>
        <w:numPr>
          <w:ilvl w:val="0"/>
          <w:numId w:val="3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Introduceert MW_gen, MW_export, CF.</w:t>
      </w:r>
    </w:p>
    <w:p w14:paraId="39A133DB"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84F28E1"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Belangrijk:</w:t>
      </w:r>
    </w:p>
    <w:p w14:paraId="0FE03527" w14:textId="77777777" w:rsidR="00B811BE" w:rsidRPr="00B811BE" w:rsidRDefault="00B811BE" w:rsidP="00B811BE">
      <w:pPr>
        <w:numPr>
          <w:ilvl w:val="0"/>
          <w:numId w:val="3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Bewijst niets empirisch.</w:t>
      </w:r>
    </w:p>
    <w:p w14:paraId="2763E4EC" w14:textId="77777777" w:rsidR="00B811BE" w:rsidRPr="00B811BE" w:rsidRDefault="00B811BE" w:rsidP="00B811BE">
      <w:pPr>
        <w:numPr>
          <w:ilvl w:val="0"/>
          <w:numId w:val="3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Bevoordeelt geen architectuur.</w:t>
      </w:r>
    </w:p>
    <w:p w14:paraId="3E51FDB6" w14:textId="77777777" w:rsidR="00B811BE" w:rsidRPr="00B811BE" w:rsidRDefault="00B811BE" w:rsidP="00B811BE">
      <w:pPr>
        <w:numPr>
          <w:ilvl w:val="0"/>
          <w:numId w:val="3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Sugereert geen uitkomst.</w:t>
      </w:r>
    </w:p>
    <w:p w14:paraId="6A7F0FFF"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795A48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Chapter 2 is het mechanisch skelet: het maakt regimeverschuiving logisch mogelijk.</w:t>
      </w:r>
    </w:p>
    <w:p w14:paraId="32D557F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D9C4372"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2ED4466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09DBD07" w14:textId="77777777" w:rsidR="00B811BE" w:rsidRPr="00B811BE" w:rsidRDefault="00B811BE" w:rsidP="00B811BE">
      <w:pPr>
        <w:spacing w:before="100" w:beforeAutospacing="1" w:after="100" w:afterAutospacing="1" w:line="240" w:lineRule="auto"/>
        <w:outlineLvl w:val="2"/>
        <w:rPr>
          <w:rFonts w:ascii="Times New Roman" w:eastAsia="Times New Roman" w:hAnsi="Times New Roman" w:cs="Times New Roman"/>
          <w:b/>
          <w:bCs/>
          <w:sz w:val="27"/>
          <w:szCs w:val="27"/>
          <w:lang w:val="en-NL" w:eastAsia="zh-CN"/>
        </w:rPr>
      </w:pPr>
      <w:r w:rsidRPr="00B811BE">
        <w:rPr>
          <w:rFonts w:ascii="Times New Roman" w:eastAsia="Times New Roman" w:hAnsi="Times New Roman" w:cs="Times New Roman"/>
          <w:b/>
          <w:bCs/>
          <w:sz w:val="27"/>
          <w:szCs w:val="27"/>
          <w:lang w:val="en-NL" w:eastAsia="zh-CN"/>
        </w:rPr>
        <w:t>Hoofdstuk 3 — Architecturen als Structurele Configuraties</w:t>
      </w:r>
    </w:p>
    <w:p w14:paraId="5E6986B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1161034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Epistemologische intentie:</w:t>
      </w:r>
      <w:r w:rsidRPr="00B811BE">
        <w:rPr>
          <w:rFonts w:ascii="Times New Roman" w:eastAsia="Times New Roman" w:hAnsi="Times New Roman" w:cs="Times New Roman"/>
          <w:sz w:val="24"/>
          <w:szCs w:val="24"/>
          <w:lang w:val="en-NL" w:eastAsia="zh-CN"/>
        </w:rPr>
        <w:t xml:space="preserve"> structurele verschillen zichtbaar maken zonder te optimaliseren.</w:t>
      </w:r>
    </w:p>
    <w:p w14:paraId="51C77F8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D7340F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Functie:</w:t>
      </w:r>
    </w:p>
    <w:p w14:paraId="799134E6" w14:textId="77777777" w:rsidR="00B811BE" w:rsidRPr="00B811BE" w:rsidRDefault="00B811BE" w:rsidP="00B811BE">
      <w:pPr>
        <w:numPr>
          <w:ilvl w:val="0"/>
          <w:numId w:val="3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Laat zien hoe architecturen verschillende feasible sets genereren.</w:t>
      </w:r>
    </w:p>
    <w:p w14:paraId="52A759A8" w14:textId="77777777" w:rsidR="00B811BE" w:rsidRPr="00B811BE" w:rsidRDefault="00B811BE" w:rsidP="00B811BE">
      <w:pPr>
        <w:numPr>
          <w:ilvl w:val="0"/>
          <w:numId w:val="3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Maakt zichtbaar waar piekvorming, schaalstappen en kostenconcentratie plaatsvinden.</w:t>
      </w:r>
    </w:p>
    <w:p w14:paraId="792776D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A071D1F"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Is niet:</w:t>
      </w:r>
    </w:p>
    <w:p w14:paraId="7DF53A99" w14:textId="77777777" w:rsidR="00B811BE" w:rsidRPr="00B811BE" w:rsidRDefault="00B811BE" w:rsidP="00B811BE">
      <w:pPr>
        <w:numPr>
          <w:ilvl w:val="0"/>
          <w:numId w:val="3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Een optimalisatiehoofdstuk.</w:t>
      </w:r>
    </w:p>
    <w:p w14:paraId="43D60807" w14:textId="77777777" w:rsidR="00B811BE" w:rsidRPr="00B811BE" w:rsidRDefault="00B811BE" w:rsidP="00B811BE">
      <w:pPr>
        <w:numPr>
          <w:ilvl w:val="0"/>
          <w:numId w:val="3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Een kostenvergelijking.</w:t>
      </w:r>
    </w:p>
    <w:p w14:paraId="04FEC58B" w14:textId="77777777" w:rsidR="00B811BE" w:rsidRPr="00B811BE" w:rsidRDefault="00B811BE" w:rsidP="00B811BE">
      <w:pPr>
        <w:numPr>
          <w:ilvl w:val="0"/>
          <w:numId w:val="34"/>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Een parameterlijst.</w:t>
      </w:r>
    </w:p>
    <w:p w14:paraId="3CED268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0EC22B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Is wel:</w:t>
      </w:r>
    </w:p>
    <w:p w14:paraId="2DFCDB97" w14:textId="77777777" w:rsidR="00B811BE" w:rsidRPr="00B811BE" w:rsidRDefault="00B811BE" w:rsidP="00B811BE">
      <w:pPr>
        <w:numPr>
          <w:ilvl w:val="0"/>
          <w:numId w:val="35"/>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Een structurele vergelijking van ketenconfiguraties (“structuurkaart”).</w:t>
      </w:r>
    </w:p>
    <w:p w14:paraId="5880F52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64A26C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Hier moet duidelijk worden:</w:t>
      </w:r>
    </w:p>
    <w:p w14:paraId="45BE3D97" w14:textId="77777777" w:rsidR="00B811BE" w:rsidRPr="00B811BE" w:rsidRDefault="00B811BE" w:rsidP="00B811BE">
      <w:pPr>
        <w:numPr>
          <w:ilvl w:val="0"/>
          <w:numId w:val="3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Waarom integratie upstream het systeem fundamenteel anders kan structureren.</w:t>
      </w:r>
    </w:p>
    <w:p w14:paraId="2E4DA485" w14:textId="77777777" w:rsidR="00B811BE" w:rsidRPr="00B811BE" w:rsidRDefault="00B811BE" w:rsidP="00B811BE">
      <w:pPr>
        <w:numPr>
          <w:ilvl w:val="0"/>
          <w:numId w:val="3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Waarom centrale offshore elektrolyse vooral carrier-wissel is met centrale schaalconcentratie.</w:t>
      </w:r>
    </w:p>
    <w:p w14:paraId="73AD53E9" w14:textId="77777777" w:rsidR="00B811BE" w:rsidRPr="00B811BE" w:rsidRDefault="00B811BE" w:rsidP="00B811BE">
      <w:pPr>
        <w:numPr>
          <w:ilvl w:val="0"/>
          <w:numId w:val="36"/>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Waarom elektriciteit-export institutioneel en technisch piekblokken verankert.</w:t>
      </w:r>
    </w:p>
    <w:p w14:paraId="5B790A6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D91F04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72BCD21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0D418C4" w14:textId="77777777" w:rsidR="00B811BE" w:rsidRPr="00B811BE" w:rsidRDefault="00B811BE" w:rsidP="00B811BE">
      <w:pPr>
        <w:spacing w:before="100" w:beforeAutospacing="1" w:after="100" w:afterAutospacing="1" w:line="240" w:lineRule="auto"/>
        <w:outlineLvl w:val="2"/>
        <w:rPr>
          <w:rFonts w:ascii="Times New Roman" w:eastAsia="Times New Roman" w:hAnsi="Times New Roman" w:cs="Times New Roman"/>
          <w:b/>
          <w:bCs/>
          <w:sz w:val="27"/>
          <w:szCs w:val="27"/>
          <w:lang w:val="en-NL" w:eastAsia="zh-CN"/>
        </w:rPr>
      </w:pPr>
      <w:r w:rsidRPr="00B811BE">
        <w:rPr>
          <w:rFonts w:ascii="Times New Roman" w:eastAsia="Times New Roman" w:hAnsi="Times New Roman" w:cs="Times New Roman"/>
          <w:b/>
          <w:bCs/>
          <w:sz w:val="27"/>
          <w:szCs w:val="27"/>
          <w:lang w:val="en-NL" w:eastAsia="zh-CN"/>
        </w:rPr>
        <w:t>Hoofdstuk 4 — Implementatie en Toets</w:t>
      </w:r>
    </w:p>
    <w:p w14:paraId="73C6E66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081D70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Epistemologische intentie:</w:t>
      </w:r>
      <w:r w:rsidRPr="00B811BE">
        <w:rPr>
          <w:rFonts w:ascii="Times New Roman" w:eastAsia="Times New Roman" w:hAnsi="Times New Roman" w:cs="Times New Roman"/>
          <w:sz w:val="24"/>
          <w:szCs w:val="24"/>
          <w:lang w:val="en-NL" w:eastAsia="zh-CN"/>
        </w:rPr>
        <w:t xml:space="preserve"> operationaliseren en controleerbaar maken.</w:t>
      </w:r>
    </w:p>
    <w:p w14:paraId="0023310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11D0C0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Functie:</w:t>
      </w:r>
    </w:p>
    <w:p w14:paraId="32630F49" w14:textId="77777777" w:rsidR="00B811BE" w:rsidRPr="00B811BE" w:rsidRDefault="00B811BE" w:rsidP="00B811BE">
      <w:pPr>
        <w:numPr>
          <w:ilvl w:val="0"/>
          <w:numId w:val="37"/>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Zet Chapter 2 en 3 om in expliciete functies.</w:t>
      </w:r>
    </w:p>
    <w:p w14:paraId="1D4E21DD" w14:textId="77777777" w:rsidR="00B811BE" w:rsidRPr="00B811BE" w:rsidRDefault="00B811BE" w:rsidP="00B811BE">
      <w:pPr>
        <w:numPr>
          <w:ilvl w:val="0"/>
          <w:numId w:val="37"/>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Maakt discrete en continue schaalwetten numeriek zichtbaar.</w:t>
      </w:r>
    </w:p>
    <w:p w14:paraId="5975D38E" w14:textId="77777777" w:rsidR="00B811BE" w:rsidRPr="00B811BE" w:rsidRDefault="00B811BE" w:rsidP="00B811BE">
      <w:pPr>
        <w:numPr>
          <w:ilvl w:val="0"/>
          <w:numId w:val="37"/>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Toetst of regimeverschuiving optreedt.</w:t>
      </w:r>
    </w:p>
    <w:p w14:paraId="1841D83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11153FC"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Belangrijk:</w:t>
      </w:r>
    </w:p>
    <w:p w14:paraId="00CFAA64" w14:textId="77777777" w:rsidR="00B811BE" w:rsidRPr="00B811BE" w:rsidRDefault="00B811BE" w:rsidP="00B811BE">
      <w:pPr>
        <w:numPr>
          <w:ilvl w:val="0"/>
          <w:numId w:val="38"/>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lastRenderedPageBreak/>
        <w:t>Mag niets nieuws introduceren qua logica; alles moet al aangekondigd zijn in 2 en 3.</w:t>
      </w:r>
    </w:p>
    <w:p w14:paraId="39C8688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585E4D8B"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Is:</w:t>
      </w:r>
    </w:p>
    <w:p w14:paraId="34D1BEA4" w14:textId="77777777" w:rsidR="00B811BE" w:rsidRPr="00B811BE" w:rsidRDefault="00B811BE" w:rsidP="00B811BE">
      <w:pPr>
        <w:numPr>
          <w:ilvl w:val="0"/>
          <w:numId w:val="3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Parameterdiscipline.</w:t>
      </w:r>
    </w:p>
    <w:p w14:paraId="6D8B57B1" w14:textId="77777777" w:rsidR="00B811BE" w:rsidRPr="00B811BE" w:rsidRDefault="00B811BE" w:rsidP="00B811BE">
      <w:pPr>
        <w:numPr>
          <w:ilvl w:val="0"/>
          <w:numId w:val="3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Transparantie.</w:t>
      </w:r>
    </w:p>
    <w:p w14:paraId="15B01165" w14:textId="77777777" w:rsidR="00B811BE" w:rsidRPr="00B811BE" w:rsidRDefault="00B811BE" w:rsidP="00B811BE">
      <w:pPr>
        <w:numPr>
          <w:ilvl w:val="0"/>
          <w:numId w:val="39"/>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Robuustheidstest.</w:t>
      </w:r>
    </w:p>
    <w:p w14:paraId="1E981F58"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CF729A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41064F8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A25AFAF" w14:textId="77777777" w:rsidR="00B811BE" w:rsidRPr="00B811BE" w:rsidRDefault="00B811BE" w:rsidP="00B811BE">
      <w:pPr>
        <w:spacing w:before="100" w:beforeAutospacing="1" w:after="100" w:afterAutospacing="1" w:line="240" w:lineRule="auto"/>
        <w:outlineLvl w:val="2"/>
        <w:rPr>
          <w:rFonts w:ascii="Times New Roman" w:eastAsia="Times New Roman" w:hAnsi="Times New Roman" w:cs="Times New Roman"/>
          <w:b/>
          <w:bCs/>
          <w:sz w:val="27"/>
          <w:szCs w:val="27"/>
          <w:lang w:val="en-NL" w:eastAsia="zh-CN"/>
        </w:rPr>
      </w:pPr>
      <w:r w:rsidRPr="00B811BE">
        <w:rPr>
          <w:rFonts w:ascii="Times New Roman" w:eastAsia="Times New Roman" w:hAnsi="Times New Roman" w:cs="Times New Roman"/>
          <w:b/>
          <w:bCs/>
          <w:sz w:val="27"/>
          <w:szCs w:val="27"/>
          <w:lang w:val="en-NL" w:eastAsia="zh-CN"/>
        </w:rPr>
        <w:t>Hoofdstuk 5 — Resultaten</w:t>
      </w:r>
    </w:p>
    <w:p w14:paraId="02D1848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AD6BCA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Epistemologische intentie:</w:t>
      </w:r>
      <w:r w:rsidRPr="00B811BE">
        <w:rPr>
          <w:rFonts w:ascii="Times New Roman" w:eastAsia="Times New Roman" w:hAnsi="Times New Roman" w:cs="Times New Roman"/>
          <w:sz w:val="24"/>
          <w:szCs w:val="24"/>
          <w:lang w:val="en-NL" w:eastAsia="zh-CN"/>
        </w:rPr>
        <w:t xml:space="preserve"> laten zien wat er gebeurt (geen nieuwe aannames).</w:t>
      </w:r>
    </w:p>
    <w:p w14:paraId="5B0F818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CE8C70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Functie:</w:t>
      </w:r>
    </w:p>
    <w:p w14:paraId="092806C0" w14:textId="77777777" w:rsidR="00B811BE" w:rsidRPr="00B811BE" w:rsidRDefault="00B811BE" w:rsidP="00B811BE">
      <w:pPr>
        <w:numPr>
          <w:ilvl w:val="0"/>
          <w:numId w:val="4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Toont regimeverschillen.</w:t>
      </w:r>
    </w:p>
    <w:p w14:paraId="5F97B7DC" w14:textId="77777777" w:rsidR="00B811BE" w:rsidRPr="00B811BE" w:rsidRDefault="00B811BE" w:rsidP="00B811BE">
      <w:pPr>
        <w:numPr>
          <w:ilvl w:val="0"/>
          <w:numId w:val="4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Identificeert cross-overs.</w:t>
      </w:r>
    </w:p>
    <w:p w14:paraId="5A755108" w14:textId="77777777" w:rsidR="00B811BE" w:rsidRPr="00B811BE" w:rsidRDefault="00B811BE" w:rsidP="00B811BE">
      <w:pPr>
        <w:numPr>
          <w:ilvl w:val="0"/>
          <w:numId w:val="40"/>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Laat zien wanneer subsystemdominantie verschuift.</w:t>
      </w:r>
    </w:p>
    <w:p w14:paraId="61B27F23"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17C45CC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Mag geen nieuwe aannames introduceren.</w:t>
      </w:r>
    </w:p>
    <w:p w14:paraId="6326EEF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7AA62E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0EA21F34"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C93C017" w14:textId="77777777" w:rsidR="00B811BE" w:rsidRPr="00B811BE" w:rsidRDefault="00B811BE" w:rsidP="00B811BE">
      <w:pPr>
        <w:spacing w:before="100" w:beforeAutospacing="1" w:after="100" w:afterAutospacing="1" w:line="240" w:lineRule="auto"/>
        <w:outlineLvl w:val="2"/>
        <w:rPr>
          <w:rFonts w:ascii="Times New Roman" w:eastAsia="Times New Roman" w:hAnsi="Times New Roman" w:cs="Times New Roman"/>
          <w:b/>
          <w:bCs/>
          <w:sz w:val="27"/>
          <w:szCs w:val="27"/>
          <w:lang w:val="en-NL" w:eastAsia="zh-CN"/>
        </w:rPr>
      </w:pPr>
      <w:r w:rsidRPr="00B811BE">
        <w:rPr>
          <w:rFonts w:ascii="Times New Roman" w:eastAsia="Times New Roman" w:hAnsi="Times New Roman" w:cs="Times New Roman"/>
          <w:b/>
          <w:bCs/>
          <w:sz w:val="27"/>
          <w:szCs w:val="27"/>
          <w:lang w:val="en-NL" w:eastAsia="zh-CN"/>
        </w:rPr>
        <w:t>Hoofdstuk 6 — Interpretatie en Implicaties</w:t>
      </w:r>
    </w:p>
    <w:p w14:paraId="4B3D270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40EBD9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b/>
          <w:bCs/>
          <w:sz w:val="24"/>
          <w:szCs w:val="24"/>
          <w:lang w:val="en-NL" w:eastAsia="zh-CN"/>
        </w:rPr>
        <w:t>Epistemologische intentie:</w:t>
      </w:r>
      <w:r w:rsidRPr="00B811BE">
        <w:rPr>
          <w:rFonts w:ascii="Times New Roman" w:eastAsia="Times New Roman" w:hAnsi="Times New Roman" w:cs="Times New Roman"/>
          <w:sz w:val="24"/>
          <w:szCs w:val="24"/>
          <w:lang w:val="en-NL" w:eastAsia="zh-CN"/>
        </w:rPr>
        <w:t xml:space="preserve"> betekenis geven en terugkoppelen naar ruimte/institutie/planning.</w:t>
      </w:r>
    </w:p>
    <w:p w14:paraId="448CFEDC"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01A1B0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Functie:</w:t>
      </w:r>
    </w:p>
    <w:p w14:paraId="348CDFD3" w14:textId="77777777" w:rsidR="00B811BE" w:rsidRPr="00B811BE" w:rsidRDefault="00B811BE" w:rsidP="00B811BE">
      <w:pPr>
        <w:numPr>
          <w:ilvl w:val="0"/>
          <w:numId w:val="4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Interpretatie van ruimtegebruik, institutionele blokgrootte, planning, investeringslogica.</w:t>
      </w:r>
    </w:p>
    <w:p w14:paraId="1B735F2C" w14:textId="77777777" w:rsidR="00B811BE" w:rsidRPr="00B811BE" w:rsidRDefault="00B811BE" w:rsidP="00B811BE">
      <w:pPr>
        <w:numPr>
          <w:ilvl w:val="0"/>
          <w:numId w:val="41"/>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Hier mag maatschappelijke relevantie explicieter terugkomen.</w:t>
      </w:r>
    </w:p>
    <w:p w14:paraId="3416D35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6AB62E21"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6A14A86A"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358DD116"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ALIGNMENTREGEL</w:t>
      </w:r>
    </w:p>
    <w:p w14:paraId="1C9B0605"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0242BD2B"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1 stelt de vraag.</w:t>
      </w:r>
    </w:p>
    <w:p w14:paraId="555FDBCF"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2 maakt de vraag mechanisch mogelijk.</w:t>
      </w:r>
    </w:p>
    <w:p w14:paraId="59806F1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3 maakt de vraag structureel concreet.</w:t>
      </w:r>
    </w:p>
    <w:p w14:paraId="2F329C80"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4 beantwoordt de vraag numeriek.</w:t>
      </w:r>
    </w:p>
    <w:p w14:paraId="43AA977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5 toont het antwoord.</w:t>
      </w:r>
    </w:p>
    <w:p w14:paraId="02829112"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Hoofdstuk 6 interpreteert het antwoord.</w:t>
      </w:r>
    </w:p>
    <w:p w14:paraId="6604204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7571B3D"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Als een hoofdstuk meer doet dan zijn taak, ontstaat drift.</w:t>
      </w:r>
    </w:p>
    <w:p w14:paraId="73BCBCA9"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2A9EA6D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237455B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4108F066"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SCHRIJFSTIJL EN TOON</w:t>
      </w:r>
    </w:p>
    <w:p w14:paraId="0EFB4543" w14:textId="77777777" w:rsidR="00B811BE" w:rsidRPr="00B811BE" w:rsidRDefault="00B811BE" w:rsidP="00B811BE">
      <w:pPr>
        <w:numPr>
          <w:ilvl w:val="0"/>
          <w:numId w:val="4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Heldere, korte zinnen.</w:t>
      </w:r>
    </w:p>
    <w:p w14:paraId="589CC466" w14:textId="77777777" w:rsidR="00B811BE" w:rsidRPr="00B811BE" w:rsidRDefault="00B811BE" w:rsidP="00B811BE">
      <w:pPr>
        <w:numPr>
          <w:ilvl w:val="0"/>
          <w:numId w:val="4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Begrijpelijk voor niet-experts.</w:t>
      </w:r>
    </w:p>
    <w:p w14:paraId="11276B94" w14:textId="77777777" w:rsidR="00B811BE" w:rsidRPr="00B811BE" w:rsidRDefault="00B811BE" w:rsidP="00B811BE">
      <w:pPr>
        <w:numPr>
          <w:ilvl w:val="0"/>
          <w:numId w:val="4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jargon zonder uitleg.</w:t>
      </w:r>
    </w:p>
    <w:p w14:paraId="3056BD2C" w14:textId="77777777" w:rsidR="00B811BE" w:rsidRPr="00B811BE" w:rsidRDefault="00B811BE" w:rsidP="00B811BE">
      <w:pPr>
        <w:numPr>
          <w:ilvl w:val="0"/>
          <w:numId w:val="4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Academische kwaliteit zit in logica, niet in moeilijke taal.</w:t>
      </w:r>
    </w:p>
    <w:p w14:paraId="0AA40180" w14:textId="77777777" w:rsidR="00B811BE" w:rsidRPr="00B811BE" w:rsidRDefault="00B811BE" w:rsidP="00B811BE">
      <w:pPr>
        <w:numPr>
          <w:ilvl w:val="0"/>
          <w:numId w:val="4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lastRenderedPageBreak/>
        <w:t>Stellig waar structureel logisch.</w:t>
      </w:r>
    </w:p>
    <w:p w14:paraId="50DA4E09" w14:textId="77777777" w:rsidR="00B811BE" w:rsidRPr="00B811BE" w:rsidRDefault="00B811BE" w:rsidP="00B811BE">
      <w:pPr>
        <w:numPr>
          <w:ilvl w:val="0"/>
          <w:numId w:val="4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Empirisch toetsbaar waar parametrisch.</w:t>
      </w:r>
    </w:p>
    <w:p w14:paraId="61F0947F" w14:textId="77777777" w:rsidR="00B811BE" w:rsidRPr="00B811BE" w:rsidRDefault="00B811BE" w:rsidP="00B811BE">
      <w:pPr>
        <w:numPr>
          <w:ilvl w:val="0"/>
          <w:numId w:val="4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activistische toon.</w:t>
      </w:r>
    </w:p>
    <w:p w14:paraId="657DB52F" w14:textId="77777777" w:rsidR="00B811BE" w:rsidRPr="00B811BE" w:rsidRDefault="00B811BE" w:rsidP="00B811BE">
      <w:pPr>
        <w:numPr>
          <w:ilvl w:val="0"/>
          <w:numId w:val="42"/>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Wel intellectuele spanning.</w:t>
      </w:r>
    </w:p>
    <w:p w14:paraId="229CBF3E"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26167F7"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w:t>
      </w:r>
    </w:p>
    <w:p w14:paraId="1DDE62A6" w14:textId="77777777" w:rsidR="00B811BE" w:rsidRPr="00B811BE" w:rsidRDefault="00B811BE" w:rsidP="00B811BE">
      <w:pPr>
        <w:spacing w:before="100" w:beforeAutospacing="1" w:after="100" w:afterAutospacing="1" w:line="240" w:lineRule="auto"/>
        <w:rPr>
          <w:rFonts w:ascii="Times New Roman" w:eastAsia="Times New Roman" w:hAnsi="Times New Roman" w:cs="Times New Roman"/>
          <w:sz w:val="24"/>
          <w:szCs w:val="24"/>
          <w:lang w:val="en-NL" w:eastAsia="zh-CN"/>
        </w:rPr>
      </w:pPr>
    </w:p>
    <w:p w14:paraId="777B2DC7" w14:textId="77777777" w:rsidR="00B811BE" w:rsidRPr="00B811BE" w:rsidRDefault="00B811BE" w:rsidP="00B811BE">
      <w:pPr>
        <w:spacing w:before="100" w:beforeAutospacing="1" w:after="100" w:afterAutospacing="1" w:line="240" w:lineRule="auto"/>
        <w:outlineLvl w:val="1"/>
        <w:rPr>
          <w:rFonts w:ascii="Times New Roman" w:eastAsia="Times New Roman" w:hAnsi="Times New Roman" w:cs="Times New Roman"/>
          <w:b/>
          <w:bCs/>
          <w:sz w:val="36"/>
          <w:szCs w:val="36"/>
          <w:lang w:val="en-NL" w:eastAsia="zh-CN"/>
        </w:rPr>
      </w:pPr>
      <w:r w:rsidRPr="00B811BE">
        <w:rPr>
          <w:rFonts w:ascii="Times New Roman" w:eastAsia="Times New Roman" w:hAnsi="Times New Roman" w:cs="Times New Roman"/>
          <w:b/>
          <w:bCs/>
          <w:sz w:val="36"/>
          <w:szCs w:val="36"/>
          <w:lang w:val="en-NL" w:eastAsia="zh-CN"/>
        </w:rPr>
        <w:t>BEWAKINGSPUNTEN</w:t>
      </w:r>
    </w:p>
    <w:p w14:paraId="4B982354" w14:textId="77777777" w:rsidR="00B811BE" w:rsidRPr="00B811BE" w:rsidRDefault="00B811BE" w:rsidP="00B811BE">
      <w:pPr>
        <w:numPr>
          <w:ilvl w:val="0"/>
          <w:numId w:val="4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impliciete dominantie van één subsystem vooraf.</w:t>
      </w:r>
    </w:p>
    <w:p w14:paraId="269026E8" w14:textId="77777777" w:rsidR="00B811BE" w:rsidRPr="00B811BE" w:rsidRDefault="00B811BE" w:rsidP="00B811BE">
      <w:pPr>
        <w:numPr>
          <w:ilvl w:val="0"/>
          <w:numId w:val="4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framing dat waterstof superieur is.</w:t>
      </w:r>
    </w:p>
    <w:p w14:paraId="03316083" w14:textId="77777777" w:rsidR="00B811BE" w:rsidRPr="00B811BE" w:rsidRDefault="00B811BE" w:rsidP="00B811BE">
      <w:pPr>
        <w:numPr>
          <w:ilvl w:val="0"/>
          <w:numId w:val="4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verlies van integratie-argument.</w:t>
      </w:r>
    </w:p>
    <w:p w14:paraId="185026FB" w14:textId="77777777" w:rsidR="00B811BE" w:rsidRPr="00B811BE" w:rsidRDefault="00B811BE" w:rsidP="00B811BE">
      <w:pPr>
        <w:numPr>
          <w:ilvl w:val="0"/>
          <w:numId w:val="4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verlies van economies-of-series versus economies-of-scale.</w:t>
      </w:r>
    </w:p>
    <w:p w14:paraId="55F4372A" w14:textId="77777777" w:rsidR="00B811BE" w:rsidRPr="00B811BE" w:rsidRDefault="00B811BE" w:rsidP="00B811BE">
      <w:pPr>
        <w:numPr>
          <w:ilvl w:val="0"/>
          <w:numId w:val="4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Geen verschuiving naar louter optimalisatietheorie zonder systeemkritiek.</w:t>
      </w:r>
    </w:p>
    <w:p w14:paraId="14F517C8" w14:textId="77777777" w:rsidR="00B811BE" w:rsidRPr="00B811BE" w:rsidRDefault="00B811BE" w:rsidP="00B811BE">
      <w:pPr>
        <w:numPr>
          <w:ilvl w:val="0"/>
          <w:numId w:val="4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Detailniveau alleen waar regimevorming wordt beïnvloed.</w:t>
      </w:r>
    </w:p>
    <w:p w14:paraId="199E1F1D" w14:textId="77777777" w:rsidR="00B811BE" w:rsidRPr="00B811BE" w:rsidRDefault="00B811BE" w:rsidP="00B811BE">
      <w:pPr>
        <w:numPr>
          <w:ilvl w:val="0"/>
          <w:numId w:val="4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Discrete stappen expliciet herleiden tot institutionele of fysische oorzaken.</w:t>
      </w:r>
    </w:p>
    <w:p w14:paraId="621C4BA3" w14:textId="77777777" w:rsidR="00B811BE" w:rsidRPr="00B811BE" w:rsidRDefault="00B811BE" w:rsidP="00B811BE">
      <w:pPr>
        <w:numPr>
          <w:ilvl w:val="0"/>
          <w:numId w:val="43"/>
        </w:numPr>
        <w:spacing w:before="100" w:beforeAutospacing="1" w:after="100" w:afterAutospacing="1" w:line="240" w:lineRule="auto"/>
        <w:rPr>
          <w:rFonts w:ascii="Times New Roman" w:eastAsia="Times New Roman" w:hAnsi="Times New Roman" w:cs="Times New Roman"/>
          <w:sz w:val="24"/>
          <w:szCs w:val="24"/>
          <w:lang w:val="en-NL" w:eastAsia="zh-CN"/>
        </w:rPr>
      </w:pPr>
      <w:r w:rsidRPr="00B811BE">
        <w:rPr>
          <w:rFonts w:ascii="Times New Roman" w:eastAsia="Times New Roman" w:hAnsi="Times New Roman" w:cs="Times New Roman"/>
          <w:sz w:val="24"/>
          <w:szCs w:val="24"/>
          <w:lang w:val="en-NL" w:eastAsia="zh-CN"/>
        </w:rPr>
        <w:t>Breed publiek meenemen zonder academische concessie: eenvoud in taal, strengheid in logica.</w:t>
      </w:r>
    </w:p>
    <w:p w14:paraId="099ED9D2" w14:textId="77777777" w:rsidR="00B811BE" w:rsidRDefault="00B811BE">
      <w:pPr>
        <w:pStyle w:val="Heading1"/>
      </w:pPr>
    </w:p>
    <w:p w14:paraId="726608C9" w14:textId="4C34333F" w:rsidR="006A658D" w:rsidRDefault="00000000">
      <w:pPr>
        <w:pStyle w:val="Heading1"/>
      </w:pPr>
      <w:r>
        <w:t>Chapter 1 — Introduction: System Reassessment of Offshore Wind</w:t>
      </w:r>
    </w:p>
    <w:p w14:paraId="4F6C0E6A" w14:textId="77777777" w:rsidR="006A658D" w:rsidRDefault="006A658D"/>
    <w:p w14:paraId="7F71DB09" w14:textId="77777777" w:rsidR="006A658D" w:rsidRDefault="00000000">
      <w:r>
        <w:t>This chapter introduces the empirical tension that has emerged in offshore wind development and motivates the need for an integrated techno-economic optimisation framework. The narrative starts from observed market signals and gradually builds toward the conceptual logic formalised in Chapter 2.</w:t>
      </w:r>
    </w:p>
    <w:p w14:paraId="4DECE300" w14:textId="77777777" w:rsidR="006A658D" w:rsidRDefault="006A658D"/>
    <w:p w14:paraId="13CD6513" w14:textId="77777777" w:rsidR="006A658D" w:rsidRDefault="00000000">
      <w:pPr>
        <w:pStyle w:val="Heading2"/>
      </w:pPr>
      <w:r>
        <w:t>1.1 High-Capital Commitment to Electrification</w:t>
      </w:r>
    </w:p>
    <w:p w14:paraId="49AB36DC" w14:textId="77777777" w:rsidR="006A658D" w:rsidRDefault="006A658D"/>
    <w:p w14:paraId="48646F29" w14:textId="77777777" w:rsidR="006A658D" w:rsidRDefault="00000000">
      <w:r>
        <w:t>Over the past decade, offshore wind has grown rapidly worldwide. This development fits within a dominant strategy in the energy transition: large-scale electrification of energy demand. The core assumption underlying this strategy is that energy services currently relying on fossil energy carriers—gas, oil, and coal—can largely be converted to electricity. In Northwest Europe, offshore wind is regarded as a technologically mature option that is expected to sustainably supply a substantial share of this future electricity demand.</w:t>
      </w:r>
    </w:p>
    <w:p w14:paraId="50095E8C" w14:textId="77777777" w:rsidR="006A658D" w:rsidRDefault="006A658D"/>
    <w:p w14:paraId="127CF4DB" w14:textId="77777777" w:rsidR="006A658D" w:rsidRDefault="00000000">
      <w:r>
        <w:t>In anticipation of this role, transmission system operators, including TenneT, have committed to large-scale investments in electrical offshore infrastructure. The standardisation on 2 GW HVDC stations and policy targets that assume approximately 40 GW of installed offshore wind capacity in the Dutch–German North Sea by around 2030 mark a clearly defined development pathway. This pathway requires investments of tens of billions of euros and is characterised by high capital intensity and limited reversibility. Implicit in this investment logic is the assumption that both offshore electricity production and the associated demand will grow steadily and persistently over time.</w:t>
      </w:r>
    </w:p>
    <w:p w14:paraId="5ECA40C9" w14:textId="77777777" w:rsidR="006A658D" w:rsidRDefault="006A658D"/>
    <w:p w14:paraId="102446F3" w14:textId="77777777" w:rsidR="006A658D" w:rsidRDefault="00000000">
      <w:r>
        <w:t>This assumption is politically reinforced in statements such as the Hamburg Declaration of January 2026, in which the North Sea is positioned as “Europe’s Clean Power Hub”. Offshore wind is framed not merely as a technology, but as a structural pillar of the future European energy system. The underlying expectation is that further scaling of offshore wind, combined with continued electrification of end-use sectors, will lead to an economically viable energy system.</w:t>
      </w:r>
    </w:p>
    <w:p w14:paraId="5AC28947" w14:textId="77777777" w:rsidR="006A658D" w:rsidRDefault="006A658D"/>
    <w:p w14:paraId="7419610D" w14:textId="77777777" w:rsidR="006A658D" w:rsidRDefault="00000000">
      <w:pPr>
        <w:pStyle w:val="Heading2"/>
      </w:pPr>
      <w:r>
        <w:t>1.2 The Economic Paradox: A System Under Pressure</w:t>
      </w:r>
    </w:p>
    <w:p w14:paraId="0CAD1E05" w14:textId="77777777" w:rsidR="006A658D" w:rsidRDefault="006A658D"/>
    <w:p w14:paraId="686567AD" w14:textId="77777777" w:rsidR="006A658D" w:rsidRDefault="00000000">
      <w:r>
        <w:t>This strategic commitment contrasts with recent developments in practice. Whereas offshore wind was characterised only a few years ago by zero-subsidy bids—where developers effectively paid for the right to build, in line with expectations of subsidy-free competitiveness—multiple tenders have failed in the past year, including in the United Kingdom, Denmark, Germany, and the Netherlands. This indicates that the economic balance of the current offshore wind system has shifted.</w:t>
      </w:r>
    </w:p>
    <w:p w14:paraId="15474B17" w14:textId="77777777" w:rsidR="006A658D" w:rsidRDefault="006A658D"/>
    <w:p w14:paraId="6B1872C4" w14:textId="77777777" w:rsidR="006A658D" w:rsidRDefault="00000000">
      <w:r>
        <w:t>Analytically, this shift can be traced back to two interrelated developments: (i) an increase in the cost per produced MWh of offshore wind, and (ii) lagging or stagnating growth in electricity demand, despite explicit electrification policies.</w:t>
      </w:r>
    </w:p>
    <w:p w14:paraId="23F7B900" w14:textId="77777777" w:rsidR="006A658D" w:rsidRDefault="006A658D"/>
    <w:p w14:paraId="7180E8C6" w14:textId="77777777" w:rsidR="006A658D" w:rsidRDefault="00000000">
      <w:pPr>
        <w:pStyle w:val="Heading2"/>
      </w:pPr>
      <w:r>
        <w:t>1.3 Rising Costs and Utilisation Erosion</w:t>
      </w:r>
    </w:p>
    <w:p w14:paraId="796EE179" w14:textId="77777777" w:rsidR="006A658D" w:rsidRDefault="006A658D"/>
    <w:p w14:paraId="2DCCCE3A" w14:textId="77777777" w:rsidR="006A658D" w:rsidRDefault="00000000">
      <w:r>
        <w:t>Offshore wind projects are highly capital-intensive. Rising interest rates in recent years have increased financing costs for capital expenditures on turbines, foundations, and offshore infrastructure. As a result, annual capital charges per installed MW have increased. When utilisation remains constant or declines, this translates directly into higher capital costs per produced MWh.</w:t>
      </w:r>
    </w:p>
    <w:p w14:paraId="251056DF" w14:textId="77777777" w:rsidR="006A658D" w:rsidRDefault="006A658D"/>
    <w:p w14:paraId="7EE16DA4" w14:textId="77777777" w:rsidR="006A658D" w:rsidRDefault="00000000">
      <w:r>
        <w:lastRenderedPageBreak/>
        <w:t>At the same time, investment costs per installed MW have risen. This includes higher costs for turbines, foundations, and offshore infrastructure, partly due to shortages of skilled labour, materials, and installation capacity. These shortages are linked to the simultaneous scaling-up of offshore wind capacity across multiple countries.</w:t>
      </w:r>
    </w:p>
    <w:p w14:paraId="29383B78" w14:textId="77777777" w:rsidR="006A658D" w:rsidRDefault="006A658D"/>
    <w:p w14:paraId="6D4E2D0D" w14:textId="77777777" w:rsidR="006A658D" w:rsidRDefault="00000000">
      <w:r>
        <w:t>In addition to rising costs, a second mechanism has become increasingly important: price cannibalisation. As the share of variable renewable electricity generation increases—reaching approximately 57% of total electricity production in the Netherlands—periods of simultaneous high production from wind and solar occur structurally. In 2025, this resulted in roughly 630 hours with very low or negative electricity prices, signalling that system saturation effects are no longer exceptional events but recurring structural conditions.</w:t>
      </w:r>
    </w:p>
    <w:p w14:paraId="6B235058" w14:textId="77777777" w:rsidR="006A658D" w:rsidRDefault="006A658D"/>
    <w:p w14:paraId="44CE2D24" w14:textId="77777777" w:rsidR="006A658D" w:rsidRDefault="00000000">
      <w:r>
        <w:t>During such periods, electricity production is curtailed because curtailment is economically preferable to storage for most surplus volumes. However, not all curtailment has the same origin. The distinction matters because only one of these mechanisms is directly linked to infrastructure sizing decisions. In this dissertation, curtailment is treated in two conceptually distinct ways: (i) by design, as an endogenous outcome of choosing export or conversion capacity (MW_export) below coincident peak generation, and (ii) after building, as curtailment driven by market, regulatory, or system-operation constraints at high penetration. The present boundary focuses on the first mechanism; the second is acknowledged but not modelled explicitly. Curtailment reduces the actual annual energy production (MWh), while installed capacity (MW) remains unchanged. As a result, the ratio of produced energy to installed capacity—the capacity factor—declines.</w:t>
      </w:r>
    </w:p>
    <w:p w14:paraId="34A68A95" w14:textId="77777777" w:rsidR="006A658D" w:rsidRDefault="006A658D"/>
    <w:p w14:paraId="741F3B0F" w14:textId="77777777" w:rsidR="006A658D" w:rsidRDefault="00000000">
      <w:r>
        <w:t>The investment costs of wind turbines and both infield and export electrical infrastructure scale primarily with peak capacity (€/MW) and are only weakly dependent on actual utilisation. This creates a structural asymmetry: the cost base is capacity-driven, while the revenue- and yield-base is increasingly utilisation-driven. When these capacity-related costs are spread over fewer produced MWh, the cost per MWh increases.</w:t>
      </w:r>
    </w:p>
    <w:p w14:paraId="6D29B2D8" w14:textId="77777777" w:rsidR="006A658D" w:rsidRDefault="006A658D"/>
    <w:p w14:paraId="73BF072B" w14:textId="77777777" w:rsidR="006A658D" w:rsidRDefault="00000000">
      <w:pPr>
        <w:pStyle w:val="Heading2"/>
      </w:pPr>
      <w:r>
        <w:t>1.4 Spacing, Infrastructure, and Energy Density</w:t>
      </w:r>
    </w:p>
    <w:p w14:paraId="028302D2" w14:textId="77777777" w:rsidR="006A658D" w:rsidRDefault="006A658D"/>
    <w:p w14:paraId="770FF20D" w14:textId="77777777" w:rsidR="006A658D" w:rsidRDefault="00000000">
      <w:r>
        <w:t>Technically, the capacity factor can be increased by placing turbines further apart. Larger spacing reduces wake losses, allowing individual turbines to operate closer to their maximum output more frequently. This increases utilisation of installed capacity and reduces the likelihood of simultaneous peak production and curtailment.</w:t>
      </w:r>
    </w:p>
    <w:p w14:paraId="39C5CCAB" w14:textId="77777777" w:rsidR="006A658D" w:rsidRDefault="006A658D"/>
    <w:p w14:paraId="744994C2" w14:textId="77777777" w:rsidR="006A658D" w:rsidRDefault="00000000">
      <w:r>
        <w:lastRenderedPageBreak/>
        <w:t>However, spacing is not a purely aerodynamic lever. It also changes the geometry of the infield collection network. Larger spacing increases average inter-turbine distances and thus the required infield length, which raises CAPEX. The scaling behaviour of this infield network differs between cable-based string topologies and pipeline-based ladder configurations.</w:t>
      </w:r>
    </w:p>
    <w:p w14:paraId="45DCD21C" w14:textId="77777777" w:rsidR="006A658D" w:rsidRDefault="006A658D"/>
    <w:p w14:paraId="43754AC6" w14:textId="77777777" w:rsidR="006A658D" w:rsidRDefault="00000000">
      <w:r>
        <w:t>Lower power density also reduces total energy yield per square kilometre. Offshore space is treated as scarce: political allocation and permitting effectively impose a shadow price on area use. The optimisation can therefore be interpreted in terms of implied value (or cost) per km² through the trade-off between LCOE and MWh/km², and a space-rent term can be introduced in later chapters if required for specific tender designs.</w:t>
      </w:r>
    </w:p>
    <w:p w14:paraId="05C2562A" w14:textId="77777777" w:rsidR="006A658D" w:rsidRDefault="006A658D"/>
    <w:p w14:paraId="0B7040A2" w14:textId="2A764C2B" w:rsidR="006A658D" w:rsidRDefault="00000000">
      <w:r>
        <w:t xml:space="preserve">Taken together, these mechanisms imply that offshore wind design is not neutral with respect to cost structure. As the </w:t>
      </w:r>
      <w:r w:rsidR="00584F7F">
        <w:t xml:space="preserve">total electricity </w:t>
      </w:r>
      <w:r>
        <w:t>system becomes saturated, the economic optimum shifts from maximising installed capacity to preserving utilisation of that capacity. When a substantial share of total project costs scales with installed peak capacity (€/MW), while delivered energy (MWh) becomes increasingly exposed to curtailment, LCOE minimisation creates a structural incentive to protect utilisation. Increased spacing can reduce wake losses and coincident peak production, but at the expense of lower installed power density (MW/km²) and reduced energy yield per unit of offshore area (MWh/km²). In other words, decisions taken to manage peak-related costs directly shape how much energy can be produced per unit of sea area. Energy density therefore emerges as an economic outcome, not merely a physical property of wind resources. This dissertation treats offshore energy density as an endogenous result of optimisation rather than as an assumed boundary condition.</w:t>
      </w:r>
    </w:p>
    <w:p w14:paraId="6C6C433E" w14:textId="77777777" w:rsidR="006A658D" w:rsidRDefault="006A658D"/>
    <w:p w14:paraId="105C8ACD" w14:textId="77777777" w:rsidR="006A658D" w:rsidRDefault="00000000">
      <w:pPr>
        <w:pStyle w:val="Heading2"/>
      </w:pPr>
      <w:r>
        <w:t>1.5 Stagnating Demand Despite Electrification Policy</w:t>
      </w:r>
    </w:p>
    <w:p w14:paraId="494595E4" w14:textId="77777777" w:rsidR="006A658D" w:rsidRDefault="006A658D"/>
    <w:p w14:paraId="0D94273E" w14:textId="77777777" w:rsidR="006A658D" w:rsidRDefault="00000000">
      <w:r>
        <w:t>Contrasting with growing supply is a remarkably stable electricity demand. For more than a decade, total electricity consumption in the Netherlands has barely increased, despite a period in which electrification has been increasingly promoted as a policy objective. Grid congestion is often cited as an explanation, but it can only partially account for this pattern, as both generation and transmission capacity continue to expand.</w:t>
      </w:r>
    </w:p>
    <w:p w14:paraId="07B24015" w14:textId="77777777" w:rsidR="006A658D" w:rsidRDefault="006A658D"/>
    <w:p w14:paraId="5C510ED7" w14:textId="77777777" w:rsidR="006A658D" w:rsidRDefault="00000000">
      <w:r>
        <w:t>A more plausible explanation lies in energy cost developments. The loss of Russia and the Netherlands as major natural gas suppliers has led to structurally higher gas prices. This has weakened the competitive position of energy-intensive industry in the Netherlands, causing contraction in this sector and a corresponding decline in electricity demand.</w:t>
      </w:r>
    </w:p>
    <w:p w14:paraId="2CB32433" w14:textId="77777777" w:rsidR="006A658D" w:rsidRDefault="006A658D"/>
    <w:p w14:paraId="6F80870D" w14:textId="77777777" w:rsidR="006A658D" w:rsidRDefault="00000000">
      <w:r>
        <w:t>This reveals a core problem. The dominant offshore wind pathway implicitly assumes that electricity demand will grow sufficiently fast to absorb additional generation at acceptable utilisation levels.</w:t>
      </w:r>
    </w:p>
    <w:p w14:paraId="30C9E55A" w14:textId="77777777" w:rsidR="006A658D" w:rsidRDefault="006A658D"/>
    <w:p w14:paraId="4C706943" w14:textId="77777777" w:rsidR="006A658D" w:rsidRDefault="00000000">
      <w:r>
        <w:t>Offshore wind developers are investing in a system in which the cost per MWh is rising, while future demand is uncertain and may be structurally too expensive for the very parties expected to absorb a significant share of that demand.</w:t>
      </w:r>
    </w:p>
    <w:p w14:paraId="0F8318B1" w14:textId="77777777" w:rsidR="006A658D" w:rsidRDefault="006A658D"/>
    <w:p w14:paraId="3357009D" w14:textId="77777777" w:rsidR="006A658D" w:rsidRDefault="00000000">
      <w:pPr>
        <w:pStyle w:val="Heading2"/>
      </w:pPr>
      <w:r>
        <w:t>1.6 Electrification as Default Pathway — Is There an Alternative?</w:t>
      </w:r>
    </w:p>
    <w:p w14:paraId="2BBF575C" w14:textId="77777777" w:rsidR="006A658D" w:rsidRDefault="006A658D"/>
    <w:p w14:paraId="66873378" w14:textId="77777777" w:rsidR="006A658D" w:rsidRDefault="00000000">
      <w:r>
        <w:t>In the European Green Deal, hydrogen was positioned as an important element of the future energy system, particularly for sectors that are difficult to electrify directly. In practice, however, hydrogen has largely been framed as a downstream derivative of offshore electricity rather than as an architectural choice at the level of offshore system design.</w:t>
      </w:r>
    </w:p>
    <w:p w14:paraId="6BCE74A2" w14:textId="77777777" w:rsidR="006A658D" w:rsidRDefault="006A658D"/>
    <w:p w14:paraId="6A5D5639" w14:textId="77777777" w:rsidR="006A658D" w:rsidRDefault="00000000">
      <w:r>
        <w:t>The dominant explanation for hydrogen’s limited deployment has been thermodynamic inefficiency. This argument is analytically valid at the conversion chain level, but it is incomplete at the system level because it implicitly presupposes a fixed offshore architecture in which electricity export is the default and conversion occurs downstream. However, this perspective implicitly assumes a fixed offshore architecture in which wind energy must first be aggregated and exported electrically. That assumption is rarely made explicit.</w:t>
      </w:r>
    </w:p>
    <w:p w14:paraId="19C1ADCA" w14:textId="77777777" w:rsidR="006A658D" w:rsidRDefault="006A658D"/>
    <w:p w14:paraId="3634D322" w14:textId="77777777" w:rsidR="006A658D" w:rsidRDefault="00000000">
      <w:r>
        <w:t>Hydrogen infrastructures exhibit different scaling characteristics. If offshore system design is governed by peak-rated infrastructure scaling, and if that scaling differs structurally between electricity and hydrogen architectures, then it is reasonable to expect that the resulting optimisation regimes may diverge. This dissertation explicitly tests that expectation.</w:t>
      </w:r>
    </w:p>
    <w:p w14:paraId="23949466" w14:textId="77777777" w:rsidR="006A658D" w:rsidRDefault="006A658D"/>
    <w:p w14:paraId="160DC6C1" w14:textId="77777777" w:rsidR="006A658D" w:rsidRDefault="00000000">
      <w:r>
        <w:t>While hydrogen conversion introduces efficiency losses, hydrogen transport and storage infrastructures follow different technical scaling laws than electrical export infrastructures. There is substantial industry experience and engineering analysis indicating that hydrogen pipeline transport and associated onshore interfaces can exhibit different marginal cost behaviour per incremental MW of peak transport capacity than HVDC export once offshore converter platforms and onshore HVDC terminals are included. In this dissertation, those differences are not treated as rhetorical claims but as structural propositions that are quantified explicitly in later chapters.</w:t>
      </w:r>
    </w:p>
    <w:p w14:paraId="298E8859" w14:textId="77777777" w:rsidR="006A658D" w:rsidRDefault="006A658D"/>
    <w:p w14:paraId="5C117494" w14:textId="77777777" w:rsidR="006A658D" w:rsidRDefault="00000000">
      <w:pPr>
        <w:pStyle w:val="Heading2"/>
      </w:pPr>
      <w:r>
        <w:t>1.7 Research Question</w:t>
      </w:r>
    </w:p>
    <w:p w14:paraId="24B23F17" w14:textId="77777777" w:rsidR="006A658D" w:rsidRDefault="006A658D"/>
    <w:p w14:paraId="652B095B" w14:textId="77777777" w:rsidR="006A658D" w:rsidRDefault="00000000">
      <w:r>
        <w:t>This leads to the central research question:</w:t>
      </w:r>
    </w:p>
    <w:p w14:paraId="3F12C425" w14:textId="77777777" w:rsidR="006A658D" w:rsidRDefault="006A658D"/>
    <w:p w14:paraId="4DFBA259" w14:textId="77777777" w:rsidR="006A658D" w:rsidRDefault="00000000">
      <w:r>
        <w:t>How does the choice of energy carrier alter subsystem-level marginal cost structures, and how does this reshape the economically optimal offshore wind farm design and achievable energy density (MWh/km²)?</w:t>
      </w:r>
    </w:p>
    <w:p w14:paraId="4990012E" w14:textId="77777777" w:rsidR="006A658D" w:rsidRDefault="006A658D"/>
    <w:p w14:paraId="348A1B2D" w14:textId="77777777" w:rsidR="006A658D" w:rsidRDefault="00000000">
      <w:r>
        <w:t>The analysis isolates cost-structure effects conditional on feasible onshore landing and interface. It does not assume hydrogen offtake feasibility; rather, it evaluates how architecture changes the marginal cost regime given that a feasible landing exists.</w:t>
      </w:r>
    </w:p>
    <w:p w14:paraId="3141628B" w14:textId="77777777" w:rsidR="006A658D" w:rsidRDefault="006A658D"/>
    <w:p w14:paraId="346E3621" w14:textId="77777777" w:rsidR="006A658D" w:rsidRDefault="00000000">
      <w:pPr>
        <w:pStyle w:val="Heading2"/>
      </w:pPr>
      <w:r>
        <w:t>1.8 Research Strategy: Integrated System Optimisation</w:t>
      </w:r>
    </w:p>
    <w:p w14:paraId="031F5C58" w14:textId="77777777" w:rsidR="006A658D" w:rsidRDefault="006A658D"/>
    <w:p w14:paraId="652652F7" w14:textId="77777777" w:rsidR="006A658D" w:rsidRDefault="00000000">
      <w:r>
        <w:t>This dissertation’s contribution is not to restate recent cost and curtailment pressures, but to model their design implications without embedding architectural bias in exogenous assumptions.</w:t>
      </w:r>
    </w:p>
    <w:p w14:paraId="0A49B403" w14:textId="77777777" w:rsidR="006A658D" w:rsidRDefault="006A658D"/>
    <w:p w14:paraId="488B9F3F" w14:textId="0E10B538" w:rsidR="006A658D" w:rsidRDefault="00000000">
      <w:r>
        <w:t xml:space="preserve">The distinguishing feature of this dissertation lies in jointly </w:t>
      </w:r>
      <w:proofErr w:type="spellStart"/>
      <w:r>
        <w:t>endogenising</w:t>
      </w:r>
      <w:proofErr w:type="spellEnd"/>
      <w:r>
        <w:t xml:space="preserve"> </w:t>
      </w:r>
      <w:r w:rsidR="00131C64">
        <w:t>infra</w:t>
      </w:r>
      <w:r>
        <w:t xml:space="preserve"> capacity, spatial configuration, and internal conversion sizing within a cost structure that explicitly reflects architecture-specific scaling relations. This means that design variables are allowed to adjust simultaneously, rather than being fixed one by one. Rather than treating export blocks, pipeline dimensions, stack sizing, or infield topology as fixed inputs, their technical and economic interdependencies are embedded directly in the optimisation problem. Diameter-, pressure-, topology-, and block-dependent cost effects interact directly with spatial design choices and peak-flow aggregation. Under this integration, carrier-dependent scaling differences become structural determinants of the optimisation regime rather than mere comparative parameters. By contrast, many comparative studies fix export capacity, turbine spacing, or infrastructure coefficients ex ante (e.g., constant €/MW or €/km). Such closure prevents the optimisation from shifting regimes when capacity-rated costs interact with utilisation erosion. Here, spacing, infield length, export capacity (MW_export), and carrier-specific transport parameters (e.g., pipeline diameter and pressure, compressor sizing, electrolyser sizing and placement) are treated as endogenous design variables within a single co-optimisation problem, including turbine-integrated conversion options.</w:t>
      </w:r>
    </w:p>
    <w:p w14:paraId="2F690AA8" w14:textId="77777777" w:rsidR="006A658D" w:rsidRDefault="006A658D"/>
    <w:p w14:paraId="6BCA8F8B" w14:textId="77777777" w:rsidR="006A658D" w:rsidRDefault="00000000">
      <w:r>
        <w:lastRenderedPageBreak/>
        <w:t>The causal chain is strongly coupled: turbine spacing affects wake losses and production profiles; production profiles determine coincident peak flows; peak flows determine the economically optimal export capacity (MW_export); and chosen export capacity determines aggregation and transport costs. These costs feed back into spatial configuration.</w:t>
      </w:r>
    </w:p>
    <w:p w14:paraId="54F1B065" w14:textId="77777777" w:rsidR="006A658D" w:rsidRDefault="006A658D"/>
    <w:p w14:paraId="5708F7EB" w14:textId="77777777" w:rsidR="006A658D" w:rsidRDefault="00000000">
      <w:r>
        <w:t>Within the boundary of this dissertation, the offshore wind system is decomposed into five coupled layers: (i) turbine generation (MW_gen), (ii) infield collection network, (iii) aggregation node, (iv) export link, and (v) onshore interface. A key distinction is made between installed generation capacity (MW_gen) and export capacity (MW_export). MW_gen denotes aggregated turbine nameplate capacity. MW_export denotes the maximum peak export capacity of the offshore system (HVDC cable system or hydrogen export pipeline). Internal design choices—such as electrolyser stack size, compressor rating, pipeline diameter, and operating pressure—determine how MW_gen is transformed into MW_export but do not constitute independent system bottlenecks. MW_export is the structural export constraint around which the upstream system is optimised.</w:t>
      </w:r>
    </w:p>
    <w:p w14:paraId="0E1BDB6D" w14:textId="77777777" w:rsidR="006A658D" w:rsidRDefault="006A658D"/>
    <w:p w14:paraId="5DBD8B09" w14:textId="77777777" w:rsidR="006A658D" w:rsidRDefault="00000000">
      <w:r>
        <w:t>Because these interactions are mutually dependent, the optimisation must be integrated. Design variables such as stack size, compressor sizing, pipeline pressure, pipeline diameter, MW_export, and wind farm power density are treated as endogenous. The economically optimal configuration emerges from simultaneous optimisation rather than being imposed as an input.</w:t>
      </w:r>
    </w:p>
    <w:p w14:paraId="4B8BB914" w14:textId="77777777" w:rsidR="006A658D" w:rsidRDefault="006A658D"/>
    <w:p w14:paraId="4A4801D1" w14:textId="77777777" w:rsidR="006A658D" w:rsidRDefault="00000000">
      <w:r>
        <w:t>Energy density (MWh/km²) is therefore an emergent outcome of techno-economic optimisation. This motivates the conceptual framework developed in Chapter 2 and the architecture definitions introduced in Chapter 3.</w:t>
      </w:r>
    </w:p>
    <w:p w14:paraId="477A88B1" w14:textId="77777777" w:rsidR="006A658D" w:rsidRDefault="006A658D"/>
    <w:p w14:paraId="42DAB901" w14:textId="77777777" w:rsidR="006A658D" w:rsidRDefault="00000000">
      <w:pPr>
        <w:pStyle w:val="Heading1"/>
      </w:pPr>
      <w:r>
        <w:t>Chapter 2 — Conceptual Framework: Carrier-Dependent Optimisation and Wind Farm Design</w:t>
      </w:r>
    </w:p>
    <w:p w14:paraId="5BF838DF" w14:textId="77777777" w:rsidR="006A658D" w:rsidRDefault="006A658D"/>
    <w:p w14:paraId="5CAAB739" w14:textId="77777777" w:rsidR="006A658D" w:rsidRDefault="00000000">
      <w:pPr>
        <w:pStyle w:val="Heading1"/>
      </w:pPr>
      <w:r>
        <w:t>Chapter 2 formalises the logic developed in Chapter 1. It introduces a marginal optimisation perspective in which wind farm spacing, infrastructure sizing, and curtailment exposure emerge endogenously from LCOE minimisation.</w:t>
      </w:r>
    </w:p>
    <w:p w14:paraId="1C43FB59" w14:textId="77777777" w:rsidR="006A658D" w:rsidRDefault="006A658D"/>
    <w:p w14:paraId="770E3F8C" w14:textId="77777777" w:rsidR="006A658D" w:rsidRDefault="00000000">
      <w:pPr>
        <w:pStyle w:val="Heading2"/>
      </w:pPr>
      <w:r>
        <w:t>2.1 Research Objective and System Boundary</w:t>
      </w:r>
    </w:p>
    <w:p w14:paraId="78A8E33B" w14:textId="77777777" w:rsidR="006A658D" w:rsidRDefault="006A658D"/>
    <w:p w14:paraId="02223491" w14:textId="77777777" w:rsidR="006A658D" w:rsidRDefault="00000000">
      <w:pPr>
        <w:pStyle w:val="Heading1"/>
      </w:pPr>
      <w:r>
        <w:lastRenderedPageBreak/>
        <w:t>Chapter 1 argued that offshore wind economics is increasingly shaped by the interaction between peak-rated infrastructure costs and erosion of realised utilisation. This chapter translates that qualitative observation into a formal optimisation structure.</w:t>
      </w:r>
    </w:p>
    <w:p w14:paraId="754741F7" w14:textId="77777777" w:rsidR="006A658D" w:rsidRDefault="006A658D"/>
    <w:p w14:paraId="49BA8FC7" w14:textId="77777777" w:rsidR="006A658D" w:rsidRDefault="00000000">
      <w:r>
        <w:t>For a given energy carrier θ (electricity or hydrogen), the economically optimal offshore configuration is defined as:</w:t>
      </w:r>
    </w:p>
    <w:p w14:paraId="152A970B" w14:textId="77777777" w:rsidR="006A658D" w:rsidRDefault="006A658D"/>
    <w:p w14:paraId="1DF13AFE" w14:textId="77777777" w:rsidR="006A658D" w:rsidRDefault="00000000">
      <w:r>
        <w:t>x*(θ) = arg min_x LCOE(x; θ)</w:t>
      </w:r>
    </w:p>
    <w:p w14:paraId="4A70EC61" w14:textId="77777777" w:rsidR="006A658D" w:rsidRDefault="006A658D"/>
    <w:p w14:paraId="6929115D" w14:textId="77777777" w:rsidR="006A658D" w:rsidRDefault="00000000">
      <w:r>
        <w:t>where the decision vector x includes wind farm power density, turbine spacing, infield topology, export capacity (MW_export), and carrier-specific infrastructure parameters.</w:t>
      </w:r>
    </w:p>
    <w:p w14:paraId="678C0B9A" w14:textId="77777777" w:rsidR="006A658D" w:rsidRDefault="006A658D"/>
    <w:p w14:paraId="02A60597" w14:textId="77777777" w:rsidR="006A658D" w:rsidRDefault="00000000">
      <w:r>
        <w:t>The system boundary runs from offshore generation to the onshore interface. The objective is a project-level marginal cost comparison under architecture-specific feasible sets, not a full system-welfare or market-equilibrium value comparison. Market price formation, storage operation, demand-side optimisation, and end-use economics are excluded by design to isolate carrier-dependent scaling effects.</w:t>
      </w:r>
    </w:p>
    <w:p w14:paraId="363121E3" w14:textId="77777777" w:rsidR="006A658D" w:rsidRDefault="006A658D"/>
    <w:p w14:paraId="15EDC581" w14:textId="77777777" w:rsidR="006A658D" w:rsidRDefault="00000000">
      <w:r>
        <w:t>Throughout this dissertation, the offshore system is treated as a coupled chain of subsystems: turbine generation → infield network → aggregation node → export link → onshore interface. The carrier choice modifies how capacity propagates through this chain and how marginal costs accumulate. Architecture-specific scaling relations—such as block-wise HVDC expansion, diameter-dependent pipeline transport costs, compressor scaling, and topology-driven infield length—are embedded directly in the cost functions of the optimisation problem.</w:t>
      </w:r>
    </w:p>
    <w:p w14:paraId="5DBEADA5" w14:textId="77777777" w:rsidR="006A658D" w:rsidRDefault="006A658D"/>
    <w:p w14:paraId="77186D3A" w14:textId="77777777" w:rsidR="006A658D" w:rsidRDefault="00000000">
      <w:pPr>
        <w:pStyle w:val="Heading2"/>
      </w:pPr>
      <w:r>
        <w:t>2.2 Marginal Structure of LCOE</w:t>
      </w:r>
    </w:p>
    <w:p w14:paraId="7F23458C" w14:textId="77777777" w:rsidR="006A658D" w:rsidRDefault="006A658D"/>
    <w:p w14:paraId="07301941" w14:textId="77777777" w:rsidR="006A658D" w:rsidRDefault="00000000">
      <w:r>
        <w:t>Although LCOE can be written as a ratio of discounted costs to discounted energy, the optimisation problem is governed by marginal trade-offs rather than by average values. In practical terms, the question is not what the average cost per MWh is, but how total cost changes when capacity or spatial configuration is adjusted. The economically optimal design satisfies a balance between:</w:t>
      </w:r>
    </w:p>
    <w:p w14:paraId="5B457CCC" w14:textId="77777777" w:rsidR="006A658D" w:rsidRDefault="006A658D"/>
    <w:p w14:paraId="13D18211" w14:textId="77777777" w:rsidR="006A658D" w:rsidRDefault="00000000">
      <w:pPr>
        <w:pStyle w:val="ListBullet"/>
      </w:pPr>
      <w:r>
        <w:lastRenderedPageBreak/>
        <w:t>the marginal cost of expanding capacity-rated infrastructure (€/MW), and</w:t>
      </w:r>
    </w:p>
    <w:p w14:paraId="6777857D" w14:textId="77777777" w:rsidR="006A658D" w:rsidRDefault="00000000">
      <w:pPr>
        <w:pStyle w:val="ListBullet"/>
      </w:pPr>
      <w:r>
        <w:t>the marginal value of preserving or increasing delivered energy (€/MWh).</w:t>
      </w:r>
    </w:p>
    <w:p w14:paraId="6F48F8E7" w14:textId="77777777" w:rsidR="006A658D" w:rsidRDefault="006A658D"/>
    <w:p w14:paraId="5D81B6B8" w14:textId="77777777" w:rsidR="006A658D" w:rsidRDefault="00000000">
      <w:r>
        <w:t>Capacity-rated components include turbines, infield cables or pipelines, converter platforms, electrolysers, compressors, and export links. Many of these scale primarily with peak throughput rather than annual energy. The marginal expansion cost ∂C/∂MW_export need not be smooth. Depending on architecture, it may exhibit convex behaviour, quasi-linear scaling, or discrete block thresholds. The shape of this function determines whether optimisation favours utilisation preservation or capacity expansion. Export-side scaling is not assumed a priori to dominate turbine-side scaling. Turbine, foundation, and wake-related cost–yield interactions are modelled symmetrically. The relative importance of export versus generation scaling is therefore an endogenous outcome of the optimisation rather than a presupposed condition.</w:t>
      </w:r>
    </w:p>
    <w:p w14:paraId="544B93F9" w14:textId="77777777" w:rsidR="006A658D" w:rsidRDefault="006A658D"/>
    <w:p w14:paraId="72789D35" w14:textId="77777777" w:rsidR="006A658D" w:rsidRDefault="00000000">
      <w:r>
        <w:t>Delivered energy depends on aerodynamic wake losses, curtailment exposure, and conversion efficiencies. The capacity factor is defined as:</w:t>
      </w:r>
    </w:p>
    <w:p w14:paraId="1833EDB9" w14:textId="77777777" w:rsidR="006A658D" w:rsidRDefault="006A658D"/>
    <w:p w14:paraId="1B33823D" w14:textId="77777777" w:rsidR="006A658D" w:rsidRDefault="00000000">
      <w:r>
        <w:t>CF = E_delivered / (MW_gen · 8760)</w:t>
      </w:r>
    </w:p>
    <w:p w14:paraId="22182232" w14:textId="77777777" w:rsidR="006A658D" w:rsidRDefault="006A658D"/>
    <w:p w14:paraId="12E4AF4F" w14:textId="77777777" w:rsidR="006A658D" w:rsidRDefault="00000000">
      <w:r>
        <w:t>A clear distinction is maintained between installed generation capacity (MW_gen) and export capacity (MW_export). MW_gen represents turbine rating. MW_export represents the peak export throughput of cable or pipeline infrastructure. Infrastructure costs often scale with MW_export, whereas delivered annual energy depends on MW_gen and realised utilisation. Export utilisation can be expressed as E_delivered / (MW_export · 8760). The interaction between MW_gen and MW_export is central to the optimisation problem.</w:t>
      </w:r>
    </w:p>
    <w:p w14:paraId="6A2626B0" w14:textId="77777777" w:rsidR="006A658D" w:rsidRDefault="006A658D"/>
    <w:p w14:paraId="54A72898" w14:textId="77777777" w:rsidR="006A658D" w:rsidRDefault="00000000">
      <w:pPr>
        <w:pStyle w:val="Heading2"/>
      </w:pPr>
      <w:r>
        <w:t>2.3 Endogenous Export Capacity and Curtailment</w:t>
      </w:r>
    </w:p>
    <w:p w14:paraId="2BCD3652" w14:textId="77777777" w:rsidR="006A658D" w:rsidRDefault="006A658D"/>
    <w:p w14:paraId="7AA9BF3A" w14:textId="77777777" w:rsidR="006A658D" w:rsidRDefault="00000000">
      <w:r>
        <w:t>Export infrastructure does not need to match physical peak generation. MW_export is a design variable.</w:t>
      </w:r>
    </w:p>
    <w:p w14:paraId="5D1A134C" w14:textId="77777777" w:rsidR="006A658D" w:rsidRDefault="006A658D"/>
    <w:p w14:paraId="4C6334C8" w14:textId="77777777" w:rsidR="006A658D" w:rsidRDefault="00000000">
      <w:r>
        <w:t>Increasing MW_export reduces curtailment by allowing more coincident output to be transported. However, expanding MW_export increases capital expenditure in aggregation and export subsystems. Limiting MW_export lowers peak-rated CAPEX but increases curtailment losses.</w:t>
      </w:r>
    </w:p>
    <w:p w14:paraId="14ECC542" w14:textId="77777777" w:rsidR="006A658D" w:rsidRDefault="006A658D"/>
    <w:p w14:paraId="5A583E55" w14:textId="77777777" w:rsidR="006A658D" w:rsidRDefault="00000000">
      <w:r>
        <w:lastRenderedPageBreak/>
        <w:t>The economically optimal export capacity satisfies a marginal equilibrium condition in regions where costs are differentiable:</w:t>
      </w:r>
    </w:p>
    <w:p w14:paraId="065C160E" w14:textId="77777777" w:rsidR="006A658D" w:rsidRDefault="006A658D"/>
    <w:p w14:paraId="15C6BC07" w14:textId="77777777" w:rsidR="006A658D" w:rsidRDefault="00000000">
      <w:r>
        <w:t>∂C/∂MW_export ≈ (∂E_delivered/∂MW_export) · LCOE</w:t>
      </w:r>
    </w:p>
    <w:p w14:paraId="04282114" w14:textId="77777777" w:rsidR="006A658D" w:rsidRDefault="006A658D"/>
    <w:p w14:paraId="1289A927" w14:textId="77777777" w:rsidR="006A658D" w:rsidRDefault="00000000">
      <w:r>
        <w:t>At discrete expansion thresholds, this condition is interpreted in inequality form: expansion occurs only when the incremental block cost is justified by the associated increase in delivered energy valued at LCOE.</w:t>
      </w:r>
    </w:p>
    <w:p w14:paraId="462AE913" w14:textId="77777777" w:rsidR="006A658D" w:rsidRDefault="006A658D"/>
    <w:p w14:paraId="773C68AC" w14:textId="77777777" w:rsidR="006A658D" w:rsidRDefault="00000000">
      <w:r>
        <w:t>When expansion occurs in large discrete increments (e.g., multi-gigawatt HVDC blocks), the effective marginal cost becomes stepwise rather than continuous. Practically, this means that adding a small amount of extra generation may suddenly require a very large infrastructure upgrade. In such cases, optimal design may adjust spatial configuration and installed density to avoid crossing expansion thresholds. When scaling is more continuous, expansion can occur incrementally and the density optimum shifts differently.</w:t>
      </w:r>
    </w:p>
    <w:p w14:paraId="63888877" w14:textId="77777777" w:rsidR="006A658D" w:rsidRDefault="006A658D"/>
    <w:p w14:paraId="07E83259" w14:textId="77777777" w:rsidR="006A658D" w:rsidRDefault="00000000">
      <w:r>
        <w:t>This condition translates marginal €/MW expansion cost into €/MWh terms via marginal throughput. The relevant “peak” is therefore the chosen MW_export, not the physical wind maximum.</w:t>
      </w:r>
    </w:p>
    <w:p w14:paraId="71E03022" w14:textId="77777777" w:rsidR="006A658D" w:rsidRDefault="006A658D"/>
    <w:p w14:paraId="40A38435" w14:textId="77777777" w:rsidR="006A658D" w:rsidRDefault="00000000">
      <w:r>
        <w:t>Curtailment is thus treated as an endogenous outcome of export-capacity choice under a given cost structure.</w:t>
      </w:r>
    </w:p>
    <w:p w14:paraId="5C13C8D5" w14:textId="77777777" w:rsidR="006A658D" w:rsidRDefault="006A658D"/>
    <w:p w14:paraId="7E0C7C93" w14:textId="77777777" w:rsidR="006A658D" w:rsidRDefault="00000000">
      <w:pPr>
        <w:pStyle w:val="Heading2"/>
      </w:pPr>
      <w:r>
        <w:t>2.4 Wind Farm Power Density as an Optimisation Outcome</w:t>
      </w:r>
    </w:p>
    <w:p w14:paraId="40141481" w14:textId="77777777" w:rsidR="006A658D" w:rsidRDefault="006A658D"/>
    <w:p w14:paraId="5D637181" w14:textId="77777777" w:rsidR="006A658D" w:rsidRDefault="00000000">
      <w:r>
        <w:t>Wind farm layout affects both marginal yield and marginal infrastructure cost.</w:t>
      </w:r>
    </w:p>
    <w:p w14:paraId="4B063722" w14:textId="77777777" w:rsidR="006A658D" w:rsidRDefault="006A658D"/>
    <w:p w14:paraId="487DE1F3" w14:textId="77777777" w:rsidR="006A658D" w:rsidRDefault="00000000">
      <w:r>
        <w:t>Increasing turbine density raises installed MW per square kilometre but increases wake losses, thereby reducing marginal yield per turbine. Increasing spacing improves yield but increases infield length and associated CAPEX. These infield effects differ across architectures: electrical string topologies and pipeline ladder systems follow different scaling laws.</w:t>
      </w:r>
    </w:p>
    <w:p w14:paraId="205215E0" w14:textId="77777777" w:rsidR="006A658D" w:rsidRDefault="006A658D"/>
    <w:p w14:paraId="081DE9C0" w14:textId="77777777" w:rsidR="006A658D" w:rsidRDefault="00000000">
      <w:r>
        <w:lastRenderedPageBreak/>
        <w:t>Spacing also influences coincident peak production. Denser layouts increase the probability that MW_export becomes binding, raising the marginal value of export-capacity expansion. As a result, spatial design and export sizing cannot be optimised independently; each influences the marginal value of the other.</w:t>
      </w:r>
    </w:p>
    <w:p w14:paraId="7E9D2724" w14:textId="77777777" w:rsidR="006A658D" w:rsidRDefault="006A658D"/>
    <w:p w14:paraId="6DF3795A" w14:textId="77777777" w:rsidR="006A658D" w:rsidRDefault="00000000">
      <w:r>
        <w:t>The optimal power density therefore satisfies a marginal balance between yield preservation (€/MWh effect) and infrastructure expansion cost (€/MW translated into €/MWh via MW_export). Installed power density (MW/km²) and resulting energy density (MWh/km²) emerge endogenously from this equilibrium.</w:t>
      </w:r>
    </w:p>
    <w:p w14:paraId="3083537A" w14:textId="77777777" w:rsidR="006A658D" w:rsidRDefault="006A658D"/>
    <w:p w14:paraId="39264ACF" w14:textId="77777777" w:rsidR="006A658D" w:rsidRDefault="00000000">
      <w:pPr>
        <w:pStyle w:val="Heading2"/>
      </w:pPr>
      <w:r>
        <w:t>2.5 Electricity-Based Configurations</w:t>
      </w:r>
    </w:p>
    <w:p w14:paraId="0D10B8BA" w14:textId="77777777" w:rsidR="006A658D" w:rsidRDefault="006A658D"/>
    <w:p w14:paraId="558B5CA9" w14:textId="77777777" w:rsidR="006A658D" w:rsidRDefault="00000000">
      <w:r>
        <w:t>In electricity-export architectures, offshore converter platforms and HVDC export links typically exhibit high marginal €/MW expansion costs and discrete capacity thresholds. In the Dutch North Sea context in particular, TenneT has standardised on 2 GW HVDC blocks, which structurally anchors capacity expansion in large discrete units and limits fine-grained scaling at the export level. When capacity additions occur in large blocks, the marginal €/MW of expansion can be substantial.</w:t>
      </w:r>
    </w:p>
    <w:p w14:paraId="5E6E95DC" w14:textId="77777777" w:rsidR="006A658D" w:rsidRDefault="006A658D"/>
    <w:p w14:paraId="53780A4A" w14:textId="77777777" w:rsidR="006A658D" w:rsidRDefault="00000000">
      <w:r>
        <w:t>In such regimes, optimisation favours preserving utilisation of existing capacity rather than expanding peak throughput. This can shift the optimal wind farm layout toward lower installed density and reduced coincident peak production.</w:t>
      </w:r>
    </w:p>
    <w:p w14:paraId="3F2F8BE7" w14:textId="77777777" w:rsidR="006A658D" w:rsidRDefault="006A658D"/>
    <w:p w14:paraId="1E1700A6" w14:textId="77777777" w:rsidR="006A658D" w:rsidRDefault="00000000">
      <w:pPr>
        <w:pStyle w:val="Heading2"/>
      </w:pPr>
      <w:r>
        <w:t>2.6 Hydrogen-Based Configurations</w:t>
      </w:r>
    </w:p>
    <w:p w14:paraId="7380B113" w14:textId="77777777" w:rsidR="006A658D" w:rsidRDefault="006A658D"/>
    <w:p w14:paraId="2B161EC3" w14:textId="77777777" w:rsidR="006A658D" w:rsidRDefault="00000000">
      <w:r>
        <w:t>Hydrogen-based architectures modify the marginal scaling structure. Pipeline systems can also display discrete diameter steps, and central offshore electrolysis platforms may introduce block-wise scaling effects comparable to HVDC platforms. However, the scale and technical drivers of these thresholds differ, and their economic implications must be evaluated explicitly rather than assumed. Pipeline diameter and operating pressure determine transport capacity. Compressor sizing determines the distribution of costs between distributed equipment and trunk infrastructure.</w:t>
      </w:r>
    </w:p>
    <w:p w14:paraId="0AA6F83C" w14:textId="77777777" w:rsidR="006A658D" w:rsidRDefault="006A658D"/>
    <w:p w14:paraId="428DBDA9" w14:textId="77777777" w:rsidR="006A658D" w:rsidRDefault="00000000">
      <w:r>
        <w:t xml:space="preserve">These parameters create different marginal regimes. Capacity expansion may be more continuous than under discrete HVDC blocks, and marginal €/MW scaling may be lower under certain </w:t>
      </w:r>
      <w:r>
        <w:lastRenderedPageBreak/>
        <w:t>configurations. In such cases, higher installed density can remain economically justified before capacity expansion becomes binding.</w:t>
      </w:r>
    </w:p>
    <w:p w14:paraId="52B1C825" w14:textId="77777777" w:rsidR="006A658D" w:rsidRDefault="006A658D"/>
    <w:p w14:paraId="095825C9" w14:textId="77777777" w:rsidR="006A658D" w:rsidRDefault="00000000">
      <w:r>
        <w:t>Hydrogen does not eliminate peak sensitivity; it alters the marginal structure within which peak decisions are made.</w:t>
      </w:r>
    </w:p>
    <w:p w14:paraId="15AE4A8B" w14:textId="77777777" w:rsidR="006A658D" w:rsidRDefault="006A658D"/>
    <w:p w14:paraId="5A6E64A7" w14:textId="77777777" w:rsidR="006A658D" w:rsidRDefault="00000000">
      <w:pPr>
        <w:pStyle w:val="Heading2"/>
      </w:pPr>
      <w:r>
        <w:t>2.7 Structural Hypothesis</w:t>
      </w:r>
    </w:p>
    <w:p w14:paraId="5818304F" w14:textId="77777777" w:rsidR="006A658D" w:rsidRDefault="006A658D"/>
    <w:p w14:paraId="33023824" w14:textId="77777777" w:rsidR="006A658D" w:rsidRDefault="00000000">
      <w:r>
        <w:t>The central hypothesis is therefore stated in marginal-economic terms. Here, a ‘regime’ refers to the dominance structure between marginal capacity-expansion cost (€/MW) and marginal yield-preservation value (€/MWh), including the effect of discrete thresholds in either generation- or export-side scaling. In essence, the optimisation outcome depends on which of these marginal forces is stronger at the design margin:</w:t>
      </w:r>
    </w:p>
    <w:p w14:paraId="77309710" w14:textId="77777777" w:rsidR="006A658D" w:rsidRDefault="006A658D"/>
    <w:p w14:paraId="1E2046C9" w14:textId="77777777" w:rsidR="006A658D" w:rsidRDefault="00000000">
      <w:r>
        <w:t>The choice of energy carrier modifies subsystem-level marginal scaling behaviour. When marginal capacity expansion cost (€/MW) dominates the marginal value of yield preservation (€/MWh), optimisation shifts toward utilisation-maximising regimes and lower installed density. When marginal scaling is more gradual, higher installed density may remain optimal.</w:t>
      </w:r>
    </w:p>
    <w:p w14:paraId="57485E2A" w14:textId="77777777" w:rsidR="006A658D" w:rsidRDefault="006A658D"/>
    <w:p w14:paraId="0E516699" w14:textId="77777777" w:rsidR="006A658D" w:rsidRDefault="00000000">
      <w:r>
        <w:t>Offshore energy density (MWh/km²) is consequently an emergent optimisation outcome rather than a fixed technical parameter.</w:t>
      </w:r>
    </w:p>
    <w:p w14:paraId="63D9C04A" w14:textId="77777777" w:rsidR="006A658D" w:rsidRDefault="006A658D"/>
    <w:p w14:paraId="33B2C661" w14:textId="77777777" w:rsidR="006A658D" w:rsidRDefault="00000000">
      <w:pPr>
        <w:pStyle w:val="Heading2"/>
      </w:pPr>
      <w:r>
        <w:t>2.8 Model Closure and Structural Interactions</w:t>
      </w:r>
    </w:p>
    <w:p w14:paraId="6C713580" w14:textId="77777777" w:rsidR="006A658D" w:rsidRDefault="006A658D"/>
    <w:p w14:paraId="4E1E6D87" w14:textId="77777777" w:rsidR="006A658D" w:rsidRDefault="00000000">
      <w:r>
        <w:t>The optimisation framework rests on an explicit model closure. The objective is not to pre-identify “regime-critical parameters,” but to endogenise the structural relationships through which regimes may emerge.</w:t>
      </w:r>
    </w:p>
    <w:p w14:paraId="005CC1D1" w14:textId="77777777" w:rsidR="006A658D" w:rsidRDefault="006A658D"/>
    <w:p w14:paraId="01842660" w14:textId="77777777" w:rsidR="006A658D" w:rsidRDefault="00000000">
      <w:r>
        <w:t>Three analytical levels are distinguished.</w:t>
      </w:r>
    </w:p>
    <w:p w14:paraId="45C0F43D" w14:textId="77777777" w:rsidR="006A658D" w:rsidRDefault="006A658D"/>
    <w:p w14:paraId="16669554" w14:textId="77777777" w:rsidR="006A658D" w:rsidRDefault="00000000">
      <w:r>
        <w:t xml:space="preserve">First, exogenous boundary conditions define the physical and institutional environment within which optimisation takes place. These include the wind resource time series, distance to shore, </w:t>
      </w:r>
      <w:r>
        <w:lastRenderedPageBreak/>
        <w:t>seabed conditions, financing assumptions, and institutional constraints such as standardised HVDC block sizes. These factors are treated as given because they are not design variables within the offshore project scope considered here.</w:t>
      </w:r>
    </w:p>
    <w:p w14:paraId="787B630C" w14:textId="77777777" w:rsidR="006A658D" w:rsidRDefault="006A658D"/>
    <w:p w14:paraId="3093B1A8" w14:textId="77777777" w:rsidR="006A658D" w:rsidRDefault="00000000">
      <w:r>
        <w:t>Second, endogenous design variables determine how the offshore system is configured within those boundaries. These include turbine spacing and power density, infield topology, export capacity (MW_export), electrolyser sizing and placement, compressor rating, pipeline diameter and pressure, and aggregation capacity. These variables are allowed to adjust simultaneously within architecture-specific feasible sets.</w:t>
      </w:r>
    </w:p>
    <w:p w14:paraId="2D133BE5" w14:textId="77777777" w:rsidR="006A658D" w:rsidRDefault="006A658D"/>
    <w:p w14:paraId="55ED8D11" w14:textId="77777777" w:rsidR="006A658D" w:rsidRDefault="00000000">
      <w:r>
        <w:t>Third, structural scaling relations connect design variables across subsystems. These include wake-loss functions, part-load efficiency curves, transport capacity equations, and discrete capacity thresholds. Regime shifts do not arise from isolated parameter values, but from the interaction of these non-linear or discrete relations across the turbine–infield–aggregation–export chain.</w:t>
      </w:r>
    </w:p>
    <w:p w14:paraId="1549ACF4" w14:textId="77777777" w:rsidR="006A658D" w:rsidRDefault="006A658D"/>
    <w:p w14:paraId="467CD612" w14:textId="77777777" w:rsidR="006A658D" w:rsidRDefault="00000000">
      <w:r>
        <w:t>For example, reduced spacing increases wake interaction, which alters the temporal production profile. Changes in the production profile affect stack utilisation and peak aggregation, which in turn influence optimal export sizing. Export sizing feeds back into spatial design through peak-related cost structures. No single parameter determines the outcome; rather, regimes emerge from the coupled structure of these relations.</w:t>
      </w:r>
    </w:p>
    <w:p w14:paraId="3E2D4AAE" w14:textId="77777777" w:rsidR="006A658D" w:rsidRDefault="006A658D"/>
    <w:p w14:paraId="6A96BC64" w14:textId="77777777" w:rsidR="006A658D" w:rsidRDefault="00000000">
      <w:r>
        <w:t>The purpose of this model closure is therefore not to assume which subsystem dominates, but to allow dominance structures to arise endogenously from interacting scaling laws.</w:t>
      </w:r>
    </w:p>
    <w:p w14:paraId="33C63799" w14:textId="77777777" w:rsidR="006A658D" w:rsidRDefault="006A658D"/>
    <w:p w14:paraId="564FB84E" w14:textId="77777777" w:rsidR="006A658D" w:rsidRDefault="00000000">
      <w:pPr>
        <w:pStyle w:val="Heading2"/>
      </w:pPr>
      <w:r>
        <w:t>2.9 Functional Specification, Calibration, and Validation</w:t>
      </w:r>
    </w:p>
    <w:p w14:paraId="4B5E6C5D" w14:textId="77777777" w:rsidR="006A658D" w:rsidRDefault="006A658D"/>
    <w:p w14:paraId="0070186F" w14:textId="77777777" w:rsidR="006A658D" w:rsidRDefault="00000000">
      <w:r>
        <w:t>While Chapter 2 defines the conceptual structure, quantitative results depend on the functional specification and calibration of subsystem relations. Each structural relation introduced above is implemented through explicit cost and performance functions in Chapter 4.</w:t>
      </w:r>
    </w:p>
    <w:p w14:paraId="67661C55" w14:textId="77777777" w:rsidR="006A658D" w:rsidRDefault="006A658D"/>
    <w:p w14:paraId="5359EA0E" w14:textId="77777777" w:rsidR="006A658D" w:rsidRDefault="00000000">
      <w:r>
        <w:t>These include:</w:t>
      </w:r>
    </w:p>
    <w:p w14:paraId="3B750616" w14:textId="77777777" w:rsidR="006A658D" w:rsidRDefault="00000000">
      <w:pPr>
        <w:pStyle w:val="ListBullet"/>
      </w:pPr>
      <w:r>
        <w:t>Wake-loss relations linking spacing to effective turbine output,</w:t>
      </w:r>
    </w:p>
    <w:p w14:paraId="13773C28" w14:textId="77777777" w:rsidR="006A658D" w:rsidRDefault="00000000">
      <w:pPr>
        <w:pStyle w:val="ListBullet"/>
      </w:pPr>
      <w:r>
        <w:lastRenderedPageBreak/>
        <w:t>Infield length and topology functions linking layout to infrastructure cost, including architecture-dependent loss and availability effects where network redundancy alters effective delivered energy,</w:t>
      </w:r>
    </w:p>
    <w:p w14:paraId="604B8CEB" w14:textId="77777777" w:rsidR="006A658D" w:rsidRDefault="00000000">
      <w:pPr>
        <w:pStyle w:val="ListBullet"/>
      </w:pPr>
      <w:r>
        <w:t>Electrolyser efficiency curves and stack-sizing relations,</w:t>
      </w:r>
    </w:p>
    <w:p w14:paraId="4D69EAA9" w14:textId="77777777" w:rsidR="006A658D" w:rsidRDefault="00000000">
      <w:pPr>
        <w:pStyle w:val="ListBullet"/>
      </w:pPr>
      <w:r>
        <w:t>Compression and pipeline transport equations linking diameter and pressure to peak throughput,</w:t>
      </w:r>
    </w:p>
    <w:p w14:paraId="735C46AF" w14:textId="77777777" w:rsidR="006A658D" w:rsidRDefault="00000000">
      <w:pPr>
        <w:pStyle w:val="ListBullet"/>
      </w:pPr>
      <w:r>
        <w:t>HVDC block-cost functions reflecting discrete expansion thresholds.</w:t>
      </w:r>
    </w:p>
    <w:p w14:paraId="361099FE" w14:textId="77777777" w:rsidR="006A658D" w:rsidRDefault="006A658D"/>
    <w:p w14:paraId="35F066D6" w14:textId="77777777" w:rsidR="006A658D" w:rsidRDefault="00000000">
      <w:r>
        <w:t>Functional forms are selected based on established engineering literature and industry data. Parameter values are drawn from publicly available sources, technical reports, and empirical studies, and are subjected to sensitivity analysis.</w:t>
      </w:r>
    </w:p>
    <w:p w14:paraId="62A5F71B" w14:textId="77777777" w:rsidR="006A658D" w:rsidRDefault="006A658D"/>
    <w:p w14:paraId="1405BF12" w14:textId="77777777" w:rsidR="006A658D" w:rsidRDefault="00000000">
      <w:r>
        <w:t>Importantly, robustness is evaluated at the level of structural behaviour rather than single-point estimates. Sensitivity analysis tests whether qualitative regime patterns persist under plausible variation in key parameters. Where regime shifts depend on narrow parameter ranges, this is made explicit.</w:t>
      </w:r>
    </w:p>
    <w:p w14:paraId="3B7FDD79" w14:textId="77777777" w:rsidR="006A658D" w:rsidRDefault="006A658D"/>
    <w:p w14:paraId="33602CD2" w14:textId="77777777" w:rsidR="006A658D" w:rsidRDefault="00000000">
      <w:r>
        <w:t>Parameter magnitudes influence quantitative outcomes. For this reason, all functional forms and parameter values are explicitly documented, referenced where possible, and subjected to robustness testing. Regime conclusions are retained only where qualitative behaviour persists under plausible parameter variation.</w:t>
      </w:r>
    </w:p>
    <w:p w14:paraId="0BA4412B" w14:textId="77777777" w:rsidR="006A658D" w:rsidRDefault="006A658D"/>
    <w:p w14:paraId="3764D009" w14:textId="77777777" w:rsidR="006A658D" w:rsidRDefault="00000000">
      <w:r>
        <w:t>By separating structural logic (Chapter 2) from numerical specification (Chapter 4), the dissertation ensures that conclusions follow from transparent modelling choices rather than implicit assumptions.</w:t>
      </w:r>
    </w:p>
    <w:p w14:paraId="318DB2B3" w14:textId="77777777" w:rsidR="006A658D" w:rsidRDefault="006A658D"/>
    <w:p w14:paraId="240D572B" w14:textId="77777777" w:rsidR="006A658D" w:rsidRDefault="00000000">
      <w:pPr>
        <w:pStyle w:val="Heading2"/>
      </w:pPr>
      <w:r>
        <w:t>2.10 Infrastructure Modelling Requirement</w:t>
      </w:r>
    </w:p>
    <w:p w14:paraId="2ED5D3CE" w14:textId="77777777" w:rsidR="006A658D" w:rsidRDefault="006A658D"/>
    <w:p w14:paraId="5C2B4EBD" w14:textId="77777777" w:rsidR="006A658D" w:rsidRDefault="00000000">
      <w:r>
        <w:t>Infrastructure costs are not imposed as fixed coefficients. They are endogenous consequences of layout and capacity choices. Turbine spacing affects production profiles; production profiles determine MW_export; MW_export determines infrastructure dimensions (cable cross-sections, voltage levels, pipeline diameters, pressures); costs follow from these technical dimensions.</w:t>
      </w:r>
    </w:p>
    <w:p w14:paraId="04789EC0" w14:textId="77777777" w:rsidR="006A658D" w:rsidRDefault="006A658D"/>
    <w:p w14:paraId="226EE96B" w14:textId="77777777" w:rsidR="006A658D" w:rsidRDefault="00000000">
      <w:r>
        <w:lastRenderedPageBreak/>
        <w:t>Robust comparison between electricity and hydrogen architectures therefore requires explicit modelling of infield topology, aggregation sizing, export scaling, and transport physics. Chapter 4 makes these discrete and continuous scaling thresholds explicit and analyses under which technical and economic assumptions regime shifts occur. Only under such endogenous modelling can the economically optimal configuration and resulting energy density be derived without embedding architectural bias.</w:t>
      </w:r>
    </w:p>
    <w:p w14:paraId="13FD7428" w14:textId="77777777" w:rsidR="006A658D" w:rsidRDefault="006A658D"/>
    <w:p w14:paraId="7D5DE48A" w14:textId="77777777" w:rsidR="006A658D" w:rsidRDefault="00000000">
      <w:pPr>
        <w:pStyle w:val="Heading1"/>
      </w:pPr>
      <w:r>
        <w:t>Chapter 3 — Architectures as Feasible Sets</w:t>
      </w:r>
    </w:p>
    <w:p w14:paraId="16158350" w14:textId="77777777" w:rsidR="006A658D" w:rsidRDefault="006A658D"/>
    <w:p w14:paraId="525B4D3B" w14:textId="77777777" w:rsidR="006A658D" w:rsidRDefault="00000000">
      <w:r>
        <w:t>This chapter translates the abstract marginal-regime logic developed in Chapter 2 into architecture-specific feasible sets. It does not introduce new optimisation theory or numerical calibration. Instead, it defines where aggregation, conversion, peak formation, and scaling occur within each offshore configuration, and how these structural differences constrain the optimisation problem implemented in Chapter 4. The purpose of this chapter is therefore structural clarification: to make explicit which subsystem interactions differ across architectures and why these differences may lead to distinct marginal regimes.</w:t>
      </w:r>
    </w:p>
    <w:p w14:paraId="13AEC0FB" w14:textId="77777777" w:rsidR="006A658D" w:rsidRDefault="006A658D"/>
    <w:p w14:paraId="322E09EB" w14:textId="77777777" w:rsidR="006A658D" w:rsidRDefault="00000000">
      <w:pPr>
        <w:pStyle w:val="Heading1"/>
      </w:pPr>
      <w:r>
        <w:t>Chapter 3 defines the offshore system architectures that will be compared in later chapters. These architectures are treated as alternative feasible sets: they impose different constraints, scaling laws, and marginal cost structures on the same underlying wind resource.</w:t>
      </w:r>
    </w:p>
    <w:p w14:paraId="2B3F40B5" w14:textId="77777777" w:rsidR="006A658D" w:rsidRDefault="006A658D"/>
    <w:p w14:paraId="34A22C68" w14:textId="77777777" w:rsidR="006A658D" w:rsidRDefault="00000000">
      <w:r>
        <w:t>A critical modelling implication is that architectures differ not only in CAPEX scaling (€/MW and €/km), but also in OPEX scaling and reliability exposure. Decentralised conversion can increase component count, maintenance intensity, and failure-mode coupling; centralised platforms can concentrate risk in discrete assets. Operational constraints such as minimum stable loads, ramp limits, turndown ratios, and compressor cycling can reduce effective utilisation of MW_export. These effects are treated as architecture-dependent parameters in the quantitative model rather than assumed away.</w:t>
      </w:r>
    </w:p>
    <w:p w14:paraId="4C8E64A7" w14:textId="77777777" w:rsidR="006A658D" w:rsidRDefault="006A658D"/>
    <w:p w14:paraId="0DB83077" w14:textId="77777777" w:rsidR="006A658D" w:rsidRDefault="00000000">
      <w:pPr>
        <w:pStyle w:val="Heading2"/>
      </w:pPr>
      <w:r>
        <w:t>3.1 Purpose</w:t>
      </w:r>
    </w:p>
    <w:p w14:paraId="6E27F7E1" w14:textId="77777777" w:rsidR="006A658D" w:rsidRDefault="006A658D"/>
    <w:p w14:paraId="0E5D6ADA" w14:textId="77777777" w:rsidR="006A658D" w:rsidRDefault="00000000">
      <w:r>
        <w:lastRenderedPageBreak/>
        <w:t>This chapter defines the offshore system architectures that are compared in later chapters. The architectures are not treated as symmetric design alternatives, but as progressively different structural configurations of aggregation and conversion within the offshore chain.</w:t>
      </w:r>
    </w:p>
    <w:p w14:paraId="30D8E744" w14:textId="77777777" w:rsidR="006A658D" w:rsidRDefault="006A658D"/>
    <w:p w14:paraId="0C2CECC7" w14:textId="77777777" w:rsidR="006A658D" w:rsidRDefault="00000000">
      <w:r>
        <w:t>Architecture A (electricity export) represents the prevailing aggregation regime in which turbine output is electrically collected, aggregated, and transported before any carrier transformation occurs. This configuration defines the baseline peak-rated scaling structure currently embedded in North Sea planning practice.</w:t>
      </w:r>
    </w:p>
    <w:p w14:paraId="3284564D" w14:textId="77777777" w:rsidR="006A658D" w:rsidRDefault="006A658D"/>
    <w:p w14:paraId="19EF90CE" w14:textId="77777777" w:rsidR="006A658D" w:rsidRDefault="00000000">
      <w:r>
        <w:t>Architecture B (centralised offshore hydrogen) changes the carrier but retains the central aggregation paradigm. Electrical power is still first aggregated at scale before conversion, and large offshore platforms remain decisive elements in marginal scaling. This architecture therefore serves as a controlled variation: it tests whether changing the carrier alone alters the marginal regime when aggregation structure remains centralised.</w:t>
      </w:r>
    </w:p>
    <w:p w14:paraId="1692F798" w14:textId="77777777" w:rsidR="006A658D" w:rsidRDefault="006A658D"/>
    <w:p w14:paraId="1F314402" w14:textId="77777777" w:rsidR="006A658D" w:rsidRDefault="00000000">
      <w:r>
        <w:t>Architecture C (decentralised turbine-integrated hydrogen) relocates conversion upstream to the turbine level. By shifting where aggregation and peak interaction occur, it restructures the chain itself. This configuration is introduced to test whether relocating conversion—rather than merely changing the carrier—fundamentally alters marginal scaling behaviour and the resulting optimal offshore design.</w:t>
      </w:r>
    </w:p>
    <w:p w14:paraId="400AC6A3" w14:textId="77777777" w:rsidR="006A658D" w:rsidRDefault="006A658D"/>
    <w:p w14:paraId="787320BF" w14:textId="77777777" w:rsidR="006A658D" w:rsidRDefault="00000000">
      <w:r>
        <w:t>Together, these architectures allow the analysis to distinguish between carrier effects and aggregation-structure effects, and to identify whether regime shifts arise from energy carrier choice alone or from the structural relocation of conversion within the offshore system.</w:t>
      </w:r>
    </w:p>
    <w:p w14:paraId="73BC2ECD" w14:textId="77777777" w:rsidR="006A658D" w:rsidRDefault="006A658D"/>
    <w:p w14:paraId="155C7293" w14:textId="77777777" w:rsidR="006A658D" w:rsidRDefault="00000000">
      <w:pPr>
        <w:pStyle w:val="Heading2"/>
      </w:pPr>
      <w:r>
        <w:t>3.2 Architecture A — Electricity Export</w:t>
      </w:r>
    </w:p>
    <w:p w14:paraId="16A42DDF" w14:textId="77777777" w:rsidR="006A658D" w:rsidRDefault="006A658D"/>
    <w:p w14:paraId="33808DE4" w14:textId="77777777" w:rsidR="006A658D" w:rsidRDefault="00000000">
      <w:r>
        <w:t>Discrete HVDC platforms and terminals embed a high marginal €/MW regime.</w:t>
      </w:r>
    </w:p>
    <w:p w14:paraId="65D04169" w14:textId="77777777" w:rsidR="006A658D" w:rsidRDefault="006A658D"/>
    <w:p w14:paraId="016A5455" w14:textId="77777777" w:rsidR="006A658D" w:rsidRDefault="00000000">
      <w:pPr>
        <w:pStyle w:val="Heading2"/>
      </w:pPr>
      <w:r>
        <w:t>3.3 Architecture B — Centralised Offshore Hydrogen</w:t>
      </w:r>
    </w:p>
    <w:p w14:paraId="6731E5AB" w14:textId="77777777" w:rsidR="006A658D" w:rsidRDefault="006A658D"/>
    <w:p w14:paraId="0044B215" w14:textId="77777777" w:rsidR="006A658D" w:rsidRDefault="00000000">
      <w:r>
        <w:t xml:space="preserve">Retains electrical infield; shifts export economics to pipeline transport; central platform CAPEX becomes decisive. Although the carrier changes from electricity to hydrogen, aggregation and peak </w:t>
      </w:r>
      <w:r>
        <w:lastRenderedPageBreak/>
        <w:t>formation remain structurally centralised. Electrical power is first collected and concentrated before conversion, preserving much of the peak-rated scaling logic that characterises Architecture A. This configuration therefore primarily tests carrier substitution within an unchanged aggregation regime.</w:t>
      </w:r>
    </w:p>
    <w:p w14:paraId="66709037" w14:textId="77777777" w:rsidR="006A658D" w:rsidRDefault="006A658D"/>
    <w:p w14:paraId="07597DDB" w14:textId="77777777" w:rsidR="006A658D" w:rsidRDefault="00000000">
      <w:pPr>
        <w:pStyle w:val="Heading2"/>
      </w:pPr>
      <w:r>
        <w:t>3.4 Architecture C — Decentralised Turbine-Integrated Hydrogen</w:t>
      </w:r>
    </w:p>
    <w:p w14:paraId="0F3DDD54" w14:textId="77777777" w:rsidR="006A658D" w:rsidRDefault="006A658D"/>
    <w:p w14:paraId="53609DC8" w14:textId="77777777" w:rsidR="006A658D" w:rsidRDefault="00000000">
      <w:r>
        <w:t>Architecture C relocates conversion from a central offshore platform to the turbine level. Electrolysers are integrated at or near individual turbines, and hydrogen is collected in gaseous form through an infield pipeline network. This is not merely a redistribution of CAPEX across components; it restructures where peak aggregation, conversion, and scaling occur within the chain.</w:t>
      </w:r>
    </w:p>
    <w:p w14:paraId="3C91D953" w14:textId="77777777" w:rsidR="006A658D" w:rsidRDefault="006A658D"/>
    <w:p w14:paraId="424B0C8F" w14:textId="77777777" w:rsidR="006A658D" w:rsidRDefault="00000000">
      <w:r>
        <w:t>In a centralised configuration, electrical power from multiple turbines is first aggregated and transported through high-voltage infrastructure before conversion takes place. Peak-rated electrical components therefore scale with aggregated turbine output, and large bespoke platforms concentrate both capacity and risk. In the decentralised configuration, conversion occurs upstream. Electrical aggregation is reduced, hydrogen becomes the primary infield carrier, and peak interaction is partially resolved at the turbine level rather than at a central node.</w:t>
      </w:r>
    </w:p>
    <w:p w14:paraId="542DA7C2" w14:textId="77777777" w:rsidR="006A658D" w:rsidRDefault="006A658D"/>
    <w:p w14:paraId="7689A733" w14:textId="77777777" w:rsidR="006A658D" w:rsidRDefault="00000000">
      <w:r>
        <w:t>This relocation has three structural consequences.</w:t>
      </w:r>
    </w:p>
    <w:p w14:paraId="19E034AF" w14:textId="77777777" w:rsidR="006A658D" w:rsidRDefault="006A658D"/>
    <w:p w14:paraId="4951D94B" w14:textId="77777777" w:rsidR="006A658D" w:rsidRDefault="00000000">
      <w:r>
        <w:t>First, it eliminates or downsizes several high-cost electrical aggregation components (e.g., large offshore transformers, central conversion platforms, associated balance-of-plant), thereby altering the marginal €/MW structure of the system. Cost scaling shifts from bespoke, project-specific offshore electrical installations toward modular, repeatable conversion units.</w:t>
      </w:r>
    </w:p>
    <w:p w14:paraId="6409E32B" w14:textId="77777777" w:rsidR="006A658D" w:rsidRDefault="006A658D"/>
    <w:p w14:paraId="6A5CC90D" w14:textId="77777777" w:rsidR="006A658D" w:rsidRDefault="00000000">
      <w:r>
        <w:t>Second, economies of scale are partially replaced by economies of series. Rather than relying on ever-larger single installations to reduce unit costs, the architecture leverages replication of smaller, standardised modules integrated with turbines. Learning effects and serial production may therefore influence marginal cost behaviour differently than in large central platforms.</w:t>
      </w:r>
    </w:p>
    <w:p w14:paraId="0499EF2A" w14:textId="77777777" w:rsidR="006A658D" w:rsidRDefault="006A658D"/>
    <w:p w14:paraId="2078BFE7" w14:textId="77777777" w:rsidR="006A658D" w:rsidRDefault="00000000">
      <w:r>
        <w:t xml:space="preserve">Third, peak formation and utilisation dynamics change. Stack sizing can be optimised relative to individual turbine production profiles, and aggregation of hydrogen flows occurs after local </w:t>
      </w:r>
      <w:r>
        <w:lastRenderedPageBreak/>
        <w:t>conversion. This modifies how part-load behaviour, peak throughput, and export capacity (MW_export) interact. Failures or maintenance events are distributed across many units rather than concentrated in a single platform, potentially altering the correlation structure of outages and effective annual delivery.</w:t>
      </w:r>
    </w:p>
    <w:p w14:paraId="5366C9BF" w14:textId="77777777" w:rsidR="006A658D" w:rsidRDefault="006A658D"/>
    <w:p w14:paraId="29569382" w14:textId="77777777" w:rsidR="006A658D" w:rsidRDefault="00000000">
      <w:r>
        <w:t>Architecture C is therefore treated as a structural reorganisation of the offshore chain rather than as a simple technological variant. Its economic implications follow from how this reorganisation reshapes marginal scaling and utilisation across subsystems.</w:t>
      </w:r>
    </w:p>
    <w:p w14:paraId="7965A403" w14:textId="77777777" w:rsidR="006A658D" w:rsidRDefault="006A658D"/>
    <w:p w14:paraId="4B51F35C" w14:textId="77777777" w:rsidR="006A658D" w:rsidRDefault="00000000">
      <w:pPr>
        <w:pStyle w:val="Heading2"/>
      </w:pPr>
      <w:r>
        <w:t>3.5 Subsystem-Level Marginal Cost Structures</w:t>
      </w:r>
    </w:p>
    <w:p w14:paraId="21F1FC65" w14:textId="77777777" w:rsidR="006A658D" w:rsidRDefault="006A658D"/>
    <w:p w14:paraId="5B6C7EB7" w14:textId="77777777" w:rsidR="006A658D" w:rsidRDefault="00000000">
      <w:r>
        <w:t>For each subsystem (turbine, infield, aggregation, export, landing), the marginal €/MW behaviour differs across architectures. In particular, infield network topology and the possibility of bidirectional flow or redundancy can influence not only CAPEX scaling but also effective annual delivery through loss and availability effects, and may therefore act as regime-shifting mechanisms rather than merely cost modifiers.</w:t>
      </w:r>
    </w:p>
    <w:p w14:paraId="6C460C04" w14:textId="77777777" w:rsidR="006A658D" w:rsidRDefault="006A658D"/>
    <w:p w14:paraId="5647F7FA" w14:textId="77777777" w:rsidR="006A658D" w:rsidRDefault="00000000">
      <w:r>
        <w:t>These subsystem differences interact through feedback loops rather than operating independently. Changes in spacing alter infield length and topology; topology influences losses and availability; effective delivered energy affects utilisation of MW_export; export sizing feeds back into the marginal value of additional generation capacity; and this, in turn, reshapes the economically optimal density. Architecture choice therefore modifies not a single parameter, but the structure of these feedback relations.</w:t>
      </w:r>
    </w:p>
    <w:p w14:paraId="22011BB2" w14:textId="77777777" w:rsidR="006A658D" w:rsidRDefault="006A658D"/>
    <w:p w14:paraId="1F904865" w14:textId="77777777" w:rsidR="006A658D" w:rsidRDefault="00000000">
      <w:pPr>
        <w:pStyle w:val="Heading2"/>
      </w:pPr>
      <w:r>
        <w:t>3.6 Structural Interaction Summary</w:t>
      </w:r>
    </w:p>
    <w:p w14:paraId="7D35FE2A" w14:textId="77777777" w:rsidR="006A658D" w:rsidRDefault="006A658D"/>
    <w:p w14:paraId="1B64894C" w14:textId="77777777" w:rsidR="006A658D" w:rsidRDefault="00000000">
      <w:r>
        <w:t>The structural distinctions across architectures can be summarised as interacting feedback chains:</w:t>
      </w:r>
    </w:p>
    <w:p w14:paraId="7AF3DBA2" w14:textId="77777777" w:rsidR="006A658D" w:rsidRDefault="006A658D"/>
    <w:p w14:paraId="783DCA70" w14:textId="77777777" w:rsidR="006A658D" w:rsidRDefault="00000000">
      <w:r>
        <w:t>Spacing → wake losses → production profile → local or central conversion sizing → peak aggregation → MW_export sizing → infrastructure scaling → LCOE and energy density.</w:t>
      </w:r>
    </w:p>
    <w:p w14:paraId="758C1CCD" w14:textId="77777777" w:rsidR="006A658D" w:rsidRDefault="006A658D"/>
    <w:p w14:paraId="1B39D6E4" w14:textId="77777777" w:rsidR="006A658D" w:rsidRDefault="00000000">
      <w:r>
        <w:t xml:space="preserve">Architectures A and B retain central peak aggregation, concentrating scaling effects in large export or conversion assets. Architecture C relocates conversion upstream, partially redistributing peak </w:t>
      </w:r>
      <w:r>
        <w:lastRenderedPageBreak/>
        <w:t>formation and modifying how marginal expansion costs interact with utilisation. The optimisation problem in Chapter 4 therefore tests whether these structurally different feedback chains generate distinct marginal regimes under transparent and calibrated assumptions.</w:t>
      </w:r>
    </w:p>
    <w:p w14:paraId="14F5AA65" w14:textId="77777777" w:rsidR="006A658D" w:rsidRDefault="006A658D"/>
    <w:p w14:paraId="2F9695B2" w14:textId="77777777" w:rsidR="006A658D" w:rsidRDefault="00000000">
      <w:pPr>
        <w:pStyle w:val="Heading2"/>
      </w:pPr>
      <w:r>
        <w:t>3.7 Implications for Quantitative Modelling</w:t>
      </w:r>
    </w:p>
    <w:p w14:paraId="3EF99F90" w14:textId="77777777" w:rsidR="006A658D" w:rsidRDefault="006A658D"/>
    <w:p w14:paraId="096B1F3F" w14:textId="77777777" w:rsidR="006A658D" w:rsidRDefault="00000000">
      <w:pPr>
        <w:pStyle w:val="Heading1"/>
      </w:pPr>
      <w:r>
        <w:t>Chapter 4 implements these feasible sets as explicit constraint and cost functions, allowing the optimisation to determine regime shifts and emergent energy density.</w:t>
      </w:r>
    </w:p>
    <w:p w14:paraId="6D9A75BF" w14:textId="77777777" w:rsidR="006A658D" w:rsidRDefault="006A658D"/>
    <w:p w14:paraId="59A413A0" w14:textId="77777777" w:rsidR="006A658D" w:rsidRDefault="00000000">
      <w:r>
        <w:t>To reflect how offshore projects are actually parametrised in planning and tender contexts, two complementary modelling modes are considered. First, a fixed-area mode: for a given allocated sea area, the model evaluates LCOE outcomes across different power densities (MW/km²) under architecture-specific export and conversion constraints (including discrete HVDC block sizing where applicable). Second, a fixed-capacity-block mode: for a given export/conversion capacity block (e.g., 2 GW HVDC standard blocks in the Dutch context), the model determines the cost-minimising configuration and the implied offshore area use required to supply that block under each architecture.</w:t>
      </w:r>
    </w:p>
    <w:p w14:paraId="0691C8E8" w14:textId="77777777" w:rsidR="006A658D" w:rsidRDefault="006A658D"/>
    <w:p w14:paraId="21D50F5A" w14:textId="77777777" w:rsidR="006A658D" w:rsidRDefault="00000000">
      <w:r>
        <w:t>Together, these modes connect the unconstrained techno-economic optimum to practical planning regimes: one where space is the binding constraint, and one where institutional capacity blocks are binding. They also make the trade-off between LCOE and MWh/km² explicit, enabling interpretation in terms of implied space value or shadow cost when required.</w:t>
      </w:r>
    </w:p>
    <w:p w14:paraId="05BAA37A" w14:textId="77777777" w:rsidR="006A658D" w:rsidRDefault="006A658D"/>
    <w:p w14:paraId="641E2023" w14:textId="77777777" w:rsidR="006A658D" w:rsidRDefault="00000000">
      <w:pPr>
        <w:pStyle w:val="Heading1"/>
      </w:pPr>
      <w:r>
        <w:t>Chapter 4 — Quantitative Implementation of Architecture-Dependent Regimes</w:t>
      </w:r>
    </w:p>
    <w:p w14:paraId="72C3CDFB" w14:textId="77777777" w:rsidR="006A658D" w:rsidRDefault="006A658D"/>
    <w:p w14:paraId="5CC20C45" w14:textId="77777777" w:rsidR="006A658D" w:rsidRDefault="00000000">
      <w:pPr>
        <w:pStyle w:val="Heading1"/>
      </w:pPr>
      <w:r>
        <w:lastRenderedPageBreak/>
        <w:t>Chapter 4 translates the structural distinctions defined in Chapter 3 into explicit mathematical and economic representations. It does not introduce new conceptual mechanisms; those were established in Chapters 2 and 3. Instead, it specifies the functional forms, parameter values, and optimisation structure required to test whether architecture-dependent scaling relations materially alter marginal regimes and optimal offshore design.</w:t>
      </w:r>
    </w:p>
    <w:p w14:paraId="1B5D9719" w14:textId="77777777" w:rsidR="006A658D" w:rsidRDefault="006A658D"/>
    <w:p w14:paraId="707A605D" w14:textId="77777777" w:rsidR="006A658D" w:rsidRDefault="00000000">
      <w:pPr>
        <w:pStyle w:val="Heading2"/>
      </w:pPr>
      <w:r>
        <w:t>4.1 Purpose, Scope, and Implementation Logic</w:t>
      </w:r>
    </w:p>
    <w:p w14:paraId="21CFB82A" w14:textId="77777777" w:rsidR="006A658D" w:rsidRDefault="006A658D"/>
    <w:p w14:paraId="38D8D7C9" w14:textId="77777777" w:rsidR="006A658D" w:rsidRDefault="00000000">
      <w:r>
        <w:t>The purpose of this chapter is implementation and verification. Where Chapter 2 defined the marginal optimisation logic and Chapter 3 defined architecture-specific feasible sets, Chapter 4 makes those structures operational.</w:t>
      </w:r>
    </w:p>
    <w:p w14:paraId="71DAFA28" w14:textId="77777777" w:rsidR="006A658D" w:rsidRDefault="006A658D"/>
    <w:p w14:paraId="78BBBCF3" w14:textId="77777777" w:rsidR="006A658D" w:rsidRDefault="00000000">
      <w:r>
        <w:t>The unit of analysis is a project-level offshore wind development from turbine to onshore interface. The objective function is LCOE, evaluated under architecture-specific constraints. Two modelling modes are implemented:</w:t>
      </w:r>
    </w:p>
    <w:p w14:paraId="554CB02F" w14:textId="77777777" w:rsidR="006A658D" w:rsidRDefault="00000000">
      <w:r>
        <w:t>1.</w:t>
      </w:r>
      <w:r>
        <w:tab/>
        <w:t>Fixed-area mode: for a given allocated offshore area (km²), the model determines the cost-minimising power density (MW/km²), export sizing, and subsystem configuration.</w:t>
      </w:r>
    </w:p>
    <w:p w14:paraId="7A0FE94A" w14:textId="77777777" w:rsidR="006A658D" w:rsidRDefault="00000000">
      <w:r>
        <w:t>2.</w:t>
      </w:r>
      <w:r>
        <w:tab/>
        <w:t>Fixed-capacity-block mode: for a given export block (e.g., 2 GW HVDC), the model determines the cost-minimising spatial configuration and implied area use.</w:t>
      </w:r>
    </w:p>
    <w:p w14:paraId="4F75C381" w14:textId="77777777" w:rsidR="006A658D" w:rsidRDefault="006A658D"/>
    <w:p w14:paraId="73D9FCDC" w14:textId="77777777" w:rsidR="006A658D" w:rsidRDefault="00000000">
      <w:r>
        <w:t>Outputs reported include LCOE, MW_gen, MW_export, power density (MW/km²), energy density (MWh/km²), utilisation of MW_export, and curtailment-by-design.</w:t>
      </w:r>
    </w:p>
    <w:p w14:paraId="0CC66B54" w14:textId="77777777" w:rsidR="006A658D" w:rsidRDefault="006A658D"/>
    <w:p w14:paraId="33101C1B" w14:textId="77777777" w:rsidR="006A658D" w:rsidRDefault="00000000">
      <w:r>
        <w:t>The chapter does not model market price formation, downstream hydrogen demand, or welfare optimisation. It tests whether structural scaling differences alone can produce distinct optimisation regimes.</w:t>
      </w:r>
    </w:p>
    <w:p w14:paraId="0C130031" w14:textId="77777777" w:rsidR="006A658D" w:rsidRDefault="006A658D"/>
    <w:p w14:paraId="4FFB1D1C" w14:textId="77777777" w:rsidR="006A658D" w:rsidRDefault="00000000">
      <w:pPr>
        <w:pStyle w:val="Heading2"/>
      </w:pPr>
      <w:r>
        <w:t>4.2 Decision Variables and Architecture-Specific Feasible Sets</w:t>
      </w:r>
    </w:p>
    <w:p w14:paraId="6F9895AF" w14:textId="77777777" w:rsidR="006A658D" w:rsidRDefault="006A658D"/>
    <w:p w14:paraId="4BB34499" w14:textId="77777777" w:rsidR="006A658D" w:rsidRDefault="00000000">
      <w:r>
        <w:t>For each architecture θ ∈ {A, B, C}, the optimisation problem is defined as:</w:t>
      </w:r>
    </w:p>
    <w:p w14:paraId="375B7C52" w14:textId="77777777" w:rsidR="006A658D" w:rsidRDefault="006A658D"/>
    <w:p w14:paraId="4BBD2E5B" w14:textId="77777777" w:rsidR="006A658D" w:rsidRDefault="00000000">
      <w:r>
        <w:t>x*(θ) = arg min_x LCOE(x; θ)</w:t>
      </w:r>
    </w:p>
    <w:p w14:paraId="33A8275C" w14:textId="77777777" w:rsidR="006A658D" w:rsidRDefault="006A658D"/>
    <w:p w14:paraId="54FAC724" w14:textId="77777777" w:rsidR="006A658D" w:rsidRDefault="00000000">
      <w:r>
        <w:t>The decision vector x includes:</w:t>
      </w:r>
    </w:p>
    <w:p w14:paraId="33B69E4C" w14:textId="77777777" w:rsidR="006A658D" w:rsidRDefault="00000000">
      <w:pPr>
        <w:pStyle w:val="ListBullet"/>
      </w:pPr>
      <w:r>
        <w:t>Turbine spacing / power density</w:t>
      </w:r>
    </w:p>
    <w:p w14:paraId="7FE3AADD" w14:textId="77777777" w:rsidR="006A658D" w:rsidRDefault="00000000">
      <w:pPr>
        <w:pStyle w:val="ListBullet"/>
      </w:pPr>
      <w:r>
        <w:t>Installed generation capacity (MW_gen)</w:t>
      </w:r>
    </w:p>
    <w:p w14:paraId="5C1ED7A5" w14:textId="77777777" w:rsidR="006A658D" w:rsidRDefault="00000000">
      <w:pPr>
        <w:pStyle w:val="ListBullet"/>
      </w:pPr>
      <w:r>
        <w:t>Export capacity (MW_export)</w:t>
      </w:r>
    </w:p>
    <w:p w14:paraId="2643BC6B" w14:textId="77777777" w:rsidR="006A658D" w:rsidRDefault="00000000">
      <w:pPr>
        <w:pStyle w:val="ListBullet"/>
      </w:pPr>
      <w:r>
        <w:t>Infield topology class</w:t>
      </w:r>
    </w:p>
    <w:p w14:paraId="0FA028CB" w14:textId="77777777" w:rsidR="006A658D" w:rsidRDefault="00000000">
      <w:pPr>
        <w:pStyle w:val="ListBullet"/>
      </w:pPr>
      <w:r>
        <w:t>For hydrogen architectures: stack sizing, stack placement (centralised or distributed), compressor rating, pipeline diameter (D), and operating pressure (P)</w:t>
      </w:r>
    </w:p>
    <w:p w14:paraId="0E49B802" w14:textId="77777777" w:rsidR="006A658D" w:rsidRDefault="006A658D"/>
    <w:p w14:paraId="3D24EA69" w14:textId="77777777" w:rsidR="006A658D" w:rsidRDefault="00000000">
      <w:r>
        <w:t>Constraints include:</w:t>
      </w:r>
    </w:p>
    <w:p w14:paraId="4C419523" w14:textId="77777777" w:rsidR="006A658D" w:rsidRDefault="00000000">
      <w:pPr>
        <w:pStyle w:val="ListBullet"/>
      </w:pPr>
      <w:r>
        <w:t>Area constraint (in fixed-area mode)</w:t>
      </w:r>
    </w:p>
    <w:p w14:paraId="0B033523" w14:textId="77777777" w:rsidR="006A658D" w:rsidRDefault="00000000">
      <w:pPr>
        <w:pStyle w:val="ListBullet"/>
      </w:pPr>
      <w:r>
        <w:t>Discrete export block constraint (HVDC 2 GW increments for Architecture A)</w:t>
      </w:r>
    </w:p>
    <w:p w14:paraId="151A35E4" w14:textId="77777777" w:rsidR="006A658D" w:rsidRDefault="00000000">
      <w:pPr>
        <w:pStyle w:val="ListBullet"/>
      </w:pPr>
      <w:r>
        <w:t>Physical bounds on spacing, pressure, and diameter</w:t>
      </w:r>
    </w:p>
    <w:p w14:paraId="29922BD2" w14:textId="77777777" w:rsidR="006A658D" w:rsidRDefault="00000000">
      <w:pPr>
        <w:pStyle w:val="ListBullet"/>
      </w:pPr>
      <w:r>
        <w:t>Turndown limits and minimum stable load constraints for electrolysers</w:t>
      </w:r>
    </w:p>
    <w:p w14:paraId="67A7CF69" w14:textId="77777777" w:rsidR="006A658D" w:rsidRDefault="006A658D"/>
    <w:p w14:paraId="2BCCCADC" w14:textId="77777777" w:rsidR="006A658D" w:rsidRDefault="00000000">
      <w:r>
        <w:t>Architecture-specific feasible sets reflect structural differences:</w:t>
      </w:r>
    </w:p>
    <w:p w14:paraId="6A8F19FC" w14:textId="77777777" w:rsidR="006A658D" w:rsidRDefault="00000000">
      <w:pPr>
        <w:pStyle w:val="ListBullet"/>
      </w:pPr>
      <w:r>
        <w:t>Architecture A (Electricity export): electrical infield, central aggregation, discrete HVDC export blocks.</w:t>
      </w:r>
    </w:p>
    <w:p w14:paraId="0EE4BE01" w14:textId="77777777" w:rsidR="006A658D" w:rsidRDefault="00000000">
      <w:pPr>
        <w:pStyle w:val="ListBullet"/>
      </w:pPr>
      <w:r>
        <w:t>Architecture B (Central hydrogen): electrical infield, central offshore electrolysis platform, pipeline export.</w:t>
      </w:r>
    </w:p>
    <w:p w14:paraId="7859DD97" w14:textId="77777777" w:rsidR="006A658D" w:rsidRDefault="00000000">
      <w:pPr>
        <w:pStyle w:val="ListBullet"/>
      </w:pPr>
      <w:r>
        <w:t>Architecture C (Turbine-integrated hydrogen): distributed electrolysis at turbine level, gaseous infield pipeline, pipeline export.</w:t>
      </w:r>
    </w:p>
    <w:p w14:paraId="2A96D0A9" w14:textId="77777777" w:rsidR="006A658D" w:rsidRDefault="006A658D"/>
    <w:p w14:paraId="76CF9EF6" w14:textId="77777777" w:rsidR="006A658D" w:rsidRDefault="00000000">
      <w:r>
        <w:t>These feasible sets determine how capacity propagates through the chain and where scaling thresholds apply.</w:t>
      </w:r>
    </w:p>
    <w:p w14:paraId="16122CB8" w14:textId="77777777" w:rsidR="006A658D" w:rsidRDefault="006A658D"/>
    <w:p w14:paraId="524A5128" w14:textId="77777777" w:rsidR="006A658D" w:rsidRDefault="00000000">
      <w:pPr>
        <w:pStyle w:val="Heading2"/>
      </w:pPr>
      <w:r>
        <w:t>4.3 Exogenous Inputs and Boundary Conditions</w:t>
      </w:r>
    </w:p>
    <w:p w14:paraId="08183BDC" w14:textId="77777777" w:rsidR="006A658D" w:rsidRDefault="006A658D"/>
    <w:p w14:paraId="24BD0F9C" w14:textId="77777777" w:rsidR="006A658D" w:rsidRDefault="00000000">
      <w:r>
        <w:t>The following elements are treated as exogenous boundary conditions:</w:t>
      </w:r>
    </w:p>
    <w:p w14:paraId="040C9F5A" w14:textId="77777777" w:rsidR="006A658D" w:rsidRDefault="00000000">
      <w:pPr>
        <w:pStyle w:val="ListBullet"/>
      </w:pPr>
      <w:r>
        <w:t>Wind resource time series (site-specific hourly data)</w:t>
      </w:r>
    </w:p>
    <w:p w14:paraId="734A04B4" w14:textId="77777777" w:rsidR="006A658D" w:rsidRDefault="00000000">
      <w:pPr>
        <w:pStyle w:val="ListBullet"/>
      </w:pPr>
      <w:r>
        <w:lastRenderedPageBreak/>
        <w:t>Distance to shore</w:t>
      </w:r>
    </w:p>
    <w:p w14:paraId="79A35264" w14:textId="77777777" w:rsidR="006A658D" w:rsidRDefault="00000000">
      <w:pPr>
        <w:pStyle w:val="ListBullet"/>
      </w:pPr>
      <w:r>
        <w:t>Water depth class and seabed assumptions (where relevant to cost class)</w:t>
      </w:r>
    </w:p>
    <w:p w14:paraId="099CC0D7" w14:textId="77777777" w:rsidR="006A658D" w:rsidRDefault="00000000">
      <w:pPr>
        <w:pStyle w:val="ListBullet"/>
      </w:pPr>
      <w:r>
        <w:t>Financing assumptions (WACC, lifetime)</w:t>
      </w:r>
    </w:p>
    <w:p w14:paraId="5D9EAAFB" w14:textId="77777777" w:rsidR="006A658D" w:rsidRDefault="00000000">
      <w:pPr>
        <w:pStyle w:val="ListBullet"/>
      </w:pPr>
      <w:r>
        <w:t>Institutional constraints such as standardised 2 GW HVDC blocks</w:t>
      </w:r>
    </w:p>
    <w:p w14:paraId="2B1245D6" w14:textId="77777777" w:rsidR="006A658D" w:rsidRDefault="006A658D"/>
    <w:p w14:paraId="770DF6BC" w14:textId="77777777" w:rsidR="006A658D" w:rsidRDefault="00000000">
      <w:r>
        <w:t>These parameters define the physical and institutional environment within which optimisation takes place. They are not decision variables but are subjected to sensitivity analysis where appropriate.</w:t>
      </w:r>
    </w:p>
    <w:p w14:paraId="6DBF7BE3" w14:textId="77777777" w:rsidR="006A658D" w:rsidRDefault="006A658D"/>
    <w:p w14:paraId="66009B63" w14:textId="77777777" w:rsidR="006A658D" w:rsidRDefault="00000000">
      <w:pPr>
        <w:pStyle w:val="Heading2"/>
      </w:pPr>
      <w:r>
        <w:t>4.4 Wind-to-Production Modelling</w:t>
      </w:r>
    </w:p>
    <w:p w14:paraId="405622C5" w14:textId="77777777" w:rsidR="006A658D" w:rsidRDefault="006A658D"/>
    <w:p w14:paraId="4380B86E" w14:textId="77777777" w:rsidR="006A658D" w:rsidRDefault="00000000">
      <w:r>
        <w:t>Wind production is modelled using site-specific wind speed time series. Turbine power output is calculated through a representative power curve. Wake losses are modelled as a function of turbine spacing using an established wake-loss representation calibrated to typical offshore layouts.</w:t>
      </w:r>
    </w:p>
    <w:p w14:paraId="3C303E23" w14:textId="77777777" w:rsidR="006A658D" w:rsidRDefault="006A658D"/>
    <w:p w14:paraId="21CC86F4" w14:textId="77777777" w:rsidR="006A658D" w:rsidRDefault="00000000">
      <w:r>
        <w:t>Spacing affects:</w:t>
      </w:r>
    </w:p>
    <w:p w14:paraId="3E6207FF" w14:textId="77777777" w:rsidR="006A658D" w:rsidRDefault="00000000">
      <w:pPr>
        <w:pStyle w:val="ListBullet"/>
      </w:pPr>
      <w:r>
        <w:t>Mean annual energy production</w:t>
      </w:r>
    </w:p>
    <w:p w14:paraId="51D994CE" w14:textId="77777777" w:rsidR="006A658D" w:rsidRDefault="00000000">
      <w:pPr>
        <w:pStyle w:val="ListBullet"/>
      </w:pPr>
      <w:r>
        <w:t>The distribution of hourly output</w:t>
      </w:r>
    </w:p>
    <w:p w14:paraId="232E9481" w14:textId="77777777" w:rsidR="006A658D" w:rsidRDefault="00000000">
      <w:pPr>
        <w:pStyle w:val="ListBullet"/>
      </w:pPr>
      <w:r>
        <w:t>Coincident peak production</w:t>
      </w:r>
    </w:p>
    <w:p w14:paraId="4D03E165" w14:textId="77777777" w:rsidR="006A658D" w:rsidRDefault="006A658D"/>
    <w:p w14:paraId="28EAB2F0" w14:textId="77777777" w:rsidR="006A658D" w:rsidRDefault="00000000">
      <w:r>
        <w:t>Thus, production profiles are partially endogenous: wind resource is exogenous, but realised production depends on spatial configuration.</w:t>
      </w:r>
    </w:p>
    <w:p w14:paraId="4EDF7375" w14:textId="77777777" w:rsidR="006A658D" w:rsidRDefault="006A658D"/>
    <w:p w14:paraId="6D5D3A46" w14:textId="77777777" w:rsidR="006A658D" w:rsidRDefault="00000000">
      <w:r>
        <w:t>Curtailment-by-design occurs when hourly production exceeds MW_export. Delivered energy is therefore:</w:t>
      </w:r>
    </w:p>
    <w:p w14:paraId="2C91896A" w14:textId="77777777" w:rsidR="006A658D" w:rsidRDefault="006A658D"/>
    <w:p w14:paraId="66517641" w14:textId="77777777" w:rsidR="006A658D" w:rsidRDefault="00000000">
      <w:r>
        <w:t>E_delivered = ∑ min(P_park(t), MW_export)</w:t>
      </w:r>
    </w:p>
    <w:p w14:paraId="5E329825" w14:textId="77777777" w:rsidR="006A658D" w:rsidRDefault="006A658D"/>
    <w:p w14:paraId="560398EF" w14:textId="77777777" w:rsidR="006A658D" w:rsidRDefault="00000000">
      <w:r>
        <w:t>This representation allows spacing and export sizing to interact dynamically in the optimisation.</w:t>
      </w:r>
    </w:p>
    <w:p w14:paraId="630EEC54" w14:textId="77777777" w:rsidR="006A658D" w:rsidRDefault="006A658D"/>
    <w:p w14:paraId="4E8D34BF" w14:textId="77777777" w:rsidR="006A658D" w:rsidRDefault="00000000">
      <w:pPr>
        <w:pStyle w:val="Heading2"/>
      </w:pPr>
      <w:r>
        <w:lastRenderedPageBreak/>
        <w:t>4.5 Subsystem Cost and Performance Functions</w:t>
      </w:r>
    </w:p>
    <w:p w14:paraId="1A2D6240" w14:textId="77777777" w:rsidR="006A658D" w:rsidRDefault="006A658D"/>
    <w:p w14:paraId="5A1EE313" w14:textId="77777777" w:rsidR="006A658D" w:rsidRDefault="00000000">
      <w:pPr>
        <w:pStyle w:val="Heading3"/>
      </w:pPr>
      <w:r>
        <w:t>4.5.1 Turbine and Support Structure</w:t>
      </w:r>
    </w:p>
    <w:p w14:paraId="6DFA4816" w14:textId="77777777" w:rsidR="006A658D" w:rsidRDefault="006A658D"/>
    <w:p w14:paraId="35AC5B52" w14:textId="77777777" w:rsidR="006A658D" w:rsidRDefault="00000000">
      <w:r>
        <w:t>Turbine CAPEX scales with MW_gen and foundation class. OPEX is represented as a percentage of CAPEX, differentiated where appropriate between electrical and hydrogen-integrated configurations.</w:t>
      </w:r>
    </w:p>
    <w:p w14:paraId="30381ED9" w14:textId="77777777" w:rsidR="006A658D" w:rsidRDefault="006A658D"/>
    <w:p w14:paraId="74043E4D" w14:textId="77777777" w:rsidR="006A658D" w:rsidRDefault="00000000">
      <w:pPr>
        <w:pStyle w:val="Heading3"/>
      </w:pPr>
      <w:r>
        <w:t>4.5.2 Infield Collection Network</w:t>
      </w:r>
    </w:p>
    <w:p w14:paraId="61D6F726" w14:textId="77777777" w:rsidR="006A658D" w:rsidRDefault="006A658D"/>
    <w:p w14:paraId="0ED44B4B" w14:textId="77777777" w:rsidR="006A658D" w:rsidRDefault="00000000">
      <w:r>
        <w:t>Infield length is calculated as a function of spacing and turbine count. For electrical architectures, string topology determines cable length and associated I²R losses. For hydrogen architectures, pipeline ladder or branched configurations determine pipe length and pressure drop.</w:t>
      </w:r>
    </w:p>
    <w:p w14:paraId="01593199" w14:textId="77777777" w:rsidR="006A658D" w:rsidRDefault="006A658D"/>
    <w:p w14:paraId="55D07AA5" w14:textId="77777777" w:rsidR="006A658D" w:rsidRDefault="00000000">
      <w:r>
        <w:t>Availability is represented using component-level availability parameters aggregated to system-level availability. No repair-time modelling is included; availability is treated parametrically but architecture-dependent.</w:t>
      </w:r>
    </w:p>
    <w:p w14:paraId="39FDF165" w14:textId="77777777" w:rsidR="006A658D" w:rsidRDefault="006A658D"/>
    <w:p w14:paraId="5E2292BF" w14:textId="77777777" w:rsidR="006A658D" w:rsidRDefault="00000000">
      <w:pPr>
        <w:pStyle w:val="Heading3"/>
      </w:pPr>
      <w:r>
        <w:t>4.5.3 Aggregation and Offshore Platforms</w:t>
      </w:r>
    </w:p>
    <w:p w14:paraId="6F64882B" w14:textId="77777777" w:rsidR="006A658D" w:rsidRDefault="006A658D"/>
    <w:p w14:paraId="7EC8D134" w14:textId="77777777" w:rsidR="006A658D" w:rsidRDefault="00000000">
      <w:r>
        <w:t>For Architecture A, offshore converter platforms and transformers are modelled with discrete cost blocks tied to export capacity.</w:t>
      </w:r>
    </w:p>
    <w:p w14:paraId="790EB432" w14:textId="77777777" w:rsidR="006A658D" w:rsidRDefault="006A658D"/>
    <w:p w14:paraId="4423C931" w14:textId="77777777" w:rsidR="006A658D" w:rsidRDefault="00000000">
      <w:r>
        <w:t>For Architecture B, central offshore electrolysis platforms introduce platform CAPEX and concentrated scaling.</w:t>
      </w:r>
    </w:p>
    <w:p w14:paraId="2BEA2D5A" w14:textId="77777777" w:rsidR="006A658D" w:rsidRDefault="006A658D"/>
    <w:p w14:paraId="51DA9349" w14:textId="77777777" w:rsidR="006A658D" w:rsidRDefault="00000000">
      <w:r>
        <w:t>For Architecture C, central electrical aggregation is reduced; gaseous manifold structures replace large electrical platforms.</w:t>
      </w:r>
    </w:p>
    <w:p w14:paraId="49513D32" w14:textId="77777777" w:rsidR="006A658D" w:rsidRDefault="006A658D"/>
    <w:p w14:paraId="4CA593A9" w14:textId="77777777" w:rsidR="006A658D" w:rsidRDefault="00000000">
      <w:pPr>
        <w:pStyle w:val="Heading3"/>
      </w:pPr>
      <w:r>
        <w:t>4.5.4 Conversion Modelling</w:t>
      </w:r>
    </w:p>
    <w:p w14:paraId="071E94D6" w14:textId="77777777" w:rsidR="006A658D" w:rsidRDefault="006A658D"/>
    <w:p w14:paraId="3B40926F" w14:textId="77777777" w:rsidR="006A658D" w:rsidRDefault="00000000">
      <w:r>
        <w:lastRenderedPageBreak/>
        <w:t>Electrolysis is modelled using a load-dependent efficiency curve with a defined turndown ratio. Stack CAPEX scales modularly. In Architecture B, stack sizing is centralised and tied to aggregated power. In Architecture C, stack sizing is distributed and optimised per turbine cluster.</w:t>
      </w:r>
    </w:p>
    <w:p w14:paraId="373E8B1C" w14:textId="77777777" w:rsidR="006A658D" w:rsidRDefault="006A658D"/>
    <w:p w14:paraId="756B8264" w14:textId="77777777" w:rsidR="006A658D" w:rsidRDefault="00000000">
      <w:r>
        <w:t>Part-load efficiency influences hydrogen output and effective export utilisation. Compressor power requirements are calculated as a function of flow and pressure ratio.</w:t>
      </w:r>
    </w:p>
    <w:p w14:paraId="387632A3" w14:textId="77777777" w:rsidR="006A658D" w:rsidRDefault="006A658D"/>
    <w:p w14:paraId="298157E1" w14:textId="77777777" w:rsidR="006A658D" w:rsidRDefault="00000000">
      <w:pPr>
        <w:pStyle w:val="Heading3"/>
      </w:pPr>
      <w:r>
        <w:t>4.5.5 Export Infrastructure</w:t>
      </w:r>
    </w:p>
    <w:p w14:paraId="62152336" w14:textId="77777777" w:rsidR="006A658D" w:rsidRDefault="006A658D"/>
    <w:p w14:paraId="5FF4AB9A" w14:textId="77777777" w:rsidR="006A658D" w:rsidRDefault="00000000">
      <w:r>
        <w:t>For Architecture A, HVDC export is modelled as discrete 2 GW blocks, each with associated offshore and onshore terminal cost.</w:t>
      </w:r>
    </w:p>
    <w:p w14:paraId="48681CBE" w14:textId="77777777" w:rsidR="006A658D" w:rsidRDefault="006A658D"/>
    <w:p w14:paraId="5D239125" w14:textId="77777777" w:rsidR="006A658D" w:rsidRDefault="00000000">
      <w:r>
        <w:t>For hydrogen architectures, pipeline capacity is calculated as a function of diameter (D) and pressure (P). CAPEX scales with diameter class and length. Compression requirements are integrated into OPEX and auxiliary load.</w:t>
      </w:r>
    </w:p>
    <w:p w14:paraId="38841667" w14:textId="77777777" w:rsidR="006A658D" w:rsidRDefault="006A658D"/>
    <w:p w14:paraId="3E5C3EB7" w14:textId="77777777" w:rsidR="006A658D" w:rsidRDefault="00000000">
      <w:r>
        <w:t>Discrete diameter classes are represented where relevant; otherwise scaling is continuous.</w:t>
      </w:r>
    </w:p>
    <w:p w14:paraId="73DECF64" w14:textId="77777777" w:rsidR="006A658D" w:rsidRDefault="006A658D"/>
    <w:p w14:paraId="45C71229" w14:textId="77777777" w:rsidR="006A658D" w:rsidRDefault="00000000">
      <w:pPr>
        <w:pStyle w:val="Heading2"/>
      </w:pPr>
      <w:r>
        <w:t>4.6 Parameterisation and Source Discipline</w:t>
      </w:r>
    </w:p>
    <w:p w14:paraId="011078DA" w14:textId="77777777" w:rsidR="006A658D" w:rsidRDefault="006A658D"/>
    <w:p w14:paraId="6FF90162" w14:textId="77777777" w:rsidR="006A658D" w:rsidRDefault="00000000">
      <w:r>
        <w:t>All cost and performance parameters are documented in a master parameter table. Each parameter is accompanied by:</w:t>
      </w:r>
    </w:p>
    <w:p w14:paraId="3EB703AA" w14:textId="77777777" w:rsidR="006A658D" w:rsidRDefault="00000000">
      <w:pPr>
        <w:pStyle w:val="ListBullet"/>
      </w:pPr>
      <w:r>
        <w:t>Baseline value</w:t>
      </w:r>
    </w:p>
    <w:p w14:paraId="0E1467C1" w14:textId="77777777" w:rsidR="006A658D" w:rsidRDefault="00000000">
      <w:pPr>
        <w:pStyle w:val="ListBullet"/>
      </w:pPr>
      <w:r>
        <w:t>Source reference or rationale</w:t>
      </w:r>
    </w:p>
    <w:p w14:paraId="3FDD062B" w14:textId="77777777" w:rsidR="006A658D" w:rsidRDefault="00000000">
      <w:pPr>
        <w:pStyle w:val="ListBullet"/>
      </w:pPr>
      <w:r>
        <w:t>Plausible variation range</w:t>
      </w:r>
    </w:p>
    <w:p w14:paraId="1D427C29" w14:textId="77777777" w:rsidR="006A658D" w:rsidRDefault="006A658D"/>
    <w:p w14:paraId="1AA1F0E3" w14:textId="77777777" w:rsidR="006A658D" w:rsidRDefault="00000000">
      <w:r>
        <w:t>Parameters are categorised as high-confidence (e.g., standardised HVDC costs), medium-confidence (industry reports), or assumed (explicitly justified).</w:t>
      </w:r>
    </w:p>
    <w:p w14:paraId="51A2EC96" w14:textId="77777777" w:rsidR="006A658D" w:rsidRDefault="006A658D"/>
    <w:p w14:paraId="725B1234" w14:textId="77777777" w:rsidR="006A658D" w:rsidRDefault="00000000">
      <w:r>
        <w:t>Sensitivity analysis tests the robustness of regime outcomes to variation within plausible ranges.</w:t>
      </w:r>
    </w:p>
    <w:p w14:paraId="2AD63B52" w14:textId="77777777" w:rsidR="006A658D" w:rsidRDefault="006A658D"/>
    <w:p w14:paraId="77AE77F3" w14:textId="77777777" w:rsidR="006A658D" w:rsidRDefault="00000000">
      <w:pPr>
        <w:pStyle w:val="Heading2"/>
      </w:pPr>
      <w:r>
        <w:lastRenderedPageBreak/>
        <w:t>4.7 Numerical Optimisation Procedure</w:t>
      </w:r>
    </w:p>
    <w:p w14:paraId="7B3CAA32" w14:textId="77777777" w:rsidR="006A658D" w:rsidRDefault="006A658D"/>
    <w:p w14:paraId="615A4935" w14:textId="77777777" w:rsidR="006A658D" w:rsidRDefault="00000000">
      <w:r>
        <w:t>The optimisation problem combines continuous and discrete variables. Discrete elements include:</w:t>
      </w:r>
    </w:p>
    <w:p w14:paraId="5FB758A2" w14:textId="77777777" w:rsidR="006A658D" w:rsidRDefault="00000000">
      <w:pPr>
        <w:pStyle w:val="ListBullet"/>
      </w:pPr>
      <w:r>
        <w:t>HVDC export blocks</w:t>
      </w:r>
    </w:p>
    <w:p w14:paraId="17D02BA6" w14:textId="77777777" w:rsidR="006A658D" w:rsidRDefault="00000000">
      <w:pPr>
        <w:pStyle w:val="ListBullet"/>
      </w:pPr>
      <w:r>
        <w:t>Pipeline diameter classes (where applicable)</w:t>
      </w:r>
    </w:p>
    <w:p w14:paraId="28274F41" w14:textId="77777777" w:rsidR="006A658D" w:rsidRDefault="006A658D"/>
    <w:p w14:paraId="07184330" w14:textId="77777777" w:rsidR="006A658D" w:rsidRDefault="00000000">
      <w:r>
        <w:t>The problem is solved using a mixed-integer optimisation framework. Convergence criteria and solution robustness are verified through repeated initialisations and sensitivity checks.</w:t>
      </w:r>
    </w:p>
    <w:p w14:paraId="48D6425B" w14:textId="77777777" w:rsidR="006A658D" w:rsidRDefault="006A658D"/>
    <w:p w14:paraId="5EBC868E" w14:textId="77777777" w:rsidR="006A658D" w:rsidRDefault="00000000">
      <w:pPr>
        <w:pStyle w:val="Heading2"/>
      </w:pPr>
      <w:r>
        <w:t>4.8 Regime Robustness Tests</w:t>
      </w:r>
    </w:p>
    <w:p w14:paraId="0182EC34" w14:textId="77777777" w:rsidR="006A658D" w:rsidRDefault="006A658D"/>
    <w:p w14:paraId="16AC289C" w14:textId="77777777" w:rsidR="006A658D" w:rsidRDefault="00000000">
      <w:r>
        <w:t>Robustness analysis evaluates whether qualitative regime patterns persist under variation in key parameters:</w:t>
      </w:r>
    </w:p>
    <w:p w14:paraId="659EB878" w14:textId="77777777" w:rsidR="006A658D" w:rsidRDefault="00000000">
      <w:pPr>
        <w:pStyle w:val="ListBullet"/>
      </w:pPr>
      <w:r>
        <w:t>Wake-loss elasticity</w:t>
      </w:r>
    </w:p>
    <w:p w14:paraId="1517CA19" w14:textId="77777777" w:rsidR="006A658D" w:rsidRDefault="00000000">
      <w:pPr>
        <w:pStyle w:val="ListBullet"/>
      </w:pPr>
      <w:r>
        <w:t>Electrolyser efficiency curve slope</w:t>
      </w:r>
    </w:p>
    <w:p w14:paraId="4CB0CB91" w14:textId="77777777" w:rsidR="006A658D" w:rsidRDefault="00000000">
      <w:pPr>
        <w:pStyle w:val="ListBullet"/>
      </w:pPr>
      <w:r>
        <w:t>HVDC block CAPEX</w:t>
      </w:r>
    </w:p>
    <w:p w14:paraId="357E5324" w14:textId="77777777" w:rsidR="006A658D" w:rsidRDefault="00000000">
      <w:pPr>
        <w:pStyle w:val="ListBullet"/>
      </w:pPr>
      <w:r>
        <w:t>Pipeline scaling exponent</w:t>
      </w:r>
    </w:p>
    <w:p w14:paraId="4A486145" w14:textId="77777777" w:rsidR="006A658D" w:rsidRDefault="00000000">
      <w:pPr>
        <w:pStyle w:val="ListBullet"/>
      </w:pPr>
      <w:r>
        <w:t>Availability assumptions</w:t>
      </w:r>
    </w:p>
    <w:p w14:paraId="55C8820F" w14:textId="77777777" w:rsidR="006A658D" w:rsidRDefault="006A658D"/>
    <w:p w14:paraId="08326C2B" w14:textId="77777777" w:rsidR="006A658D" w:rsidRDefault="00000000">
      <w:r>
        <w:t>Regime shifts are identified by:</w:t>
      </w:r>
    </w:p>
    <w:p w14:paraId="116C649F" w14:textId="77777777" w:rsidR="006A658D" w:rsidRDefault="00000000">
      <w:pPr>
        <w:pStyle w:val="ListBullet"/>
      </w:pPr>
      <w:r>
        <w:t>Changes in optimal power density</w:t>
      </w:r>
    </w:p>
    <w:p w14:paraId="065CE7AE" w14:textId="77777777" w:rsidR="006A658D" w:rsidRDefault="00000000">
      <w:pPr>
        <w:pStyle w:val="ListBullet"/>
      </w:pPr>
      <w:r>
        <w:t>Changes in MW_export relative to MW_gen</w:t>
      </w:r>
    </w:p>
    <w:p w14:paraId="3530AF5D" w14:textId="77777777" w:rsidR="006A658D" w:rsidRDefault="00000000">
      <w:pPr>
        <w:pStyle w:val="ListBullet"/>
      </w:pPr>
      <w:r>
        <w:t>Cross-over points in LCOE between architectures</w:t>
      </w:r>
    </w:p>
    <w:p w14:paraId="27C4629F" w14:textId="77777777" w:rsidR="006A658D" w:rsidRDefault="006A658D"/>
    <w:p w14:paraId="34082D74" w14:textId="77777777" w:rsidR="006A658D" w:rsidRDefault="00000000">
      <w:r>
        <w:t>Only results robust to plausible parameter variation are interpreted as structural.</w:t>
      </w:r>
    </w:p>
    <w:p w14:paraId="38C47DC1" w14:textId="77777777" w:rsidR="006A658D" w:rsidRDefault="006A658D"/>
    <w:p w14:paraId="65191AF2" w14:textId="77777777" w:rsidR="006A658D" w:rsidRDefault="00000000">
      <w:pPr>
        <w:pStyle w:val="Heading2"/>
      </w:pPr>
      <w:r>
        <w:t>4.9 Output Metrics and Reporting Conventions</w:t>
      </w:r>
    </w:p>
    <w:p w14:paraId="0F2B9AD9" w14:textId="77777777" w:rsidR="006A658D" w:rsidRDefault="006A658D"/>
    <w:p w14:paraId="16E01DA6" w14:textId="77777777" w:rsidR="006A658D" w:rsidRDefault="00000000">
      <w:r>
        <w:t>Results are reported consistently using:</w:t>
      </w:r>
    </w:p>
    <w:p w14:paraId="2EDE203A" w14:textId="77777777" w:rsidR="006A658D" w:rsidRDefault="00000000">
      <w:pPr>
        <w:pStyle w:val="ListBullet"/>
      </w:pPr>
      <w:r>
        <w:t>LCOE (€/MWh)</w:t>
      </w:r>
    </w:p>
    <w:p w14:paraId="1A873062" w14:textId="77777777" w:rsidR="006A658D" w:rsidRDefault="00000000">
      <w:pPr>
        <w:pStyle w:val="ListBullet"/>
      </w:pPr>
      <w:r>
        <w:t>MW_gen and MW_export</w:t>
      </w:r>
    </w:p>
    <w:p w14:paraId="4F57D4E0" w14:textId="77777777" w:rsidR="006A658D" w:rsidRDefault="00000000">
      <w:pPr>
        <w:pStyle w:val="ListBullet"/>
      </w:pPr>
      <w:r>
        <w:lastRenderedPageBreak/>
        <w:t>Capacity factor (based on MW_gen)</w:t>
      </w:r>
    </w:p>
    <w:p w14:paraId="778E74D5" w14:textId="77777777" w:rsidR="006A658D" w:rsidRDefault="00000000">
      <w:pPr>
        <w:pStyle w:val="ListBullet"/>
      </w:pPr>
      <w:r>
        <w:t>Export utilisation (based on MW_export)</w:t>
      </w:r>
    </w:p>
    <w:p w14:paraId="2F24F8F4" w14:textId="77777777" w:rsidR="006A658D" w:rsidRDefault="00000000">
      <w:pPr>
        <w:pStyle w:val="ListBullet"/>
      </w:pPr>
      <w:r>
        <w:t>Power density (MW/km²)</w:t>
      </w:r>
    </w:p>
    <w:p w14:paraId="386F7FEF" w14:textId="77777777" w:rsidR="006A658D" w:rsidRDefault="00000000">
      <w:pPr>
        <w:pStyle w:val="ListBullet"/>
      </w:pPr>
      <w:r>
        <w:t>Energy density (MWh/km²)</w:t>
      </w:r>
    </w:p>
    <w:p w14:paraId="288BBEC1" w14:textId="77777777" w:rsidR="006A658D" w:rsidRDefault="006A658D"/>
    <w:p w14:paraId="1421BE2B" w14:textId="77777777" w:rsidR="006A658D" w:rsidRDefault="00000000">
      <w:r>
        <w:t>Definitions remain consistent with Chapter 2.</w:t>
      </w:r>
    </w:p>
    <w:p w14:paraId="6D89391B" w14:textId="77777777" w:rsidR="006A658D" w:rsidRDefault="006A658D"/>
    <w:p w14:paraId="4460B792" w14:textId="77777777" w:rsidR="006A658D" w:rsidRDefault="00000000">
      <w:pPr>
        <w:pStyle w:val="Heading2"/>
      </w:pPr>
      <w:r>
        <w:t>4.10 Interim Summary</w:t>
      </w:r>
    </w:p>
    <w:p w14:paraId="4D6F3222" w14:textId="77777777" w:rsidR="006A658D" w:rsidRDefault="006A658D"/>
    <w:p w14:paraId="3DE310E0" w14:textId="77777777" w:rsidR="006A658D" w:rsidRDefault="00000000">
      <w:pPr>
        <w:pStyle w:val="Heading1"/>
      </w:pPr>
      <w:r>
        <w:t>Chapter 4 operationalises the structural distinctions defined earlier. By implementing architecture-specific feasible sets, calibrated subsystem functions, and integrated optimisation, the analysis tests whether relocating conversion and altering scaling relations materially change marginal regimes and optimal offshore design.</w:t>
      </w:r>
    </w:p>
    <w:p w14:paraId="4B0B4900" w14:textId="77777777" w:rsidR="006A658D" w:rsidRDefault="006A658D"/>
    <w:p w14:paraId="0AFC66DC" w14:textId="77777777" w:rsidR="006A658D" w:rsidRDefault="00000000">
      <w:r>
        <w:t>The next chapter presents quantitative outcomes and interprets them in light of the structural hypothesis defined in Chapter 2.</w:t>
      </w:r>
    </w:p>
    <w:sectPr w:rsidR="006A65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54ADB"/>
    <w:multiLevelType w:val="multilevel"/>
    <w:tmpl w:val="D56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941AA"/>
    <w:multiLevelType w:val="multilevel"/>
    <w:tmpl w:val="AB3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C050A"/>
    <w:multiLevelType w:val="multilevel"/>
    <w:tmpl w:val="EBB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A5F36"/>
    <w:multiLevelType w:val="multilevel"/>
    <w:tmpl w:val="B63461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9E5D0E"/>
    <w:multiLevelType w:val="multilevel"/>
    <w:tmpl w:val="5CE6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37C63"/>
    <w:multiLevelType w:val="multilevel"/>
    <w:tmpl w:val="6FFC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10885"/>
    <w:multiLevelType w:val="multilevel"/>
    <w:tmpl w:val="23A2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F47623"/>
    <w:multiLevelType w:val="multilevel"/>
    <w:tmpl w:val="F8DE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2749D"/>
    <w:multiLevelType w:val="multilevel"/>
    <w:tmpl w:val="0DF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828C4"/>
    <w:multiLevelType w:val="multilevel"/>
    <w:tmpl w:val="35B4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71D3E"/>
    <w:multiLevelType w:val="multilevel"/>
    <w:tmpl w:val="F048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71A21"/>
    <w:multiLevelType w:val="multilevel"/>
    <w:tmpl w:val="35C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C3515"/>
    <w:multiLevelType w:val="multilevel"/>
    <w:tmpl w:val="290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E4665"/>
    <w:multiLevelType w:val="multilevel"/>
    <w:tmpl w:val="CA22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F2395"/>
    <w:multiLevelType w:val="multilevel"/>
    <w:tmpl w:val="733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F02DF"/>
    <w:multiLevelType w:val="multilevel"/>
    <w:tmpl w:val="A23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A69F9"/>
    <w:multiLevelType w:val="multilevel"/>
    <w:tmpl w:val="7E3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8411F"/>
    <w:multiLevelType w:val="multilevel"/>
    <w:tmpl w:val="F096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C1416"/>
    <w:multiLevelType w:val="multilevel"/>
    <w:tmpl w:val="787A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C6157"/>
    <w:multiLevelType w:val="multilevel"/>
    <w:tmpl w:val="40D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04232"/>
    <w:multiLevelType w:val="multilevel"/>
    <w:tmpl w:val="77B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07F4F"/>
    <w:multiLevelType w:val="multilevel"/>
    <w:tmpl w:val="BD8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49567B"/>
    <w:multiLevelType w:val="multilevel"/>
    <w:tmpl w:val="0F8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92512"/>
    <w:multiLevelType w:val="multilevel"/>
    <w:tmpl w:val="CA36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D3379"/>
    <w:multiLevelType w:val="multilevel"/>
    <w:tmpl w:val="B97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7288C"/>
    <w:multiLevelType w:val="multilevel"/>
    <w:tmpl w:val="8C4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4B2CAF"/>
    <w:multiLevelType w:val="multilevel"/>
    <w:tmpl w:val="CBDA29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1D09A8"/>
    <w:multiLevelType w:val="multilevel"/>
    <w:tmpl w:val="20A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A7561"/>
    <w:multiLevelType w:val="multilevel"/>
    <w:tmpl w:val="BE0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E1113E"/>
    <w:multiLevelType w:val="multilevel"/>
    <w:tmpl w:val="5BC89F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A368ED"/>
    <w:multiLevelType w:val="multilevel"/>
    <w:tmpl w:val="156C39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51DD8"/>
    <w:multiLevelType w:val="multilevel"/>
    <w:tmpl w:val="1F7E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40C59"/>
    <w:multiLevelType w:val="multilevel"/>
    <w:tmpl w:val="A45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8385A"/>
    <w:multiLevelType w:val="multilevel"/>
    <w:tmpl w:val="0C5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597000">
    <w:abstractNumId w:val="8"/>
  </w:num>
  <w:num w:numId="2" w16cid:durableId="1954556459">
    <w:abstractNumId w:val="6"/>
  </w:num>
  <w:num w:numId="3" w16cid:durableId="2029258087">
    <w:abstractNumId w:val="5"/>
  </w:num>
  <w:num w:numId="4" w16cid:durableId="1207644142">
    <w:abstractNumId w:val="4"/>
  </w:num>
  <w:num w:numId="5" w16cid:durableId="36929265">
    <w:abstractNumId w:val="7"/>
  </w:num>
  <w:num w:numId="6" w16cid:durableId="739526532">
    <w:abstractNumId w:val="3"/>
  </w:num>
  <w:num w:numId="7" w16cid:durableId="490753539">
    <w:abstractNumId w:val="2"/>
  </w:num>
  <w:num w:numId="8" w16cid:durableId="692998953">
    <w:abstractNumId w:val="1"/>
  </w:num>
  <w:num w:numId="9" w16cid:durableId="1463427732">
    <w:abstractNumId w:val="0"/>
  </w:num>
  <w:num w:numId="10" w16cid:durableId="107550199">
    <w:abstractNumId w:val="26"/>
  </w:num>
  <w:num w:numId="11" w16cid:durableId="1131902928">
    <w:abstractNumId w:val="34"/>
  </w:num>
  <w:num w:numId="12" w16cid:durableId="1496804556">
    <w:abstractNumId w:val="31"/>
  </w:num>
  <w:num w:numId="13" w16cid:durableId="2132749190">
    <w:abstractNumId w:val="15"/>
  </w:num>
  <w:num w:numId="14" w16cid:durableId="1878464912">
    <w:abstractNumId w:val="37"/>
  </w:num>
  <w:num w:numId="15" w16cid:durableId="631860001">
    <w:abstractNumId w:val="35"/>
  </w:num>
  <w:num w:numId="16" w16cid:durableId="296644742">
    <w:abstractNumId w:val="21"/>
  </w:num>
  <w:num w:numId="17" w16cid:durableId="764689861">
    <w:abstractNumId w:val="12"/>
  </w:num>
  <w:num w:numId="18" w16cid:durableId="1127820193">
    <w:abstractNumId w:val="40"/>
  </w:num>
  <w:num w:numId="19" w16cid:durableId="1199969478">
    <w:abstractNumId w:val="39"/>
  </w:num>
  <w:num w:numId="20" w16cid:durableId="1812405735">
    <w:abstractNumId w:val="17"/>
  </w:num>
  <w:num w:numId="21" w16cid:durableId="1771706607">
    <w:abstractNumId w:val="38"/>
  </w:num>
  <w:num w:numId="22" w16cid:durableId="469521127">
    <w:abstractNumId w:val="22"/>
  </w:num>
  <w:num w:numId="23" w16cid:durableId="1728525865">
    <w:abstractNumId w:val="24"/>
  </w:num>
  <w:num w:numId="24" w16cid:durableId="915241216">
    <w:abstractNumId w:val="11"/>
  </w:num>
  <w:num w:numId="25" w16cid:durableId="25297916">
    <w:abstractNumId w:val="33"/>
  </w:num>
  <w:num w:numId="26" w16cid:durableId="1807820559">
    <w:abstractNumId w:val="9"/>
  </w:num>
  <w:num w:numId="27" w16cid:durableId="1267889764">
    <w:abstractNumId w:val="18"/>
  </w:num>
  <w:num w:numId="28" w16cid:durableId="467281330">
    <w:abstractNumId w:val="23"/>
  </w:num>
  <w:num w:numId="29" w16cid:durableId="1239167735">
    <w:abstractNumId w:val="36"/>
  </w:num>
  <w:num w:numId="30" w16cid:durableId="1659458892">
    <w:abstractNumId w:val="41"/>
  </w:num>
  <w:num w:numId="31" w16cid:durableId="1826430897">
    <w:abstractNumId w:val="10"/>
  </w:num>
  <w:num w:numId="32" w16cid:durableId="441195202">
    <w:abstractNumId w:val="14"/>
  </w:num>
  <w:num w:numId="33" w16cid:durableId="967127544">
    <w:abstractNumId w:val="25"/>
  </w:num>
  <w:num w:numId="34" w16cid:durableId="1302689493">
    <w:abstractNumId w:val="32"/>
  </w:num>
  <w:num w:numId="35" w16cid:durableId="1564877548">
    <w:abstractNumId w:val="19"/>
  </w:num>
  <w:num w:numId="36" w16cid:durableId="1817066787">
    <w:abstractNumId w:val="42"/>
  </w:num>
  <w:num w:numId="37" w16cid:durableId="1374845310">
    <w:abstractNumId w:val="20"/>
  </w:num>
  <w:num w:numId="38" w16cid:durableId="1051540892">
    <w:abstractNumId w:val="16"/>
  </w:num>
  <w:num w:numId="39" w16cid:durableId="467165004">
    <w:abstractNumId w:val="27"/>
  </w:num>
  <w:num w:numId="40" w16cid:durableId="2021620892">
    <w:abstractNumId w:val="29"/>
  </w:num>
  <w:num w:numId="41" w16cid:durableId="1001929009">
    <w:abstractNumId w:val="28"/>
  </w:num>
  <w:num w:numId="42" w16cid:durableId="1088817545">
    <w:abstractNumId w:val="30"/>
  </w:num>
  <w:num w:numId="43" w16cid:durableId="438709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43D"/>
    <w:rsid w:val="00034616"/>
    <w:rsid w:val="0006063C"/>
    <w:rsid w:val="00131C64"/>
    <w:rsid w:val="0015074B"/>
    <w:rsid w:val="002767B2"/>
    <w:rsid w:val="0029639D"/>
    <w:rsid w:val="00326F90"/>
    <w:rsid w:val="00584F7F"/>
    <w:rsid w:val="005E4B0A"/>
    <w:rsid w:val="006A658D"/>
    <w:rsid w:val="007C3A46"/>
    <w:rsid w:val="00AA1D8D"/>
    <w:rsid w:val="00AB6047"/>
    <w:rsid w:val="00B47730"/>
    <w:rsid w:val="00B811BE"/>
    <w:rsid w:val="00BD33BF"/>
    <w:rsid w:val="00CB0664"/>
    <w:rsid w:val="00D64DC0"/>
    <w:rsid w:val="00E16E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041B5"/>
  <w14:defaultImageDpi w14:val="300"/>
  <w15:docId w15:val="{9D72C3B2-41DE-054D-828A-40397976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B811BE"/>
    <w:pPr>
      <w:spacing w:before="100" w:beforeAutospacing="1" w:after="100" w:afterAutospacing="1" w:line="240" w:lineRule="auto"/>
    </w:pPr>
    <w:rPr>
      <w:rFonts w:ascii="Times New Roman" w:eastAsia="Times New Roman" w:hAnsi="Times New Roman" w:cs="Times New Roman"/>
      <w:sz w:val="24"/>
      <w:szCs w:val="24"/>
      <w:lang w:val="en-NL" w:eastAsia="zh-CN"/>
    </w:rPr>
  </w:style>
  <w:style w:type="paragraph" w:customStyle="1" w:styleId="p2">
    <w:name w:val="p2"/>
    <w:basedOn w:val="Normal"/>
    <w:rsid w:val="00B811BE"/>
    <w:pPr>
      <w:spacing w:before="100" w:beforeAutospacing="1" w:after="100" w:afterAutospacing="1" w:line="240" w:lineRule="auto"/>
    </w:pPr>
    <w:rPr>
      <w:rFonts w:ascii="Times New Roman" w:eastAsia="Times New Roman" w:hAnsi="Times New Roman" w:cs="Times New Roman"/>
      <w:sz w:val="24"/>
      <w:szCs w:val="24"/>
      <w:lang w:val="en-NL" w:eastAsia="zh-CN"/>
    </w:rPr>
  </w:style>
  <w:style w:type="paragraph" w:customStyle="1" w:styleId="p3">
    <w:name w:val="p3"/>
    <w:basedOn w:val="Normal"/>
    <w:rsid w:val="00B811BE"/>
    <w:pPr>
      <w:spacing w:before="100" w:beforeAutospacing="1" w:after="100" w:afterAutospacing="1" w:line="240" w:lineRule="auto"/>
    </w:pPr>
    <w:rPr>
      <w:rFonts w:ascii="Times New Roman" w:eastAsia="Times New Roman" w:hAnsi="Times New Roman" w:cs="Times New Roman"/>
      <w:sz w:val="24"/>
      <w:szCs w:val="24"/>
      <w:lang w:val="en-NL" w:eastAsia="zh-CN"/>
    </w:rPr>
  </w:style>
  <w:style w:type="paragraph" w:customStyle="1" w:styleId="p4">
    <w:name w:val="p4"/>
    <w:basedOn w:val="Normal"/>
    <w:rsid w:val="00B811BE"/>
    <w:pPr>
      <w:spacing w:before="100" w:beforeAutospacing="1" w:after="100" w:afterAutospacing="1" w:line="240" w:lineRule="auto"/>
    </w:pPr>
    <w:rPr>
      <w:rFonts w:ascii="Times New Roman" w:eastAsia="Times New Roman" w:hAnsi="Times New Roman" w:cs="Times New Roman"/>
      <w:sz w:val="24"/>
      <w:szCs w:val="24"/>
      <w:lang w:val="en-NL" w:eastAsia="zh-CN"/>
    </w:rPr>
  </w:style>
  <w:style w:type="character" w:customStyle="1" w:styleId="s2">
    <w:name w:val="s2"/>
    <w:basedOn w:val="DefaultParagraphFont"/>
    <w:rsid w:val="00B811BE"/>
  </w:style>
  <w:style w:type="character" w:customStyle="1" w:styleId="s3">
    <w:name w:val="s3"/>
    <w:basedOn w:val="DefaultParagraphFont"/>
    <w:rsid w:val="00B81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7DB144859B4EE4CB039B18FB536882E" ma:contentTypeVersion="22" ma:contentTypeDescription="Create a new document." ma:contentTypeScope="" ma:versionID="f35f845e19e9f960c769d3eec311c6f7">
  <xsd:schema xmlns:xsd="http://www.w3.org/2001/XMLSchema" xmlns:xs="http://www.w3.org/2001/XMLSchema" xmlns:p="http://schemas.microsoft.com/office/2006/metadata/properties" xmlns:ns2="6cea53e0-2c3d-4bee-90d6-026564cf89e5" xmlns:ns3="15c92b00-d93f-4882-809f-f7c5befd140b" targetNamespace="http://schemas.microsoft.com/office/2006/metadata/properties" ma:root="true" ma:fieldsID="d2f12032b40738d4e066ed0eabdff137" ns2:_="" ns3:_="">
    <xsd:import namespace="6cea53e0-2c3d-4bee-90d6-026564cf89e5"/>
    <xsd:import namespace="15c92b00-d93f-4882-809f-f7c5befd14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DocumentID" minOccurs="0"/>
                <xsd:element ref="ns2:_Flow_SignoffStatus" minOccurs="0"/>
                <xsd:element ref="ns2:lcf76f155ced4ddcb4097134ff3c332f" minOccurs="0"/>
                <xsd:element ref="ns3:TaxCatchAll" minOccurs="0"/>
                <xsd:element ref="ns2:Statu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ea53e0-2c3d-4bee-90d6-026564cf89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DocumentID" ma:index="20" nillable="true" ma:displayName="Document ID" ma:format="Dropdown" ma:list="6cea53e0-2c3d-4bee-90d6-026564cf89e5" ma:internalName="DocumentID" ma:showField="ID">
      <xsd:simpleType>
        <xsd:restriction base="dms:Lookup"/>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89ec43a-4709-4bd5-aa9c-72cc12c08b5e" ma:termSetId="09814cd3-568e-fe90-9814-8d621ff8fb84" ma:anchorId="fba54fb3-c3e1-fe81-a776-ca4b69148c4d" ma:open="true" ma:isKeyword="false">
      <xsd:complexType>
        <xsd:sequence>
          <xsd:element ref="pc:Terms" minOccurs="0" maxOccurs="1"/>
        </xsd:sequence>
      </xsd:complexType>
    </xsd:element>
    <xsd:element name="Status" ma:index="25" nillable="true" ma:displayName="Release status" ma:format="Dropdown" ma:internalName="Status">
      <xsd:simpleType>
        <xsd:restriction base="dms:Choice">
          <xsd:enumeration value="Active"/>
          <xsd:enumeration value="Archived"/>
          <xsd:enumeration value="Obsolete"/>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c92b00-d93f-4882-809f-f7c5befd140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1baf65c-1aac-4aff-9538-66cf38d5d38b}" ma:internalName="TaxCatchAll" ma:showField="CatchAllData" ma:web="15c92b00-d93f-4882-809f-f7c5befd14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5c92b00-d93f-4882-809f-f7c5befd140b" xsi:nil="true"/>
    <lcf76f155ced4ddcb4097134ff3c332f xmlns="6cea53e0-2c3d-4bee-90d6-026564cf89e5">
      <Terms xmlns="http://schemas.microsoft.com/office/infopath/2007/PartnerControls"/>
    </lcf76f155ced4ddcb4097134ff3c332f>
    <Status xmlns="6cea53e0-2c3d-4bee-90d6-026564cf89e5" xsi:nil="true"/>
    <_Flow_SignoffStatus xmlns="6cea53e0-2c3d-4bee-90d6-026564cf89e5" xsi:nil="true"/>
    <DocumentID xmlns="6cea53e0-2c3d-4bee-90d6-026564cf89e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D25B78-B62B-427C-9D7C-E2265BD36C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ea53e0-2c3d-4bee-90d6-026564cf89e5"/>
    <ds:schemaRef ds:uri="15c92b00-d93f-4882-809f-f7c5befd14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71A00E-14A1-44CD-A5A3-10055E91B25C}">
  <ds:schemaRefs>
    <ds:schemaRef ds:uri="http://schemas.microsoft.com/sharepoint/v3/contenttype/forms"/>
  </ds:schemaRefs>
</ds:datastoreItem>
</file>

<file path=customXml/itemProps4.xml><?xml version="1.0" encoding="utf-8"?>
<ds:datastoreItem xmlns:ds="http://schemas.openxmlformats.org/officeDocument/2006/customXml" ds:itemID="{2EC1C0F9-A6ED-4B84-A5BB-B366CAE323CB}">
  <ds:schemaRefs>
    <ds:schemaRef ds:uri="http://schemas.microsoft.com/office/2006/metadata/properties"/>
    <ds:schemaRef ds:uri="http://schemas.microsoft.com/office/infopath/2007/PartnerControls"/>
    <ds:schemaRef ds:uri="15c92b00-d93f-4882-809f-f7c5befd140b"/>
    <ds:schemaRef ds:uri="6cea53e0-2c3d-4bee-90d6-026564cf89e5"/>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7745</Words>
  <Characters>52466</Characters>
  <Application>Microsoft Office Word</Application>
  <DocSecurity>0</DocSecurity>
  <Lines>1165</Lines>
  <Paragraphs>461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JWL MOBIHY</cp:lastModifiedBy>
  <cp:revision>4</cp:revision>
  <dcterms:created xsi:type="dcterms:W3CDTF">2026-03-04T13:54:00Z</dcterms:created>
  <dcterms:modified xsi:type="dcterms:W3CDTF">2026-03-04T23:58:00Z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0x01010047DB144859B4EE4CB039B18FB536882E</vt:lpwstr>
  </property>
  <property fmtid="{D5CDD505-2E9C-101B-9397-08002B2CF9AE}" pid="3" name="MediaServiceImageTags">
    <vt:lpwstr/>
  </property>
</Properties>
</file>