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ind w:left="20" w:right="3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0" w:lineRule="auto"/>
        <w:ind w:left="20" w:right="3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80" w:lineRule="auto"/>
        <w:ind w:left="20" w:right="3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after="20" w:lineRule="auto"/>
        <w:ind w:left="20" w:right="3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5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" w:lineRule="auto"/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80" w:lineRule="auto"/>
        <w:ind w:left="20" w:right="3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ind w:left="20" w:right="3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проектированию программных систем</w:t>
      </w:r>
    </w:p>
    <w:p w:rsidR="00000000" w:rsidDel="00000000" w:rsidP="00000000" w:rsidRDefault="00000000" w:rsidRPr="00000000" w14:paraId="0000000A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37.60000000000002" w:lineRule="auto"/>
        <w:ind w:left="7120" w:hanging="6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№ 13</w:t>
      </w:r>
    </w:p>
    <w:p w:rsidR="00000000" w:rsidDel="00000000" w:rsidP="00000000" w:rsidRDefault="00000000" w:rsidRPr="00000000" w14:paraId="0000001E">
      <w:pPr>
        <w:spacing w:line="237.60000000000002" w:lineRule="auto"/>
        <w:ind w:left="7120" w:hanging="62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Веренич Владислав Николаевич</w:t>
      </w:r>
    </w:p>
    <w:p w:rsidR="00000000" w:rsidDel="00000000" w:rsidP="00000000" w:rsidRDefault="00000000" w:rsidRPr="00000000" w14:paraId="0000001F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60" w:lineRule="auto"/>
        <w:ind w:left="1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780" w:before="480" w:lineRule="auto"/>
        <w:ind w:right="300"/>
        <w:rPr>
          <w:sz w:val="28"/>
          <w:szCs w:val="28"/>
        </w:rPr>
      </w:pPr>
      <w:bookmarkStart w:colFirst="0" w:colLast="0" w:name="_ejymq7g89va6" w:id="0"/>
      <w:bookmarkEnd w:id="0"/>
      <w:r w:rsidDel="00000000" w:rsidR="00000000" w:rsidRPr="00000000">
        <w:rPr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28">
      <w:pPr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4. АИС «Билетный киоск»</w:t>
      </w:r>
    </w:p>
    <w:p w:rsidR="00000000" w:rsidDel="00000000" w:rsidP="00000000" w:rsidRDefault="00000000" w:rsidRPr="00000000" w14:paraId="0000002A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Билетный киоск осуществляет продажу транспортных карт пассажирам городского транспорта. Используются 4 вида карт в зависимости от вида транспорта (автобус, трамвай, троллейбус, метро). В состав киоска входят следующие устройства: информационное табло, кнопки выбора вида транспорта, кнопки выбора ёмкости карт, хранилище денег и лоток для их выдачи, хранилище карт и лоток для их выдачи, принтер для печати чеков, сервисная консоль, линии связи со станцией обслуживания и сервером транспортной компании, устройства для чтения и записи данных на пластиковые билетные карты.</w:t>
      </w:r>
    </w:p>
    <w:p w:rsidR="00000000" w:rsidDel="00000000" w:rsidP="00000000" w:rsidRDefault="00000000" w:rsidRPr="00000000" w14:paraId="0000002B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Загрузка карт в автомат осуществляется обслуживающим персоналом. Автомат следит за наличием карт. 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</w:t>
      </w:r>
    </w:p>
    <w:p w:rsidR="00000000" w:rsidDel="00000000" w:rsidP="00000000" w:rsidRDefault="00000000" w:rsidRPr="00000000" w14:paraId="0000002C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Автомат принимает к оплате бумажные купюры и монеты. После ввода денег клиент выбирает вид транспорта нажатием на одну из четырёх кнопок. Затем клиент должен выбрать ёмкость карты, перемещаясь по списку при помощи кнопок "Вверх", "Вниз" и "Выбор". Ёмкости бывают: 1 поездка, 2 поездки, 5 поездок, 10 поездок, 20 поездок, 60 поездок, 1 день, 5 дней, 30 дней, 90 дней, 365 дней. После того как пассажир сделал свой выбор, выдача карты производится только в том случае, если имеются бланки выбранных карт, и если введённая сумма денег не меньше цены карты выбранной ёмкости. В этом случае автомат использует бланк карты из лотка, где лежат бланки нужного вида, и записывает данные о времени продажи карты и её ёмкости. Дата продажи карты и её ёмкость печатаются на чеке. Готовая карта выдаётся клиенту. Если введённая клиентом сумма превышает цену карты, вместе с картой выдаётся сдача. За один сеанс 4 клиент может купить не более одной карты.</w:t>
      </w:r>
    </w:p>
    <w:p w:rsidR="00000000" w:rsidDel="00000000" w:rsidP="00000000" w:rsidRDefault="00000000" w:rsidRPr="00000000" w14:paraId="0000002D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У киоска имеется информационное табло, на котором высвечивается текущая сумма денег, принятых к оплате, и сообщения для клиентов, такие как: «введите деньги», «выберите вид транспорта», «выберите ёмкость карты», «введённой суммы недостаточно», «закончились бланки», «заберите карту», «заберите сдачу», «заберите деньги», «добавьте сумму ... руб. чтобы получить сдачу».</w:t>
      </w:r>
    </w:p>
    <w:p w:rsidR="00000000" w:rsidDel="00000000" w:rsidP="00000000" w:rsidRDefault="00000000" w:rsidRPr="00000000" w14:paraId="0000002E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Купюры и монеты, имеющиеся в распоряжении киоска, хранятся в денежном ящике. Киоск хранит сведения о том, сколько купюр или монет какого номинала есть в ящике. Принимаются купюры по 5, 10, 20 и монеты по 1, 2, рублей, 10, 20, 50 копеек. Возможна ситуация, когда у киоска нет возможности выдать сдачу теми купюрами или монетами, что хранятся в ящике. В этом случае после нажатия на кнопку выдачи не производится выдача, а выводится сообщение, указывающее, минимальную сумму, которую надо добавить клиенту, чтобы киоск смог выдать сдачу. Например, пассажир покупает карту с 60 поездками на метро за 24 рубля, опуская 1 купюру по 20 рублей, 1 купюру по 5 рублей. Пусть в киоске есть только 2 монеты по 2 рубля, а других монет нет. Киоск мог бы выдать сдачу 2 рублевой монетой из денежного ящика. В такой ситуации автомат высвечивает сообщение «Добавьте сумму 1 руб. чтобы получить сдачу.».</w:t>
      </w:r>
    </w:p>
    <w:p w:rsidR="00000000" w:rsidDel="00000000" w:rsidP="00000000" w:rsidRDefault="00000000" w:rsidRPr="00000000" w14:paraId="0000002F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При нажатии на кнопку "Возврат" клиенту возвращаются все принятые от него к оплате деньги. Возврат денег не производился после выдачи карты. Киоск должен корректно работать при нажатии на "Возврат" во время выдачи карты.</w:t>
      </w:r>
    </w:p>
    <w:p w:rsidR="00000000" w:rsidDel="00000000" w:rsidP="00000000" w:rsidRDefault="00000000" w:rsidRPr="00000000" w14:paraId="00000030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В течение рабочего дня киоск накапливает данные о проданных картах (тип карты, ёмкость, стоимость, время покупки). В конце рабочего дня эти сведения передаются серверу транспортной компании, после чего удаляются из памяти. Задание включает в себя разработку схемы базы данных о типах карт, ценах, проданных и пополненных картах.</w:t>
      </w:r>
    </w:p>
    <w:p w:rsidR="00000000" w:rsidDel="00000000" w:rsidP="00000000" w:rsidRDefault="00000000" w:rsidRPr="00000000" w14:paraId="00000031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В специальном отделении киоска, закрываемом замком, есть сервисная консоль, которая используется обслуживающим персоналом. С консоли производится управление доступом к ящику с деньгами для изъятия/добавления купюр и монет, управление доступом к лоткам для загрузки или замены бланков карт, а также ввод данных о текущих типах карт и тарифах за проезд в память автомата. Данные включают в себя цену карт всех видов и всех ёмкостей, а также сведения о том, сколько карт в каком лотке находится.</w:t>
      </w:r>
    </w:p>
    <w:p w:rsidR="00000000" w:rsidDel="00000000" w:rsidP="00000000" w:rsidRDefault="00000000" w:rsidRPr="00000000" w14:paraId="00000032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Необходимо осуществлять следующую обработку данных:</w:t>
      </w:r>
    </w:p>
    <w:p w:rsidR="00000000" w:rsidDel="00000000" w:rsidP="00000000" w:rsidRDefault="00000000" w:rsidRPr="00000000" w14:paraId="00000033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- итоговая сумма на текущую дату;</w:t>
      </w:r>
    </w:p>
    <w:p w:rsidR="00000000" w:rsidDel="00000000" w:rsidP="00000000" w:rsidRDefault="00000000" w:rsidRPr="00000000" w14:paraId="00000034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- список проданных карт и их количество (тип, название, сумма )текущую дату;</w:t>
      </w:r>
    </w:p>
    <w:p w:rsidR="00000000" w:rsidDel="00000000" w:rsidP="00000000" w:rsidRDefault="00000000" w:rsidRPr="00000000" w14:paraId="00000035">
      <w:pPr>
        <w:spacing w:after="1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ходе выполнения задания должна быть разработана схема базы данных системы. Для БД:</w:t>
      </w:r>
    </w:p>
    <w:p w:rsidR="00000000" w:rsidDel="00000000" w:rsidP="00000000" w:rsidRDefault="00000000" w:rsidRPr="00000000" w14:paraId="00000036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Денежная единица - код, номинал, название (монеты или купюры), руб.\коп., количество;</w:t>
      </w:r>
    </w:p>
    <w:p w:rsidR="00000000" w:rsidDel="00000000" w:rsidP="00000000" w:rsidRDefault="00000000" w:rsidRPr="00000000" w14:paraId="00000037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Карты проданные - тип карты, ёмкость, стоимость, время покупки.</w:t>
      </w:r>
    </w:p>
    <w:p w:rsidR="00000000" w:rsidDel="00000000" w:rsidP="00000000" w:rsidRDefault="00000000" w:rsidRPr="00000000" w14:paraId="00000038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Карты в наличии - тип карты, ёмкость, стоимость, количество.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uo8zisj0eiyy" w:id="1"/>
      <w:bookmarkEnd w:id="1"/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TrayMoneyOutput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member function getChange()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Действительные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sum: 100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       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sum: 100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       :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sum: 100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       :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Moneyvault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member function getDenominationCount()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Assume this is the vult: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 penny: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 penny: 30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50 penny: 40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  ruble: 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  ruble: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1440"/>
        <w:gridCol w:w="1305"/>
        <w:gridCol w:w="2294"/>
        <w:tblGridChange w:id="0">
          <w:tblGrid>
            <w:gridCol w:w="3990"/>
            <w:gridCol w:w="1440"/>
            <w:gridCol w:w="1305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Действительные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getDenominationCount(denomination_10penny)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getDenominationCount(denomination_20penny)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getDenominationCount(denomination_50penny)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/>
      </w:pPr>
      <w:bookmarkStart w:colFirst="0" w:colLast="0" w:name="_vj3v6frbpajh" w:id="2"/>
      <w:bookmarkEnd w:id="2"/>
      <w:r w:rsidDel="00000000" w:rsidR="00000000" w:rsidRPr="00000000">
        <w:rPr>
          <w:rtl w:val="0"/>
        </w:rPr>
        <w:t xml:space="preserve">Integration testing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Возможность отмены покупки билета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Возможность выбирать транспорта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Возможность выбирать емкость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Возможность входить в систему под разными пользователями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Возможность использования системы несколькими пользователями без падения приложения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7vkt6925812u" w:id="3"/>
      <w:bookmarkEnd w:id="3"/>
      <w:r w:rsidDel="00000000" w:rsidR="00000000" w:rsidRPr="00000000">
        <w:rPr>
          <w:rtl w:val="0"/>
        </w:rPr>
        <w:t xml:space="preserve">System testing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LoginForm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Let’s say admin login and password are the following: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login        : verenich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password: vladIsTheBest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1440"/>
        <w:gridCol w:w="1305"/>
        <w:gridCol w:w="2294"/>
        <w:tblGridChange w:id="0">
          <w:tblGrid>
            <w:gridCol w:w="3990"/>
            <w:gridCol w:w="1440"/>
            <w:gridCol w:w="1305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Действительные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login        : verenich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password: vladIsTheBest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login        : verenich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password: vladIsTheBest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login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login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login        : verenich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vladIsTheBest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login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login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rPr/>
      </w:pPr>
      <w:bookmarkStart w:colFirst="0" w:colLast="0" w:name="_5d6jf3kms2ho" w:id="4"/>
      <w:bookmarkEnd w:id="4"/>
      <w:r w:rsidDel="00000000" w:rsidR="00000000" w:rsidRPr="00000000">
        <w:rPr>
          <w:rtl w:val="0"/>
        </w:rPr>
        <w:t xml:space="preserve">Acceptance testing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a2a2a"/>
                <w:shd w:fill="cccccc" w:val="clear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a2a2a"/>
                <w:shd w:fill="cccccc" w:val="clear"/>
                <w:rtl w:val="0"/>
              </w:rPr>
              <w:t xml:space="preserve">Результат теста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Открыть страницу "Вход в систему"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Окно "Вход в систему" открыто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Название окна - Вход в систему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Логотип компании отображается в правом верхнем углу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 форме 2 поля - Имя и Пароль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Кнопка Вход доступна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Ссылка "забыл пароль" - доступна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страницу “Купить билет”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Окно "Купить билет" открыто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Название окна - Покупка билета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Логотип компании отображается в правом верхнем углу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 форме 2 ComboBox - Транспорт, Емкость, 2 кнопки “Подтвердить”, “Отменить покупку”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страницу “Пополнить хранилище карт”(для менеджера по снабжению)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Окно "Пополнить хранилище карт" открыто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Название окна - Пополнение хранилища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Логотип компании отображается в правом верхнем углу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 форме счетчики кол-ва карт всех типов емкостей.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1 кнопка “Закончить пополнение”.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страницу “Установить тарифы”(для администратора)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Окно "Установить тарифы" открыто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Название окна - Тарифы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Логотип компании отображается в правом верхнем углу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0"/>
                <w:szCs w:val="20"/>
                <w:shd w:fill="fafcff" w:val="clear"/>
                <w:rtl w:val="0"/>
              </w:rPr>
              <w:t xml:space="preserve">- На форме располагается таблица с 2 ComboBox(для транспорта и для Емкости) при выборе комбинации транспорта и емкости значение в лейбле обновляется и показывается текущая стоимость. Имеется 2 кнопки - “Изменить”, “Подтвердить”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rPr/>
      </w:pPr>
      <w:bookmarkStart w:colFirst="0" w:colLast="0" w:name="_uf332hppytp6" w:id="5"/>
      <w:bookmarkEnd w:id="5"/>
      <w:r w:rsidDel="00000000" w:rsidR="00000000" w:rsidRPr="00000000">
        <w:rPr>
          <w:rtl w:val="0"/>
        </w:rPr>
        <w:t xml:space="preserve">Scenario testing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функциональности системы при входе в систему под разными пользователями(администратор, менеджер по снабжению)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Пополнение слота для карт(менеджер по снабжению)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тарифов для проездных документов(администратор)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D9">
      <w:pPr>
        <w:spacing w:after="160" w:lineRule="auto"/>
        <w:ind w:left="8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Технологии программирования: Учебник/В.А. Камаев, В.В. Костерин. — 2-е изд., перераб. и доп. — М.: Высш. шк., 2006. - 454 с: ил.</w:t>
      </w:r>
    </w:p>
    <w:p w:rsidR="00000000" w:rsidDel="00000000" w:rsidP="00000000" w:rsidRDefault="00000000" w:rsidRPr="00000000" w14:paraId="000000DA">
      <w:pPr>
        <w:spacing w:after="160" w:lineRule="auto"/>
        <w:ind w:left="8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Коберн. Современные методы описания функциональных требований. (2002).djvu</w:t>
      </w:r>
    </w:p>
    <w:p w:rsidR="00000000" w:rsidDel="00000000" w:rsidP="00000000" w:rsidRDefault="00000000" w:rsidRPr="00000000" w14:paraId="000000DB">
      <w:pPr>
        <w:spacing w:after="160" w:lineRule="auto"/>
        <w:ind w:left="8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Леоненков А. Самоучитель UML (2-е издание, 2004).pdf</w:t>
      </w:r>
    </w:p>
    <w:p w:rsidR="00000000" w:rsidDel="00000000" w:rsidP="00000000" w:rsidRDefault="00000000" w:rsidRPr="00000000" w14:paraId="000000DC">
      <w:pPr>
        <w:spacing w:after="160" w:lineRule="auto"/>
        <w:ind w:left="8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Гради Буч, Айвар Джекобсон, Джеймс Рамбо. UML — основы, 3-е издание</w:t>
      </w:r>
    </w:p>
    <w:p w:rsidR="00000000" w:rsidDel="00000000" w:rsidP="00000000" w:rsidRDefault="00000000" w:rsidRPr="00000000" w14:paraId="000000DD">
      <w:pPr>
        <w:spacing w:after="160" w:lineRule="auto"/>
        <w:ind w:left="86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Рамбо Джеймс. UML 2: Объектно-ориентированное моделирование и разработка</w:t>
      </w:r>
    </w:p>
    <w:p w:rsidR="00000000" w:rsidDel="00000000" w:rsidP="00000000" w:rsidRDefault="00000000" w:rsidRPr="00000000" w14:paraId="000000DE">
      <w:pPr>
        <w:spacing w:after="160" w:lineRule="auto"/>
        <w:ind w:left="86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А.М. Вендров. Объектно-ориентированный анализ и проектирование с использованием языка UML и Rational Rose (umlpracticum2004.pdf)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