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Язык PL/SQL. Типы данных(простые и RECORD). Неявное объявление переменных.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Язык PL/SQL. Типы данных (простые и RECORD):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Простые типы данных в PL/SQL включают целые числа, числа с плавающей точкой, символы, строки и т.д. Они используются для хранения значений.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Тип данных RECORD позволяет создавать пользовательские структуры данных, объединяя несколько полей в одном объекте.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Язык PL/SQL. Хранимые процедуры и функции.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Хранимые процедуры и функции в PL/SQL представляют собой блоки кода, которые могут быть вызваны и выполняться в базе данных.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Процедуры выполняют действия, а функции возвращают значения.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Они используются для повторного использования кода, улучшения производительности и обеспечения безопасности данных.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Язык PL/SQL. Курсоры, команды для работы с курсорами. Атрибуты курсоров. Неявные курсоры и их атрибуты.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Неявные курсоры и их атрибуты: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*Курсоры в PL/SQL используются для обработки результатов запросов к базе данных.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*Команды для работы с курсорами включают открытие, закрытие, получение данных и перемещение по результатам запроса.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*Атрибуты курсоров предоставляют информацию о состоянии и результате работы курсора.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*Неявные курсоры автоматически создаются при выполнении запросов SELECT, а их атрибуты могут быть использованы для доступа к данным.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Язык PL/SQL. Пакеты. Схема на запись и схема на чтение.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Пакеты в PL/SQL позволяют группировать связанные процедуры, функции, типы данных и другие объекты в одной единице.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Схема на запись определяет, какие объекты пакета могут изменять данные в базе данных.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Схема на чтение определяет, какие объекты пакета могут только читать данные из базы данных.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Пакеты используются для организации кода, повышения модульности и обеспечения безопасности данных.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5.Язык PL/SQL. Механизм обработки исключений в PL/SQL. Пользовательские исключения.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Механизм обработки исключений в PL/SQL позволяет обрабатывать ошибки и исключительные ситуации в коде.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Пользовательские исключения - это исключения, созданные и определенные пользователем для обработки конкретных ситуаций.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блоке кода PL/SQL можно определить обработчики исключений, которые выполняют определенные действия при возникновении ошибки.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Язык PL/SQL. Триггеры. Виды триггеров. Псевдозаписи и триггерные предикаты.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Триггеры в PL/SQL - это блоки кода, которые автоматически выполняются при определенных событиях, таких как вставка, обновление или удаление данных.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Виды триггеров включают триггеры до и после события, триггеры для строки или столбца, триггеры на уровне таблицы или базы данных.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Псевдозаписи в триггерах представляют старые и новые значения строк, которые вызвали триггер.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Триггерные предикаты - это условия, определяющие, когда триггер должен сработать.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7.Язык PL/SQL. Триггеры. Мутирующие таблицы.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Мутирующие таблицы в PL/SQL - это таблицы, на которые выполняется операция внутри триггера.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При обработке триггера на мутирующую таблицу возникает ошибка мутирования таблицы.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Чтение или модификация данных в той же таблице, на которую наложен триггер, требует специальной обработки, чтобы избежать ошибки мутирования таблицы.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Основные понятия и определения интеграции данных. Методы интеграции данных. Схема на запись и схема на чтение.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Схема на чтение определяет, какие объекты и операции позволяют получать доступ к данным в интегрированной системе без возможности их изменения.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схеме на чтение предоставляются различные представления данных для анализа, отчетности и принятия решений.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Методы интеграции данных могут включать синхронную и асинхронную репликацию, использование ETL-процессов, применение виртуальных таблиц и другие подходы.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Цель интеграции данных - обеспечить консистентность, точность и доступность данных из разных источников для целей анализа и принятия решений.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 Характеристики OLAP и OLTP систем. Сравнительный анализ OLAP и OLTP. Схема на запись и схема на чтение.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OLAP (Online Analytical Processing) - это технология обработки данных, предназначенная для анализа больших объемов данных и поддержки принятия стратегических решений.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OLTP (Online Transaction Processing) - это технология обработки транзакций в реальном времени, используемая для выполнения операций в рамках бизнес-процессов.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OLAP-системы ориентированы на сложные аналитические запросы и могут работать с большими объемами данных.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OLTP-системы ориентированы на операции ввода-вывода, обновление и получение небольших объемов данных.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Схема на запись (write schema) в OLAP и OLTP системах определяет структуру хранения данных и правила изменения данных.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Схема на чтение (read schema) в OLAP и OLTP системах определяет представления и доступ к данным для аналитических запросов и операций чтения.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 Понятие строковых и колоночных СУБД. Сравнительный анализ строковых и колоночных СУБД.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Строковая СУБД (строковая база данных) организует данные по строкам, где каждая строка представляет собой запись, содержащую значения всех полей.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Колоночная СУБД (колоночная база данных) организует данные по столбцам, где каждый столбец представляет собой отдельное поле, содержащее значения для всех записей.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Строковые СУБД обычно лучше подходят для операций чтения и записи целых записей, а колоночные СУБД эффективнее при аналитических запросах, где требуется обработка большого объема данных.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Строковые СУБД обеспечивают более быстрый доступ к отдельным записям, а колоночные СУБД - более эффективное сжатие данных и операции агрегации.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11. Методологии построения архитектуры хранилища данных. Модель Инмона.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Модель Инмона (Inmon) предлагает построение хранилища данных с централизованным подходом.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модели Инмона создается центральное хранилище данных (Enterprise Data Warehouse), которое является источником для всех аналитических и отчетных запросов.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Центральное хранилище данных строится на основе нормализованной модели данных, где данные разделены на отдельные таблицы для обеспечения целостности и удобства обновления.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модели Инмона акцент делается на интеграции и качестве данных, а также на однозначном источнике правды.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12.Методологии построения архитектуры хранилища данных. Модель Кимбалла.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Каждая звездная схема содержит фактовую таблицу, которая хранит числовые данные, и связанные с ней измерительные таблицы, которые содержат описательные атрибуты.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Модель Кимбалла ориентирована на быстрый доступ к данным и удовлетворение аналитических запросов.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модели Кимбалла используются понятия измерений, фактов и иерархий для организации данных.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Модель Кимбалла облегчает понимание данных и упрощает процесс анализа и отчетности.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Важным аспектом модели Кимбалла является процесс ETL (извлечение, преобразование и загрузка), который позволяет переносить данные из операционных систем в хранилище данных.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13. Определение транзакции. ACID-свойства. Команды управления транзакциями. Ошибки параллельной работы транзакций.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Транзакция представляет собой логическую единицу работы с базой данных, которая состоит из одной или нескольких операций.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Транзакция должна быть атомарной, целостной, изолированной и устойчивой (обладать свойствами ACID).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ACID-свойства транзакций: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Атомарность: Транзакция считается атомарной, если все ее операции либо выполняются полностью, либо не выполняются вообще.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Целостность: Транзакция должна сохранять целостность данных. После успешного завершения транзакции, база данных должна оставаться в согласованном состоянии.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Изолированность: Каждая транзакция должна работать изолированно от других транзакций, чтобы предотвратить взаимное влияние операций.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Устойчивость: Успешно завершенная транзакция должна сохранять свои изменения в базе данных даже в случае сбоя системы.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Команды управления транзакциями: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COMMIT: Завершает текущую транзакцию и сохраняет все изменения в базе данных.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ROLLBACK: Отменяет текущую транзакцию и возвращает базу данных к состоянию перед началом транзакции.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SAVEPOINT: Устанавливает точку сохранения внутри текущей транзакции, чтобы можно было откатиться к этой точке при необходимости.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Ошибки параллельной работы транзакций: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Потерянное обновление (Lost Update): Когда две или более транзакции пытаются обновить одни и те же данные, и результатом является потеря одного из обновлений.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Грязное чтение (Dirty Read): Когда одна транзакция считывает данные, которые были изменены другой транзакцией, но позже отменены (откатлены).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Неповторяемое чтение (Non-repeatable Read): Когда одна транзакция выполняет повторное чтение данных и видит, что они были изменены другой транзакцией.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Фантомное чтение (Phantom Read): Когда одна транзакция выполняет чтение данных и видит новые записи, которых ранее не было.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14. Основные этапы ETL-процесса. Понятие «плохих данных». Инструменты для визуализации данных.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Трансформация (Transformation): Преобразование и очистка данных, включая фильтрацию, агрегацию, объединение и преобразование форматов данных. Цель этого этапа - обеспечить соответствие данных требованиям и стандартам целевой системы.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Загрузка (Loading): Загрузка преобразованных данных в целевую систему, такую как хранилище данных или целевая база данных. Этот этап может включать создание таблиц, индексов и других структур данных.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Валидация (Validation): Проверка данных на соответствие заданным правилам и бизнес-правилам. Валидация может включать проверку целостности данных, проверку на дубликаты, проверку форматов и т. д.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Обновление (Update): Обновление целевой системы с учетом новых данных, полученных в результате ETL-процесса. Обновление может быть выполнено по расписанию или при наступлении определенных событий.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Понятие "плохих данных":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Под "плохими данными" понимаются данные, которые содержат ошибки, отсутствующую или несогласованную информацию, аномалии или несоответствия форматам и стандартам.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Плохие данные могут быть причиной некорректных аналитических результатов, ошибок в принятии решений и негативного влияния на работу системы.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Инструменты для визуализации данных: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Инструменты для визуализации данных позволяют представить данные в графическом виде, чтобы облегчить понимание и анализ информации.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Некоторые популярные инструменты для визуализации данных включают Tableau, Power BI, QlikView, Google Data Studio и др.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Визуализация данных может включать диаграммы, графики, схемы, интерактивные панели управления и другие элементы, которые помогают пользователю получить представление о данных и выявить закономерности и тренды.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