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Segoe UI" w:hAnsi="Segoe UI"/>
          <w:b/>
          <w:color w:val="1B365D"/>
          <w:sz w:val="56"/>
        </w:rPr>
        <w:t>RAKSHASTRA AGENTIC FRAMEWORK</w:t>
      </w:r>
    </w:p>
    <w:p>
      <w:pPr>
        <w:spacing w:before="0" w:after="400"/>
        <w:jc w:val="center"/>
      </w:pPr>
      <w:r>
        <w:rPr>
          <w:rFonts w:ascii="Segoe UI" w:hAnsi="Segoe UI"/>
          <w:i/>
          <w:color w:val="555555"/>
          <w:sz w:val="26"/>
        </w:rPr>
        <w:t>Next-Generation Multi-Platform Intelligent Agent Core</w:t>
      </w:r>
    </w:p>
    <w:p>
      <w:pPr>
        <w:spacing w:after="400"/>
      </w:pPr>
    </w:p>
    <w:tbl>
      <w:tblPr>
        <w:tblW w:type="auto" w:w="0"/>
        <w:tblLayout w:type="fixed"/>
        <w:tblLook w:firstColumn="1" w:firstRow="1" w:lastColumn="0" w:lastRow="0" w:noHBand="0" w:noVBand="1" w:val="04A0"/>
      </w:tblPr>
      <w:tblGrid>
        <w:gridCol w:w="9360"/>
      </w:tblGrid>
      <w:tr>
        <w:tc>
          <w:tcPr>
            <w:tcW w:type="dxa" w:w="9360"/>
            <w:shd w:fill="F0F4F8"/>
            <w:tcMar>
              <w:top w:w="200" w:type="dxa"/>
              <w:bottom w:w="200" w:type="dxa"/>
              <w:left w:w="250" w:type="dxa"/>
              <w:right w:w="250" w:type="dxa"/>
            </w:tcMar>
            <w:tcBorders>
              <w:top w:val="none"/>
              <w:left w:val="single" w:sz="24" w:space="0" w:color="1B365D"/>
              <w:bottom w:val="none"/>
              <w:right w:val="none"/>
            </w:tcBorders>
          </w:tcPr>
          <w:p>
            <w:pPr>
              <w:spacing w:after="80"/>
            </w:pPr>
            <w:r>
              <w:rPr>
                <w:rFonts w:ascii="Segoe UI" w:hAnsi="Segoe UI"/>
                <w:b/>
                <w:color w:val="1B365D"/>
                <w:sz w:val="22"/>
              </w:rPr>
              <w:t>EXECUTIVE SUMMARY</w:t>
            </w:r>
          </w:p>
          <w:p>
            <w:pPr>
              <w:spacing w:after="0" w:line="276" w:lineRule="auto"/>
            </w:pPr>
            <w:r>
              <w:rPr>
                <w:rFonts w:ascii="Segoe UI" w:hAnsi="Segoe UI"/>
                <w:color w:val="333333"/>
                <w:sz w:val="20"/>
              </w:rPr>
              <w:t>Rakshastra is an advanced agentic framework designed to maintain a high-performance AI Agent Core capable of seamless deployment across CLI, TUI, messaging platforms (Telegram, WhatsApp, Discord, Slack, and others), and Web applications. This document outlines the core philosophies, recent implementation breakthroughs in narcotics intelligence, and the upcoming strategic goals of the Rakshastra ecosystem.</w:t>
            </w:r>
          </w:p>
        </w:tc>
      </w:tr>
    </w:tbl>
    <w:p>
      <w:pPr>
        <w:pStyle w:val="Heading1"/>
        <w:keepNext/>
        <w:spacing w:before="480" w:after="120"/>
      </w:pPr>
      <w:r>
        <w:rPr>
          <w:rFonts w:ascii="Segoe UI" w:hAnsi="Segoe UI"/>
          <w:b/>
          <w:color w:val="1B365D"/>
          <w:sz w:val="36"/>
        </w:rPr>
        <w:t>1. Core Philosophy &amp; Design Principles</w:t>
      </w:r>
    </w:p>
    <w:p>
      <w:pPr>
        <w:spacing w:line="276" w:lineRule="auto" w:after="160"/>
      </w:pPr>
      <w:r>
        <w:t>Rakshastra operates on two central design constraints designed to minimize API costs, ensure scalability, and keep the main core lightweight and secure:</w:t>
      </w:r>
    </w:p>
    <w:p>
      <w:pPr>
        <w:pStyle w:val="ListBullet"/>
        <w:spacing w:after="80"/>
      </w:pPr>
      <w:r>
        <w:rPr>
          <w:rFonts w:ascii="Segoe UI" w:hAnsi="Segoe UI"/>
          <w:b/>
        </w:rPr>
        <w:t xml:space="preserve">Sacred Prompt Caching: </w:t>
      </w:r>
      <w:r>
        <w:rPr>
          <w:rFonts w:ascii="Segoe UI" w:hAnsi="Segoe UI"/>
        </w:rPr>
        <w:t>Long-lived sessions rely heavily on prompt caching to control operational costs. Rakshastra guarantees byte-stability in the system prompt for the entire conversation lifetime, preventing cache invalidation.</w:t>
      </w:r>
    </w:p>
    <w:p>
      <w:pPr>
        <w:pStyle w:val="ListBullet"/>
        <w:spacing w:after="240"/>
      </w:pPr>
      <w:r>
        <w:rPr>
          <w:rFonts w:ascii="Segoe UI" w:hAnsi="Segoe UI"/>
          <w:b/>
        </w:rPr>
        <w:t xml:space="preserve">Core as a Narrow Waist: </w:t>
      </w:r>
      <w:r>
        <w:rPr>
          <w:rFonts w:ascii="Segoe UI" w:hAnsi="Segoe UI"/>
        </w:rPr>
        <w:t>The model tool schema is kept compact. Most domain-specific features are implemented externally via plugins, skills, or model-agnostic MCP (Model Context Protocol) servers rather than bloating the core API footprint.</w:t>
      </w:r>
    </w:p>
    <w:p>
      <w:pPr>
        <w:pStyle w:val="Heading1"/>
        <w:keepNext/>
        <w:spacing w:before="240" w:after="120"/>
      </w:pPr>
      <w:r>
        <w:rPr>
          <w:rFonts w:ascii="Segoe UI" w:hAnsi="Segoe UI"/>
          <w:b/>
          <w:color w:val="1B365D"/>
          <w:sz w:val="36"/>
        </w:rPr>
        <w:t>2. Implementation Breakthroughs &amp; Current State</w:t>
      </w:r>
    </w:p>
    <w:p>
      <w:pPr>
        <w:spacing w:line="276" w:lineRule="auto" w:after="160"/>
      </w:pPr>
      <w:r>
        <w:t>Over the recent development cycles, Rakshastra has achieved critical capabilities in OSINT classification and platform connectivity:</w:t>
      </w:r>
    </w:p>
    <w:p>
      <w:pPr>
        <w:pStyle w:val="Heading2"/>
        <w:keepNext/>
        <w:spacing w:before="160" w:after="120"/>
      </w:pPr>
      <w:r>
        <w:rPr>
          <w:rFonts w:ascii="Segoe UI" w:hAnsi="Segoe UI"/>
          <w:b/>
          <w:color w:val="4A777A"/>
          <w:sz w:val="28"/>
        </w:rPr>
        <w:t>Multi-Platform Gateway &amp; Security pairing</w:t>
      </w:r>
    </w:p>
    <w:p>
      <w:pPr>
        <w:spacing w:after="160"/>
      </w:pPr>
      <w:r>
        <w:t>The messaging gateway is now fully capable of managing over 20 channels. Security has been tightened by deploying a pairing-code approval system (e.g. CLI pairing approval for Telegram and WhatsApp), locking bot interaction to verified investigators only.</w:t>
      </w:r>
    </w:p>
    <w:p>
      <w:pPr>
        <w:pStyle w:val="Heading2"/>
        <w:keepNext/>
        <w:spacing w:before="160" w:after="120"/>
      </w:pPr>
      <w:r>
        <w:rPr>
          <w:rFonts w:ascii="Segoe UI" w:hAnsi="Segoe UI"/>
          <w:b/>
          <w:color w:val="4A777A"/>
          <w:sz w:val="28"/>
        </w:rPr>
        <w:t>Dynamic OSINT Simulation Feed</w:t>
      </w:r>
    </w:p>
    <w:p>
      <w:pPr>
        <w:spacing w:after="160"/>
      </w:pPr>
      <w:r>
        <w:t>Implemented a dynamic, topic-aware simulator feed. When scanning target accounts, Rakshastra now automatically extracts the core theme from the handle name (e.g. mobile technology, travel, gaming, or drug supply). It produces benign mock data for harmless targets and activates drug slang only when the keywords explicitly indicate illicit activities, eliminating generic false-positives.</w:t>
      </w:r>
    </w:p>
    <w:p>
      <w:pPr>
        <w:pStyle w:val="Heading2"/>
        <w:keepNext/>
        <w:spacing w:before="160" w:after="120"/>
      </w:pPr>
      <w:r>
        <w:rPr>
          <w:rFonts w:ascii="Segoe UI" w:hAnsi="Segoe UI"/>
          <w:b/>
          <w:color w:val="4A777A"/>
          <w:sz w:val="28"/>
        </w:rPr>
        <w:t>Offline Classifier Training Pipeline</w:t>
      </w:r>
    </w:p>
    <w:p>
      <w:pPr>
        <w:spacing w:after="240"/>
      </w:pPr>
      <w:r>
        <w:t>Built a complete data training pipeline that ingests large-scale labeled datasets (such as a 68K record Twitter drug CSV). It extracts usernames, applies a customized stopword filter to prevent general terminology leaks, and compiles weighted JSON assets. This increased classification specificity to 100% on benign test cases.</w:t>
      </w:r>
    </w:p>
    <w:p>
      <w:pPr>
        <w:pStyle w:val="Heading1"/>
        <w:keepNext/>
        <w:spacing w:before="240" w:after="120"/>
      </w:pPr>
      <w:r>
        <w:rPr>
          <w:rFonts w:ascii="Segoe UI" w:hAnsi="Segoe UI"/>
          <w:b/>
          <w:color w:val="1B365D"/>
          <w:sz w:val="36"/>
        </w:rPr>
        <w:t>3. Future Goals &amp; Strategic Roadmap</w:t>
      </w:r>
    </w:p>
    <w:p>
      <w:pPr>
        <w:spacing w:line="276" w:lineRule="auto" w:after="160"/>
      </w:pPr>
      <w:r>
        <w:t>Looking forward, the development roadmap concentrates on expanding edge capabilities and strengthening first-party local intelligence:</w:t>
      </w:r>
    </w:p>
    <w:p>
      <w:pPr>
        <w:pStyle w:val="ListBullet"/>
        <w:spacing w:after="80"/>
      </w:pPr>
      <w:r>
        <w:rPr>
          <w:rFonts w:ascii="Segoe UI" w:hAnsi="Segoe UI"/>
          <w:b/>
        </w:rPr>
        <w:t xml:space="preserve">Model-Independent local databases: </w:t>
      </w:r>
      <w:r>
        <w:rPr>
          <w:rFonts w:ascii="Segoe UI" w:hAnsi="Segoe UI"/>
        </w:rPr>
        <w:t>Integrate SQLite FTS5 session storage and intelligence relationship graphs locally to map complex networks independent of external API connectivity.</w:t>
      </w:r>
    </w:p>
    <w:p>
      <w:pPr>
        <w:pStyle w:val="ListBullet"/>
        <w:spacing w:after="80"/>
      </w:pPr>
      <w:r>
        <w:rPr>
          <w:rFonts w:ascii="Segoe UI" w:hAnsi="Segoe UI"/>
          <w:b/>
        </w:rPr>
        <w:t xml:space="preserve">Autonomous Multi-Agent Boards: </w:t>
      </w:r>
      <w:r>
        <w:rPr>
          <w:rFonts w:ascii="Segoe UI" w:hAnsi="Segoe UI"/>
        </w:rPr>
        <w:t>Introduce Kanban dispatchers and worker plugins to allow the core agent to orchestrate subagents on specialized parallel tasks.</w:t>
      </w:r>
    </w:p>
    <w:p>
      <w:pPr>
        <w:pStyle w:val="ListBullet"/>
        <w:spacing w:after="240"/>
      </w:pPr>
      <w:r>
        <w:rPr>
          <w:rFonts w:ascii="Segoe UI" w:hAnsi="Segoe UI"/>
          <w:b/>
        </w:rPr>
        <w:t xml:space="preserve">Localized Model Tooling: </w:t>
      </w:r>
      <w:r>
        <w:rPr>
          <w:rFonts w:ascii="Segoe UI" w:hAnsi="Segoe UI"/>
        </w:rPr>
        <w:t>Widen first-class support for local model backends (like Ollama and local LLM/vision inference) to ensure absolute operational privacy.</w:t>
      </w:r>
    </w:p>
    <w:p>
      <w:pPr>
        <w:spacing w:after="240"/>
      </w:pPr>
    </w:p>
    <w:tbl>
      <w:tblPr>
        <w:tblW w:type="auto" w:w="0"/>
        <w:tblLayout w:type="autofit"/>
        <w:tblLook w:firstColumn="1" w:firstRow="1" w:lastColumn="0" w:lastRow="0" w:noHBand="0" w:noVBand="1" w:val="04A0"/>
      </w:tblPr>
      <w:tblGrid>
        <w:gridCol w:w="4680"/>
        <w:gridCol w:w="4680"/>
      </w:tblGrid>
      <w:tr>
        <w:tc>
          <w:tcPr>
            <w:tcW w:type="dxa" w:w="4680"/>
            <w:shd w:fill="1B365D"/>
            <w:tcMar>
              <w:top w:w="100" w:type="dxa"/>
              <w:bottom w:w="100" w:type="dxa"/>
              <w:left w:w="150" w:type="dxa"/>
              <w:right w:w="150" w:type="dxa"/>
            </w:tcMar>
          </w:tcPr>
          <w:p>
            <w:r>
              <w:rPr>
                <w:rFonts w:ascii="Segoe UI" w:hAnsi="Segoe UI"/>
                <w:b/>
                <w:color w:val="FFFFFF"/>
                <w:sz w:val="20"/>
              </w:rPr>
              <w:t>Metadata Field</w:t>
            </w:r>
          </w:p>
        </w:tc>
        <w:tc>
          <w:tcPr>
            <w:tcW w:type="dxa" w:w="4680"/>
            <w:shd w:fill="1B365D"/>
            <w:tcMar>
              <w:top w:w="100" w:type="dxa"/>
              <w:bottom w:w="100" w:type="dxa"/>
              <w:left w:w="150" w:type="dxa"/>
              <w:right w:w="150" w:type="dxa"/>
            </w:tcMar>
          </w:tcPr>
          <w:p>
            <w:r>
              <w:rPr>
                <w:rFonts w:ascii="Segoe UI" w:hAnsi="Segoe UI"/>
                <w:b/>
                <w:color w:val="FFFFFF"/>
                <w:sz w:val="20"/>
              </w:rPr>
              <w:t>Value / Context</w:t>
            </w:r>
          </w:p>
        </w:tc>
      </w:tr>
      <w:tr>
        <w:tc>
          <w:tcPr>
            <w:tcW w:type="dxa" w:w="4680"/>
            <w:shd w:fill="F9FBFD"/>
            <w:tcMar>
              <w:top w:w="80" w:type="dxa"/>
              <w:bottom w:w="80" w:type="dxa"/>
              <w:left w:w="150" w:type="dxa"/>
              <w:right w:w="150" w:type="dxa"/>
            </w:tcMar>
          </w:tcPr>
          <w:p>
            <w:r>
              <w:rPr>
                <w:rFonts w:ascii="Segoe UI" w:hAnsi="Segoe UI"/>
                <w:color w:val="333333"/>
                <w:sz w:val="18"/>
              </w:rPr>
              <w:t>Project Framework</w:t>
            </w:r>
          </w:p>
        </w:tc>
        <w:tc>
          <w:tcPr>
            <w:tcW w:type="dxa" w:w="4680"/>
            <w:shd w:fill="F9FBFD"/>
            <w:tcMar>
              <w:top w:w="80" w:type="dxa"/>
              <w:bottom w:w="80" w:type="dxa"/>
              <w:left w:w="150" w:type="dxa"/>
              <w:right w:w="150" w:type="dxa"/>
            </w:tcMar>
          </w:tcPr>
          <w:p>
            <w:r>
              <w:rPr>
                <w:rFonts w:ascii="Segoe UI" w:hAnsi="Segoe UI"/>
                <w:color w:val="333333"/>
                <w:sz w:val="18"/>
              </w:rPr>
              <w:t>Rakshastra Agentic Core v0.17.0</w:t>
            </w:r>
          </w:p>
        </w:tc>
      </w:tr>
      <w:tr>
        <w:tc>
          <w:tcPr>
            <w:tcW w:type="dxa" w:w="4680"/>
            <w:shd w:fill="FFFFFF"/>
            <w:tcMar>
              <w:top w:w="80" w:type="dxa"/>
              <w:bottom w:w="80" w:type="dxa"/>
              <w:left w:w="150" w:type="dxa"/>
              <w:right w:w="150" w:type="dxa"/>
            </w:tcMar>
          </w:tcPr>
          <w:p>
            <w:r>
              <w:rPr>
                <w:rFonts w:ascii="Segoe UI" w:hAnsi="Segoe UI"/>
                <w:color w:val="333333"/>
                <w:sz w:val="18"/>
              </w:rPr>
              <w:t>Documentation Date</w:t>
            </w:r>
          </w:p>
        </w:tc>
        <w:tc>
          <w:tcPr>
            <w:tcW w:type="dxa" w:w="4680"/>
            <w:shd w:fill="FFFFFF"/>
            <w:tcMar>
              <w:top w:w="80" w:type="dxa"/>
              <w:bottom w:w="80" w:type="dxa"/>
              <w:left w:w="150" w:type="dxa"/>
              <w:right w:w="150" w:type="dxa"/>
            </w:tcMar>
          </w:tcPr>
          <w:p>
            <w:r>
              <w:rPr>
                <w:rFonts w:ascii="Segoe UI" w:hAnsi="Segoe UI"/>
                <w:color w:val="333333"/>
                <w:sz w:val="18"/>
              </w:rPr>
              <w:t>July 7, 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