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Use Case Diagrams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40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VideoCo Management System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by Linwei Wang, Taariq McDonald, Randal Alexander, Haoran Zhou, Lan Zhang, and Yucheng Zhou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Lassonde School of Engineering, York University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2020-11-08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wffla8td8p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and Member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023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create accounts to become members. Database update information.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search videos either by name or from the menu.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edit their carts and make orders.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pay their orders by credit card and use loyalty points to apply discounts.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retrieve their orders to review orders.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return video, then the system and database updates the information. 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cifzynsc7r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Manager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375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create accounts to access the system. Database update information.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add/remove videos and update video information. Database update information.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retrieve orders and update order status.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get the to-be-shipped list and prepare orders.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mz709bwlhx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Use Case Diagram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update the status of an order from ‘unpaid’ to ‘paid’ and from ‘delivering’ to ‘received’.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update the user database by either adding or deleting a manager from the database. The database will then be updated.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keep track of the amount of overdue videos. The member will be notified when they have an overdue video.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Legends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86225" cy="828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Times" w:cs="Times" w:eastAsia="Times" w:hAnsi="Times"/>
        <w:b w:val="1"/>
        <w:i w:val="1"/>
        <w:sz w:val="20"/>
        <w:szCs w:val="20"/>
        <w:rtl w:val="0"/>
      </w:rPr>
      <w:t xml:space="preserve">Use Case Diagrams for VideoCo Management System</w:t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