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00" w:lineRule="auto"/>
      </w:pPr>
      <w:r>
        <w:rPr>
          <w:rFonts w:ascii="Space Mono" w:hAnsi="Space Mono"/>
          <w:b/>
          <w:i w:val="0"/>
          <w:color w:val="01796F"/>
          <w:sz w:val="22"/>
        </w:rPr>
        <w:t>MET MASTERY</w:t>
      </w:r>
    </w:p>
    <w:p>
      <w:pPr>
        <w:keepNext/>
        <w:spacing w:before="0" w:after="200" w:line="240" w:lineRule="auto"/>
      </w:pPr>
      <w:r>
        <w:rPr>
          <w:rFonts w:ascii="DM Sans" w:hAnsi="DM Sans"/>
          <w:b/>
          <w:i w:val="0"/>
          <w:color w:val="071527"/>
          <w:sz w:val="62"/>
        </w:rPr>
        <w:t>Visual identity</w:t>
        <w:br/>
        <w:t>for focused progress</w:t>
      </w:r>
    </w:p>
    <w:p>
      <w:pPr>
        <w:spacing w:before="0" w:after="560" w:line="300" w:lineRule="auto"/>
      </w:pPr>
      <w:r>
        <w:rPr>
          <w:rFonts w:ascii="DM Sans" w:hAnsi="DM Sans"/>
          <w:b w:val="0"/>
          <w:i w:val="0"/>
          <w:color w:val="3D5A6B"/>
          <w:sz w:val="28"/>
        </w:rPr>
        <w:t>A practical brand guide for the clinical English learning workspace.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single" w:sz="10" w:space="0" w:color="01796F"/>
              <w:left w:val="single" w:sz="10" w:space="0" w:color="01796F"/>
              <w:bottom w:val="single" w:sz="10" w:space="0" w:color="01796F"/>
              <w:right w:val="single" w:sz="10" w:space="0" w:color="01796F"/>
              <w:insideH w:val="single" w:sz="10" w:space="0" w:color="01796F"/>
              <w:insideV w:val="single" w:sz="10" w:space="0" w:color="01796F"/>
            </w:tcBorders>
            <w:shd w:fill="E6F7F4"/>
          </w:tcPr>
          <w:p>
            <w:pPr>
              <w:spacing w:before="0" w:after="80" w:line="276" w:lineRule="auto"/>
            </w:pPr>
            <w:r>
              <w:rPr>
                <w:rFonts w:ascii="DM Sans" w:hAnsi="DM Sans"/>
                <w:b/>
                <w:i w:val="0"/>
                <w:color w:val="016358"/>
                <w:sz w:val="22"/>
              </w:rPr>
              <w:t>Brand point of view</w:t>
            </w:r>
          </w:p>
          <w:p>
            <w:pPr>
              <w:spacing w:before="0" w:after="0" w:line="312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24"/>
              </w:rPr>
              <w:t>MET Mastery should feel like a calm, evidence-led workspace for healthcare professionals preparing for a high-stakes English exam.</w:t>
            </w:r>
          </w:p>
        </w:tc>
      </w:tr>
    </w:tbl>
    <w:p>
      <w:pPr>
        <w:spacing w:before="0" w:after="0" w:line="300" w:lineRule="auto"/>
      </w:pPr>
      <w:r>
        <w:rPr>
          <w:rFonts w:ascii="DM Sans" w:hAnsi="DM Sans"/>
          <w:b w:val="0"/>
          <w:i/>
          <w:color w:val="3D5A6B"/>
          <w:sz w:val="19"/>
        </w:rPr>
        <w:t>Prepared from the implemented MET Mastery interface and design tokens</w:t>
      </w:r>
    </w:p>
    <w:p>
      <w:pPr>
        <w:pStyle w:val="Heading1"/>
        <w:spacing w:before="360" w:after="200" w:line="276" w:lineRule="auto"/>
      </w:pPr>
      <w:r>
        <w:rPr>
          <w:rFonts w:ascii="DM Sans" w:hAnsi="DM Sans"/>
          <w:b/>
          <w:i w:val="0"/>
          <w:color w:val="01796F"/>
          <w:sz w:val="32"/>
        </w:rPr>
        <w:t>1. Brand essence</w:t>
      </w:r>
    </w:p>
    <w:p>
      <w:pPr>
        <w:spacing w:before="0" w:after="160" w:line="300" w:lineRule="auto"/>
      </w:pPr>
      <w:r>
        <w:rPr>
          <w:rFonts w:ascii="DM Sans" w:hAnsi="DM Sans"/>
          <w:b w:val="0"/>
          <w:i w:val="0"/>
          <w:color w:val="071527"/>
          <w:sz w:val="22"/>
        </w:rPr>
        <w:t>MET Mastery is a teacher-guided English preparation platform built around a clear loop: diagnose, assign targeted practice, review evidence, and improve. The visual identity should make that loop feel trustworthy, focused, and achievable.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shd w:fill="E6F7F4"/>
            <w:vAlign w:val="center"/>
          </w:tcPr>
          <w:p>
            <w:pPr>
              <w:spacing w:before="0" w:after="0" w:line="264" w:lineRule="auto"/>
            </w:pPr>
            <w:r>
              <w:rPr>
                <w:rFonts w:ascii="DM Sans" w:hAnsi="DM Sans"/>
                <w:b/>
                <w:i w:val="0"/>
                <w:color w:val="071527"/>
                <w:sz w:val="19"/>
              </w:rPr>
              <w:t>Attribute</w:t>
            </w:r>
          </w:p>
        </w:tc>
        <w:tc>
          <w:tcPr>
            <w:tcW w:type="dxa" w:w="712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shd w:fill="E6F7F4"/>
            <w:vAlign w:val="center"/>
          </w:tcPr>
          <w:p>
            <w:pPr>
              <w:spacing w:before="0" w:after="0" w:line="264" w:lineRule="auto"/>
            </w:pPr>
            <w:r>
              <w:rPr>
                <w:rFonts w:ascii="DM Sans" w:hAnsi="DM Sans"/>
                <w:b/>
                <w:i w:val="0"/>
                <w:color w:val="071527"/>
                <w:sz w:val="19"/>
              </w:rPr>
              <w:t>Direction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Personality</w:t>
            </w:r>
          </w:p>
        </w:tc>
        <w:tc>
          <w:tcPr>
            <w:tcW w:type="dxa" w:w="712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Calm, precise, professional, encouraging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Audience</w:t>
            </w:r>
          </w:p>
        </w:tc>
        <w:tc>
          <w:tcPr>
            <w:tcW w:type="dxa" w:w="712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Nurses and healthcare professionals preparing for the Michigan English Test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Emotional result</w:t>
            </w:r>
          </w:p>
        </w:tc>
        <w:tc>
          <w:tcPr>
            <w:tcW w:type="dxa" w:w="712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“I know what to do next, and I can see why it matters.”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Avoid</w:t>
            </w:r>
          </w:p>
        </w:tc>
        <w:tc>
          <w:tcPr>
            <w:tcW w:type="dxa" w:w="712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Childish gamification, noisy edtech gradients, generic medical clichés, hype</w:t>
            </w:r>
          </w:p>
        </w:tc>
      </w:tr>
    </w:tbl>
    <w:p>
      <w:pPr>
        <w:pStyle w:val="Heading1"/>
        <w:spacing w:before="360" w:after="200" w:line="276" w:lineRule="auto"/>
      </w:pPr>
      <w:r>
        <w:rPr>
          <w:rFonts w:ascii="DM Sans" w:hAnsi="DM Sans"/>
          <w:b/>
          <w:i w:val="0"/>
          <w:color w:val="01796F"/>
          <w:sz w:val="32"/>
        </w:rPr>
        <w:t>2. Color system</w:t>
      </w:r>
    </w:p>
    <w:p>
      <w:pPr>
        <w:spacing w:before="0" w:after="160" w:line="300" w:lineRule="auto"/>
      </w:pPr>
      <w:r>
        <w:rPr>
          <w:rFonts w:ascii="DM Sans" w:hAnsi="DM Sans"/>
          <w:b w:val="0"/>
          <w:i w:val="0"/>
          <w:color w:val="071527"/>
          <w:sz w:val="22"/>
        </w:rPr>
        <w:t>Teal is the identity anchor. Deep ink supplies authority. Warm ivory and cool mist create a quiet study environment. Functional colors stay muted so they communicate status without taking over the brand.</w:t>
      </w:r>
    </w:p>
    <w:p>
      <w:pPr>
        <w:pStyle w:val="Heading2"/>
        <w:spacing w:before="280" w:after="140" w:line="276" w:lineRule="auto"/>
      </w:pPr>
      <w:r>
        <w:rPr>
          <w:rFonts w:ascii="DM Sans" w:hAnsi="DM Sans"/>
          <w:b/>
          <w:i w:val="0"/>
          <w:color w:val="01796F"/>
          <w:sz w:val="26"/>
        </w:rPr>
        <w:t>Core palette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shd w:fill="071527"/>
          </w:tcPr>
          <w:p/>
        </w:tc>
        <w:tc>
          <w:tcPr>
            <w:tcW w:type="dxa" w:w="8424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</w:tcPr>
          <w:p>
            <w:pPr>
              <w:spacing w:before="0" w:after="20" w:line="264" w:lineRule="auto"/>
            </w:pPr>
            <w:r>
              <w:rPr>
                <w:rFonts w:ascii="DM Sans" w:hAnsi="DM Sans"/>
                <w:b/>
                <w:i w:val="0"/>
                <w:color w:val="071527"/>
                <w:sz w:val="21"/>
              </w:rPr>
              <w:t>MET Ink</w:t>
            </w:r>
            <w:r>
              <w:t xml:space="preserve">  </w:t>
            </w:r>
            <w:r>
              <w:rPr>
                <w:rFonts w:ascii="Space Mono" w:hAnsi="Space Mono"/>
                <w:b w:val="0"/>
                <w:i w:val="0"/>
                <w:color w:val="016358"/>
                <w:sz w:val="18"/>
              </w:rPr>
              <w:t>#071527</w:t>
            </w:r>
          </w:p>
          <w:p>
            <w:pPr>
              <w:spacing w:before="0" w:after="0" w:line="264" w:lineRule="auto"/>
            </w:pPr>
            <w:r>
              <w:rPr>
                <w:rFonts w:ascii="DM Sans" w:hAnsi="DM Sans"/>
                <w:b w:val="0"/>
                <w:i w:val="0"/>
                <w:color w:val="3D5A6B"/>
                <w:sz w:val="19"/>
              </w:rPr>
              <w:t>Primary text, dark navigation, authority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shd w:fill="01796F"/>
          </w:tcPr>
          <w:p/>
        </w:tc>
        <w:tc>
          <w:tcPr>
            <w:tcW w:type="dxa" w:w="8424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</w:tcPr>
          <w:p>
            <w:pPr>
              <w:spacing w:before="0" w:after="20" w:line="264" w:lineRule="auto"/>
            </w:pPr>
            <w:r>
              <w:rPr>
                <w:rFonts w:ascii="DM Sans" w:hAnsi="DM Sans"/>
                <w:b/>
                <w:i w:val="0"/>
                <w:color w:val="071527"/>
                <w:sz w:val="21"/>
              </w:rPr>
              <w:t>MET Teal</w:t>
            </w:r>
            <w:r>
              <w:t xml:space="preserve">  </w:t>
            </w:r>
            <w:r>
              <w:rPr>
                <w:rFonts w:ascii="Space Mono" w:hAnsi="Space Mono"/>
                <w:b w:val="0"/>
                <w:i w:val="0"/>
                <w:color w:val="016358"/>
                <w:sz w:val="18"/>
              </w:rPr>
              <w:t>#01796F</w:t>
            </w:r>
          </w:p>
          <w:p>
            <w:pPr>
              <w:spacing w:before="0" w:after="0" w:line="264" w:lineRule="auto"/>
            </w:pPr>
            <w:r>
              <w:rPr>
                <w:rFonts w:ascii="DM Sans" w:hAnsi="DM Sans"/>
                <w:b w:val="0"/>
                <w:i w:val="0"/>
                <w:color w:val="3D5A6B"/>
                <w:sz w:val="19"/>
              </w:rPr>
              <w:t>Primary actions, links, brand signature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shd w:fill="016358"/>
          </w:tcPr>
          <w:p/>
        </w:tc>
        <w:tc>
          <w:tcPr>
            <w:tcW w:type="dxa" w:w="8424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</w:tcPr>
          <w:p>
            <w:pPr>
              <w:spacing w:before="0" w:after="20" w:line="264" w:lineRule="auto"/>
            </w:pPr>
            <w:r>
              <w:rPr>
                <w:rFonts w:ascii="DM Sans" w:hAnsi="DM Sans"/>
                <w:b/>
                <w:i w:val="0"/>
                <w:color w:val="071527"/>
                <w:sz w:val="21"/>
              </w:rPr>
              <w:t>MET Teal Deep</w:t>
            </w:r>
            <w:r>
              <w:t xml:space="preserve">  </w:t>
            </w:r>
            <w:r>
              <w:rPr>
                <w:rFonts w:ascii="Space Mono" w:hAnsi="Space Mono"/>
                <w:b w:val="0"/>
                <w:i w:val="0"/>
                <w:color w:val="016358"/>
                <w:sz w:val="18"/>
              </w:rPr>
              <w:t>#016358</w:t>
            </w:r>
          </w:p>
          <w:p>
            <w:pPr>
              <w:spacing w:before="0" w:after="0" w:line="264" w:lineRule="auto"/>
            </w:pPr>
            <w:r>
              <w:rPr>
                <w:rFonts w:ascii="DM Sans" w:hAnsi="DM Sans"/>
                <w:b w:val="0"/>
                <w:i w:val="0"/>
                <w:color w:val="3D5A6B"/>
                <w:sz w:val="19"/>
              </w:rPr>
              <w:t>Hover, pressed, high-emphasis teal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shd w:fill="2DD4BF"/>
          </w:tcPr>
          <w:p/>
        </w:tc>
        <w:tc>
          <w:tcPr>
            <w:tcW w:type="dxa" w:w="8424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</w:tcPr>
          <w:p>
            <w:pPr>
              <w:spacing w:before="0" w:after="20" w:line="264" w:lineRule="auto"/>
            </w:pPr>
            <w:r>
              <w:rPr>
                <w:rFonts w:ascii="DM Sans" w:hAnsi="DM Sans"/>
                <w:b/>
                <w:i w:val="0"/>
                <w:color w:val="071527"/>
                <w:sz w:val="21"/>
              </w:rPr>
              <w:t>MET Aqua</w:t>
            </w:r>
            <w:r>
              <w:t xml:space="preserve">  </w:t>
            </w:r>
            <w:r>
              <w:rPr>
                <w:rFonts w:ascii="Space Mono" w:hAnsi="Space Mono"/>
                <w:b w:val="0"/>
                <w:i w:val="0"/>
                <w:color w:val="016358"/>
                <w:sz w:val="18"/>
              </w:rPr>
              <w:t>#2DD4BF</w:t>
            </w:r>
          </w:p>
          <w:p>
            <w:pPr>
              <w:spacing w:before="0" w:after="0" w:line="264" w:lineRule="auto"/>
            </w:pPr>
            <w:r>
              <w:rPr>
                <w:rFonts w:ascii="DM Sans" w:hAnsi="DM Sans"/>
                <w:b w:val="0"/>
                <w:i w:val="0"/>
                <w:color w:val="3D5A6B"/>
                <w:sz w:val="19"/>
              </w:rPr>
              <w:t>Progress, chart accent, active highlight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shd w:fill="FEFCF5"/>
          </w:tcPr>
          <w:p/>
        </w:tc>
        <w:tc>
          <w:tcPr>
            <w:tcW w:type="dxa" w:w="8424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</w:tcPr>
          <w:p>
            <w:pPr>
              <w:spacing w:before="0" w:after="20" w:line="264" w:lineRule="auto"/>
            </w:pPr>
            <w:r>
              <w:rPr>
                <w:rFonts w:ascii="DM Sans" w:hAnsi="DM Sans"/>
                <w:b/>
                <w:i w:val="0"/>
                <w:color w:val="071527"/>
                <w:sz w:val="21"/>
              </w:rPr>
              <w:t>MET Ivory</w:t>
            </w:r>
            <w:r>
              <w:t xml:space="preserve">  </w:t>
            </w:r>
            <w:r>
              <w:rPr>
                <w:rFonts w:ascii="Space Mono" w:hAnsi="Space Mono"/>
                <w:b w:val="0"/>
                <w:i w:val="0"/>
                <w:color w:val="016358"/>
                <w:sz w:val="18"/>
              </w:rPr>
              <w:t>#FEFCF5</w:t>
            </w:r>
          </w:p>
          <w:p>
            <w:pPr>
              <w:spacing w:before="0" w:after="0" w:line="264" w:lineRule="auto"/>
            </w:pPr>
            <w:r>
              <w:rPr>
                <w:rFonts w:ascii="DM Sans" w:hAnsi="DM Sans"/>
                <w:b w:val="0"/>
                <w:i w:val="0"/>
                <w:color w:val="3D5A6B"/>
                <w:sz w:val="19"/>
              </w:rPr>
              <w:t>Cards, learning surfaces, warm contrast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shd w:fill="F4F9FC"/>
          </w:tcPr>
          <w:p/>
        </w:tc>
        <w:tc>
          <w:tcPr>
            <w:tcW w:type="dxa" w:w="8424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</w:tcPr>
          <w:p>
            <w:pPr>
              <w:spacing w:before="0" w:after="20" w:line="264" w:lineRule="auto"/>
            </w:pPr>
            <w:r>
              <w:rPr>
                <w:rFonts w:ascii="DM Sans" w:hAnsi="DM Sans"/>
                <w:b/>
                <w:i w:val="0"/>
                <w:color w:val="071527"/>
                <w:sz w:val="21"/>
              </w:rPr>
              <w:t>MET Mist</w:t>
            </w:r>
            <w:r>
              <w:t xml:space="preserve">  </w:t>
            </w:r>
            <w:r>
              <w:rPr>
                <w:rFonts w:ascii="Space Mono" w:hAnsi="Space Mono"/>
                <w:b w:val="0"/>
                <w:i w:val="0"/>
                <w:color w:val="016358"/>
                <w:sz w:val="18"/>
              </w:rPr>
              <w:t>#F4F9FC</w:t>
            </w:r>
          </w:p>
          <w:p>
            <w:pPr>
              <w:spacing w:before="0" w:after="0" w:line="264" w:lineRule="auto"/>
            </w:pPr>
            <w:r>
              <w:rPr>
                <w:rFonts w:ascii="DM Sans" w:hAnsi="DM Sans"/>
                <w:b w:val="0"/>
                <w:i w:val="0"/>
                <w:color w:val="3D5A6B"/>
                <w:sz w:val="19"/>
              </w:rPr>
              <w:t>App background and quiet page canvas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shd w:fill="D0E2E8"/>
          </w:tcPr>
          <w:p/>
        </w:tc>
        <w:tc>
          <w:tcPr>
            <w:tcW w:type="dxa" w:w="8424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</w:tcPr>
          <w:p>
            <w:pPr>
              <w:spacing w:before="0" w:after="20" w:line="264" w:lineRule="auto"/>
            </w:pPr>
            <w:r>
              <w:rPr>
                <w:rFonts w:ascii="DM Sans" w:hAnsi="DM Sans"/>
                <w:b/>
                <w:i w:val="0"/>
                <w:color w:val="071527"/>
                <w:sz w:val="21"/>
              </w:rPr>
              <w:t>MET Border</w:t>
            </w:r>
            <w:r>
              <w:t xml:space="preserve">  </w:t>
            </w:r>
            <w:r>
              <w:rPr>
                <w:rFonts w:ascii="Space Mono" w:hAnsi="Space Mono"/>
                <w:b w:val="0"/>
                <w:i w:val="0"/>
                <w:color w:val="016358"/>
                <w:sz w:val="18"/>
              </w:rPr>
              <w:t>#D0E2E8</w:t>
            </w:r>
          </w:p>
          <w:p>
            <w:pPr>
              <w:spacing w:before="0" w:after="0" w:line="264" w:lineRule="auto"/>
            </w:pPr>
            <w:r>
              <w:rPr>
                <w:rFonts w:ascii="DM Sans" w:hAnsi="DM Sans"/>
                <w:b w:val="0"/>
                <w:i w:val="0"/>
                <w:color w:val="3D5A6B"/>
                <w:sz w:val="19"/>
              </w:rPr>
              <w:t>Dividers, inputs, card boundaries</w:t>
            </w:r>
          </w:p>
        </w:tc>
      </w:tr>
    </w:tbl>
    <w:p>
      <w:pPr>
        <w:pStyle w:val="Heading2"/>
        <w:spacing w:before="280" w:after="140" w:line="276" w:lineRule="auto"/>
      </w:pPr>
      <w:r>
        <w:rPr>
          <w:rFonts w:ascii="DM Sans" w:hAnsi="DM Sans"/>
          <w:b/>
          <w:i w:val="0"/>
          <w:color w:val="01796F"/>
          <w:sz w:val="26"/>
        </w:rPr>
        <w:t>Functional palette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DM Sans" w:hAnsi="DM Sans"/>
                <w:b/>
                <w:i w:val="0"/>
                <w:color w:val="071527"/>
                <w:sz w:val="19"/>
              </w:rPr>
              <w:t>Meaning</w:t>
            </w:r>
          </w:p>
        </w:tc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DM Sans" w:hAnsi="DM Sans"/>
                <w:b/>
                <w:i w:val="0"/>
                <w:color w:val="071527"/>
                <w:sz w:val="19"/>
              </w:rPr>
              <w:t>Hex</w:t>
            </w:r>
          </w:p>
        </w:tc>
        <w:tc>
          <w:tcPr>
            <w:tcW w:type="dxa" w:w="532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DM Sans" w:hAnsi="DM Sans"/>
                <w:b/>
                <w:i w:val="0"/>
                <w:color w:val="071527"/>
                <w:sz w:val="19"/>
              </w:rPr>
              <w:t>Use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Completed / verified</w:t>
            </w:r>
          </w:p>
        </w:tc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#2D6A4F</w:t>
            </w:r>
          </w:p>
        </w:tc>
        <w:tc>
          <w:tcPr>
            <w:tcW w:type="dxa" w:w="532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Reviewed work, success states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Attention needed</w:t>
            </w:r>
          </w:p>
        </w:tc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#6B5B3D</w:t>
            </w:r>
          </w:p>
        </w:tc>
        <w:tc>
          <w:tcPr>
            <w:tcW w:type="dxa" w:w="532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Due items, caution, incomplete evidence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Error / risk</w:t>
            </w:r>
          </w:p>
        </w:tc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#8B3A3A</w:t>
            </w:r>
          </w:p>
        </w:tc>
        <w:tc>
          <w:tcPr>
            <w:tcW w:type="dxa" w:w="532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Blocking errors, risk flags, destructive actions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Information</w:t>
            </w:r>
          </w:p>
        </w:tc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#3D5A6B</w:t>
            </w:r>
          </w:p>
        </w:tc>
        <w:tc>
          <w:tcPr>
            <w:tcW w:type="dxa" w:w="532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Neutral guidance and supporting data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Focus / practice</w:t>
            </w:r>
          </w:p>
        </w:tc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#D97706</w:t>
            </w:r>
          </w:p>
        </w:tc>
        <w:tc>
          <w:tcPr>
            <w:tcW w:type="dxa" w:w="532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Practice emphasis and focus areas only</w:t>
            </w:r>
          </w:p>
        </w:tc>
      </w:tr>
    </w:tbl>
    <w:p>
      <w:pPr>
        <w:pStyle w:val="Heading1"/>
        <w:spacing w:before="360" w:after="200" w:line="276" w:lineRule="auto"/>
      </w:pPr>
      <w:r>
        <w:rPr>
          <w:rFonts w:ascii="DM Sans" w:hAnsi="DM Sans"/>
          <w:b/>
          <w:i w:val="0"/>
          <w:color w:val="01796F"/>
          <w:sz w:val="32"/>
        </w:rPr>
        <w:t>3. Typography</w:t>
      </w:r>
    </w:p>
    <w:p>
      <w:pPr>
        <w:spacing w:before="0" w:after="160" w:line="300" w:lineRule="auto"/>
      </w:pPr>
      <w:r>
        <w:rPr>
          <w:rFonts w:ascii="DM Sans" w:hAnsi="DM Sans"/>
          <w:b w:val="0"/>
          <w:i w:val="0"/>
          <w:color w:val="071527"/>
          <w:sz w:val="22"/>
        </w:rPr>
        <w:t>The type system is intentionally restrained: one humanist UI face for clarity, one editorial serif for rare moments of warmth, and one mono face for measured data.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shd w:fill="E6F7F4"/>
            <w:vAlign w:val="center"/>
          </w:tcPr>
          <w:p>
            <w:pPr>
              <w:spacing w:before="0" w:after="0" w:line="264" w:lineRule="auto"/>
            </w:pPr>
            <w:r>
              <w:rPr>
                <w:rFonts w:ascii="DM Sans" w:hAnsi="DM Sans"/>
                <w:b/>
                <w:i w:val="0"/>
                <w:color w:val="071527"/>
                <w:sz w:val="19"/>
              </w:rPr>
              <w:t>Font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shd w:fill="E6F7F4"/>
            <w:vAlign w:val="center"/>
          </w:tcPr>
          <w:p>
            <w:pPr>
              <w:spacing w:before="0" w:after="0" w:line="264" w:lineRule="auto"/>
            </w:pPr>
            <w:r>
              <w:rPr>
                <w:rFonts w:ascii="DM Sans" w:hAnsi="DM Sans"/>
                <w:b/>
                <w:i w:val="0"/>
                <w:color w:val="071527"/>
                <w:sz w:val="19"/>
              </w:rPr>
              <w:t>Role</w:t>
            </w:r>
          </w:p>
        </w:tc>
        <w:tc>
          <w:tcPr>
            <w:tcW w:type="dxa" w:w="518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shd w:fill="E6F7F4"/>
            <w:vAlign w:val="center"/>
          </w:tcPr>
          <w:p>
            <w:pPr>
              <w:spacing w:before="0" w:after="0" w:line="264" w:lineRule="auto"/>
            </w:pPr>
            <w:r>
              <w:rPr>
                <w:rFonts w:ascii="DM Sans" w:hAnsi="DM Sans"/>
                <w:b/>
                <w:i w:val="0"/>
                <w:color w:val="071527"/>
                <w:sz w:val="19"/>
              </w:rPr>
              <w:t>Guidance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DM Sans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Primary UI</w:t>
            </w:r>
          </w:p>
        </w:tc>
        <w:tc>
          <w:tcPr>
            <w:tcW w:type="dxa" w:w="518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Use for navigation, forms, dashboards, buttons, body copy, and labels.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Cormorant Garamond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Editorial display</w:t>
            </w:r>
          </w:p>
        </w:tc>
        <w:tc>
          <w:tcPr>
            <w:tcW w:type="dxa" w:w="518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Use sparingly for landing-page statements or campaign moments.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Space Mono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Measurement</w:t>
            </w:r>
          </w:p>
        </w:tc>
        <w:tc>
          <w:tcPr>
            <w:tcW w:type="dxa" w:w="518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Use for timers, scores, IDs, codes, and other system-like values.</w:t>
            </w:r>
          </w:p>
        </w:tc>
      </w:tr>
    </w:tbl>
    <w:p>
      <w:pPr>
        <w:pStyle w:val="Heading2"/>
        <w:spacing w:before="280" w:after="140" w:line="276" w:lineRule="auto"/>
      </w:pPr>
      <w:r>
        <w:rPr>
          <w:rFonts w:ascii="DM Sans" w:hAnsi="DM Sans"/>
          <w:b/>
          <w:i w:val="0"/>
          <w:color w:val="01796F"/>
          <w:sz w:val="26"/>
        </w:rPr>
        <w:t>Recommended scale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shd w:fill="E6F7F4"/>
            <w:vAlign w:val="center"/>
          </w:tcPr>
          <w:p>
            <w:pPr>
              <w:spacing w:before="0" w:after="0" w:line="264" w:lineRule="auto"/>
            </w:pPr>
            <w:r>
              <w:rPr>
                <w:rFonts w:ascii="DM Sans" w:hAnsi="DM Sans"/>
                <w:b/>
                <w:i w:val="0"/>
                <w:color w:val="071527"/>
                <w:sz w:val="19"/>
              </w:rPr>
              <w:t>Level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shd w:fill="E6F7F4"/>
            <w:vAlign w:val="center"/>
          </w:tcPr>
          <w:p>
            <w:pPr>
              <w:spacing w:before="0" w:after="0" w:line="264" w:lineRule="auto"/>
            </w:pPr>
            <w:r>
              <w:rPr>
                <w:rFonts w:ascii="DM Sans" w:hAnsi="DM Sans"/>
                <w:b/>
                <w:i w:val="0"/>
                <w:color w:val="071527"/>
                <w:sz w:val="19"/>
              </w:rPr>
              <w:t>Size / weight</w:t>
            </w:r>
          </w:p>
        </w:tc>
        <w:tc>
          <w:tcPr>
            <w:tcW w:type="dxa" w:w="518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shd w:fill="E6F7F4"/>
            <w:vAlign w:val="center"/>
          </w:tcPr>
          <w:p>
            <w:pPr>
              <w:spacing w:before="0" w:after="0" w:line="264" w:lineRule="auto"/>
            </w:pPr>
            <w:r>
              <w:rPr>
                <w:rFonts w:ascii="DM Sans" w:hAnsi="DM Sans"/>
                <w:b/>
                <w:i w:val="0"/>
                <w:color w:val="071527"/>
                <w:sz w:val="19"/>
              </w:rPr>
              <w:t>Use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Display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48–64px / medium</w:t>
            </w:r>
          </w:p>
        </w:tc>
        <w:tc>
          <w:tcPr>
            <w:tcW w:type="dxa" w:w="518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Landing-page statement or major campaign title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Page title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32–40px / bold</w:t>
            </w:r>
          </w:p>
        </w:tc>
        <w:tc>
          <w:tcPr>
            <w:tcW w:type="dxa" w:w="518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Dashboard or workspace title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Section title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20–24px / bold</w:t>
            </w:r>
          </w:p>
        </w:tc>
        <w:tc>
          <w:tcPr>
            <w:tcW w:type="dxa" w:w="518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Card groups and major sections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Body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16px / regular</w:t>
            </w:r>
          </w:p>
        </w:tc>
        <w:tc>
          <w:tcPr>
            <w:tcW w:type="dxa" w:w="518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Explanatory copy and instructions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Label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12–14px / semibold</w:t>
            </w:r>
          </w:p>
        </w:tc>
        <w:tc>
          <w:tcPr>
            <w:tcW w:type="dxa" w:w="518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Metadata, controls, status labels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Metric</w:t>
            </w:r>
          </w:p>
        </w:tc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20–32px / bold mono</w:t>
            </w:r>
          </w:p>
        </w:tc>
        <w:tc>
          <w:tcPr>
            <w:tcW w:type="dxa" w:w="518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Scores, counts, timers, percentages</w:t>
            </w:r>
          </w:p>
        </w:tc>
      </w:tr>
    </w:tbl>
    <w:p>
      <w:pPr>
        <w:pStyle w:val="Heading1"/>
        <w:spacing w:before="360" w:after="200" w:line="276" w:lineRule="auto"/>
      </w:pPr>
      <w:r>
        <w:rPr>
          <w:rFonts w:ascii="DM Sans" w:hAnsi="DM Sans"/>
          <w:b/>
          <w:i w:val="0"/>
          <w:color w:val="01796F"/>
          <w:sz w:val="32"/>
        </w:rPr>
        <w:t>4. Layout and component language</w:t>
      </w:r>
    </w:p>
    <w:p>
      <w:pPr>
        <w:pStyle w:val="Heading2"/>
        <w:spacing w:before="280" w:after="140" w:line="276" w:lineRule="auto"/>
      </w:pPr>
      <w:r>
        <w:rPr>
          <w:rFonts w:ascii="DM Sans" w:hAnsi="DM Sans"/>
          <w:b/>
          <w:i w:val="0"/>
          <w:color w:val="01796F"/>
          <w:sz w:val="26"/>
        </w:rPr>
        <w:t>Shape and spacing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DM Sans" w:hAnsi="DM Sans"/>
          <w:b w:val="0"/>
          <w:i w:val="0"/>
          <w:color w:val="071527"/>
          <w:sz w:val="21"/>
        </w:rPr>
        <w:t>Use an 8px spacing rhythm. Give headings more space above than below.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DM Sans" w:hAnsi="DM Sans"/>
          <w:b w:val="0"/>
          <w:i w:val="0"/>
          <w:color w:val="071527"/>
          <w:sz w:val="21"/>
        </w:rPr>
        <w:t>Use 8–16px corner radii. Keep the shape soft, but never toy-like.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DM Sans" w:hAnsi="DM Sans"/>
          <w:b w:val="0"/>
          <w:i w:val="0"/>
          <w:color w:val="071527"/>
          <w:sz w:val="21"/>
        </w:rPr>
        <w:t>Use thin pale-blue borders and low-contrast shadows to separate surfaces.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DM Sans" w:hAnsi="DM Sans"/>
          <w:b w:val="0"/>
          <w:i w:val="0"/>
          <w:color w:val="071527"/>
          <w:sz w:val="21"/>
        </w:rPr>
        <w:t>Prefer one clear primary action per section. Hide secondary complexity behind progressive disclosure.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DM Sans" w:hAnsi="DM Sans"/>
          <w:b w:val="0"/>
          <w:i w:val="0"/>
          <w:color w:val="071527"/>
          <w:sz w:val="21"/>
        </w:rPr>
        <w:t>Use cards to organize information, not to decorate every paragraph or create nested containers.</w:t>
      </w:r>
    </w:p>
    <w:p>
      <w:pPr>
        <w:pStyle w:val="Heading2"/>
        <w:spacing w:before="280" w:after="140" w:line="276" w:lineRule="auto"/>
      </w:pPr>
      <w:r>
        <w:rPr>
          <w:rFonts w:ascii="DM Sans" w:hAnsi="DM Sans"/>
          <w:b/>
          <w:i w:val="0"/>
          <w:color w:val="01796F"/>
          <w:sz w:val="26"/>
        </w:rPr>
        <w:t>Buttons and controls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7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shd w:fill="E6F7F4"/>
            <w:vAlign w:val="center"/>
          </w:tcPr>
          <w:p>
            <w:pPr>
              <w:spacing w:before="0" w:after="0" w:line="264" w:lineRule="auto"/>
            </w:pPr>
            <w:r>
              <w:rPr>
                <w:rFonts w:ascii="DM Sans" w:hAnsi="DM Sans"/>
                <w:b/>
                <w:i w:val="0"/>
                <w:color w:val="071527"/>
                <w:sz w:val="19"/>
              </w:rPr>
              <w:t>Pattern</w:t>
            </w:r>
          </w:p>
        </w:tc>
        <w:tc>
          <w:tcPr>
            <w:tcW w:type="dxa" w:w="698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shd w:fill="E6F7F4"/>
            <w:vAlign w:val="center"/>
          </w:tcPr>
          <w:p>
            <w:pPr>
              <w:spacing w:before="0" w:after="0" w:line="264" w:lineRule="auto"/>
            </w:pPr>
            <w:r>
              <w:rPr>
                <w:rFonts w:ascii="DM Sans" w:hAnsi="DM Sans"/>
                <w:b/>
                <w:i w:val="0"/>
                <w:color w:val="071527"/>
                <w:sz w:val="19"/>
              </w:rPr>
              <w:t>Treatment</w:t>
            </w:r>
          </w:p>
        </w:tc>
      </w:tr>
      <w:tr>
        <w:tc>
          <w:tcPr>
            <w:tcW w:type="dxa" w:w="237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Primary button</w:t>
            </w:r>
          </w:p>
        </w:tc>
        <w:tc>
          <w:tcPr>
            <w:tcW w:type="dxa" w:w="698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MET Teal fill, white text, 8px radius, semibold label</w:t>
            </w:r>
          </w:p>
        </w:tc>
      </w:tr>
      <w:tr>
        <w:tc>
          <w:tcPr>
            <w:tcW w:type="dxa" w:w="237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Secondary button</w:t>
            </w:r>
          </w:p>
        </w:tc>
        <w:tc>
          <w:tcPr>
            <w:tcW w:type="dxa" w:w="698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Transparent or pale teal fill, teal text, thin border</w:t>
            </w:r>
          </w:p>
        </w:tc>
      </w:tr>
      <w:tr>
        <w:tc>
          <w:tcPr>
            <w:tcW w:type="dxa" w:w="237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Danger action</w:t>
            </w:r>
          </w:p>
        </w:tc>
        <w:tc>
          <w:tcPr>
            <w:tcW w:type="dxa" w:w="698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Muted red only when the action is destructive or blocking</w:t>
            </w:r>
          </w:p>
        </w:tc>
      </w:tr>
      <w:tr>
        <w:tc>
          <w:tcPr>
            <w:tcW w:type="dxa" w:w="237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Status pill</w:t>
            </w:r>
          </w:p>
        </w:tc>
        <w:tc>
          <w:tcPr>
            <w:tcW w:type="dxa" w:w="698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Short label, muted background, never the only signal of meaning</w:t>
            </w:r>
          </w:p>
        </w:tc>
      </w:tr>
    </w:tbl>
    <w:p>
      <w:pPr>
        <w:pStyle w:val="Heading2"/>
        <w:spacing w:before="280" w:after="140" w:line="276" w:lineRule="auto"/>
      </w:pPr>
      <w:r>
        <w:rPr>
          <w:rFonts w:ascii="DM Sans" w:hAnsi="DM Sans"/>
          <w:b/>
          <w:i w:val="0"/>
          <w:color w:val="01796F"/>
          <w:sz w:val="26"/>
        </w:rPr>
        <w:t>Data visualization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DM Sans" w:hAnsi="DM Sans"/>
          <w:b w:val="0"/>
          <w:i w:val="0"/>
          <w:color w:val="071527"/>
          <w:sz w:val="21"/>
        </w:rPr>
        <w:t>Use teal for current performance and aqua for active progress.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DM Sans" w:hAnsi="DM Sans"/>
          <w:b w:val="0"/>
          <w:i w:val="0"/>
          <w:color w:val="071527"/>
          <w:sz w:val="21"/>
        </w:rPr>
        <w:t>Use deep ink or slate for targets and previous values.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DM Sans" w:hAnsi="DM Sans"/>
          <w:b w:val="0"/>
          <w:i w:val="0"/>
          <w:color w:val="071527"/>
          <w:sz w:val="21"/>
        </w:rPr>
        <w:t>Use ochre for attention-required states and orange for focus/practice emphasis.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DM Sans" w:hAnsi="DM Sans"/>
          <w:b w:val="0"/>
          <w:i w:val="0"/>
          <w:color w:val="071527"/>
          <w:sz w:val="21"/>
        </w:rPr>
        <w:t>Always show units, visible scales, and a plain-language explanation of what the metric means.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DM Sans" w:hAnsi="DM Sans"/>
          <w:b w:val="0"/>
          <w:i w:val="0"/>
          <w:color w:val="071527"/>
          <w:sz w:val="21"/>
        </w:rPr>
        <w:t>Never rely on color alone; pair color with labels, position, or text.</w:t>
      </w:r>
    </w:p>
    <w:p>
      <w:pPr>
        <w:pStyle w:val="Heading1"/>
        <w:spacing w:before="360" w:after="200" w:line="276" w:lineRule="auto"/>
      </w:pPr>
      <w:r>
        <w:rPr>
          <w:rFonts w:ascii="DM Sans" w:hAnsi="DM Sans"/>
          <w:b/>
          <w:i w:val="0"/>
          <w:color w:val="01796F"/>
          <w:sz w:val="32"/>
        </w:rPr>
        <w:t>5. Photography and illustration</w:t>
      </w:r>
    </w:p>
    <w:p>
      <w:pPr>
        <w:spacing w:before="0" w:after="160" w:line="300" w:lineRule="auto"/>
      </w:pPr>
      <w:r>
        <w:rPr>
          <w:rFonts w:ascii="DM Sans" w:hAnsi="DM Sans"/>
          <w:b w:val="0"/>
          <w:i w:val="0"/>
          <w:color w:val="071527"/>
          <w:sz w:val="22"/>
        </w:rPr>
        <w:t>Visuals should make professional preparation feel real and grounded. The audience should recognize themselves as capable adults working toward a meaningful clinical or career goal.</w:t>
      </w:r>
    </w:p>
    <w:p>
      <w:pPr>
        <w:pStyle w:val="Heading2"/>
        <w:spacing w:before="280" w:after="140" w:line="276" w:lineRule="auto"/>
      </w:pPr>
      <w:r>
        <w:rPr>
          <w:rFonts w:ascii="DM Sans" w:hAnsi="DM Sans"/>
          <w:b/>
          <w:i w:val="0"/>
          <w:color w:val="01796F"/>
          <w:sz w:val="26"/>
        </w:rPr>
        <w:t>Use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DM Sans" w:hAnsi="DM Sans"/>
          <w:b w:val="0"/>
          <w:i w:val="0"/>
          <w:color w:val="071527"/>
          <w:sz w:val="21"/>
        </w:rPr>
        <w:t>Documentary healthcare and study moments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DM Sans" w:hAnsi="DM Sans"/>
          <w:b w:val="0"/>
          <w:i w:val="0"/>
          <w:color w:val="071527"/>
          <w:sz w:val="21"/>
        </w:rPr>
        <w:t>Nurses preparing, communicating, reflecting, or practicing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DM Sans" w:hAnsi="DM Sans"/>
          <w:b w:val="0"/>
          <w:i w:val="0"/>
          <w:color w:val="071527"/>
          <w:sz w:val="21"/>
        </w:rPr>
        <w:t>Quiet clinical environments with natural light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DM Sans" w:hAnsi="DM Sans"/>
          <w:b w:val="0"/>
          <w:i w:val="0"/>
          <w:color w:val="071527"/>
          <w:sz w:val="21"/>
        </w:rPr>
        <w:t>Subtle details: notes, handover sheets, headphones, study materials, professional conversation</w:t>
      </w:r>
    </w:p>
    <w:p>
      <w:pPr>
        <w:pStyle w:val="Heading2"/>
        <w:spacing w:before="280" w:after="140" w:line="276" w:lineRule="auto"/>
      </w:pPr>
      <w:r>
        <w:rPr>
          <w:rFonts w:ascii="DM Sans" w:hAnsi="DM Sans"/>
          <w:b/>
          <w:i w:val="0"/>
          <w:color w:val="01796F"/>
          <w:sz w:val="26"/>
        </w:rPr>
        <w:t>Avoid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DM Sans" w:hAnsi="DM Sans"/>
          <w:b w:val="0"/>
          <w:i w:val="0"/>
          <w:color w:val="071527"/>
          <w:sz w:val="21"/>
        </w:rPr>
        <w:t>Generic smiling stock-photo teams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DM Sans" w:hAnsi="DM Sans"/>
          <w:b w:val="0"/>
          <w:i w:val="0"/>
          <w:color w:val="071527"/>
          <w:sz w:val="21"/>
        </w:rPr>
        <w:t>Overly staged lab-coat imagery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DM Sans" w:hAnsi="DM Sans"/>
          <w:b w:val="0"/>
          <w:i w:val="0"/>
          <w:color w:val="071527"/>
          <w:sz w:val="21"/>
        </w:rPr>
        <w:t>Medical cross symbols as decoration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DM Sans" w:hAnsi="DM Sans"/>
          <w:b w:val="0"/>
          <w:i w:val="0"/>
          <w:color w:val="071527"/>
          <w:sz w:val="21"/>
        </w:rPr>
        <w:t>Neon technology visuals or exaggerated AI imagery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DM Sans" w:hAnsi="DM Sans"/>
          <w:b w:val="0"/>
          <w:i w:val="0"/>
          <w:color w:val="071527"/>
          <w:sz w:val="21"/>
        </w:rPr>
        <w:t>Cartoon classroom graphics and childish gamification</w:t>
      </w:r>
    </w:p>
    <w:p>
      <w:pPr>
        <w:pStyle w:val="Heading1"/>
        <w:spacing w:before="360" w:after="200" w:line="276" w:lineRule="auto"/>
      </w:pPr>
      <w:r>
        <w:rPr>
          <w:rFonts w:ascii="DM Sans" w:hAnsi="DM Sans"/>
          <w:b/>
          <w:i w:val="0"/>
          <w:color w:val="01796F"/>
          <w:sz w:val="32"/>
        </w:rPr>
        <w:t>6. Voice and copy</w:t>
      </w:r>
    </w:p>
    <w:p>
      <w:pPr>
        <w:spacing w:before="0" w:after="160" w:line="300" w:lineRule="auto"/>
      </w:pPr>
      <w:r>
        <w:rPr>
          <w:rFonts w:ascii="DM Sans" w:hAnsi="DM Sans"/>
          <w:b w:val="0"/>
          <w:i w:val="0"/>
          <w:color w:val="071527"/>
          <w:sz w:val="22"/>
        </w:rPr>
        <w:t>The voice is direct, calm, and specific. It respects the learner’s professional identity and always connects evidence to a next action.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DM Sans" w:hAnsi="DM Sans"/>
                <w:b/>
                <w:i w:val="0"/>
                <w:color w:val="071527"/>
                <w:sz w:val="19"/>
              </w:rPr>
              <w:t>Prefer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DM Sans" w:hAnsi="DM Sans"/>
                <w:b/>
                <w:i w:val="0"/>
                <w:color w:val="071527"/>
                <w:sz w:val="19"/>
              </w:rPr>
              <w:t>Avoid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Your next step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Level up!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Based on evaluated evidence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Instant mastery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Ready for review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Amazing!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Focus area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Crush the exam!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Teacher feedback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Guaranteed success</w:t>
            </w:r>
          </w:p>
        </w:tc>
      </w:tr>
    </w:tbl>
    <w:p>
      <w:pPr>
        <w:pStyle w:val="Heading1"/>
        <w:spacing w:before="360" w:after="200" w:line="276" w:lineRule="auto"/>
      </w:pPr>
      <w:r>
        <w:rPr>
          <w:rFonts w:ascii="DM Sans" w:hAnsi="DM Sans"/>
          <w:b/>
          <w:i w:val="0"/>
          <w:color w:val="01796F"/>
          <w:sz w:val="32"/>
        </w:rPr>
        <w:t>7. Canva application rules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DM Sans" w:hAnsi="DM Sans"/>
          <w:b w:val="0"/>
          <w:i w:val="0"/>
          <w:color w:val="071527"/>
          <w:sz w:val="21"/>
        </w:rPr>
        <w:t>Use the core palette consistently across presentations, social graphics, worksheets, and teacher materials.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DM Sans" w:hAnsi="DM Sans"/>
          <w:b w:val="0"/>
          <w:i w:val="0"/>
          <w:color w:val="071527"/>
          <w:sz w:val="21"/>
        </w:rPr>
        <w:t>Keep teal as the dominant action and identity color; do not substitute bright blue or purple.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DM Sans" w:hAnsi="DM Sans"/>
          <w:b w:val="0"/>
          <w:i w:val="0"/>
          <w:color w:val="071527"/>
          <w:sz w:val="21"/>
        </w:rPr>
        <w:t>Use warm ivory or cool mist as the main canvas before adding visual decoration.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DM Sans" w:hAnsi="DM Sans"/>
          <w:b w:val="0"/>
          <w:i w:val="0"/>
          <w:color w:val="071527"/>
          <w:sz w:val="21"/>
        </w:rPr>
        <w:t>Limit each design to the core palette plus one functional color.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DM Sans" w:hAnsi="DM Sans"/>
          <w:b w:val="0"/>
          <w:i w:val="0"/>
          <w:color w:val="071527"/>
          <w:sz w:val="21"/>
        </w:rPr>
        <w:t>Use DM Sans for almost all text. Reserve Cormorant Garamond for a deliberate editorial moment.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DM Sans" w:hAnsi="DM Sans"/>
          <w:b w:val="0"/>
          <w:i w:val="0"/>
          <w:color w:val="071527"/>
          <w:sz w:val="21"/>
        </w:rPr>
        <w:t>Make the next action obvious: diagnose, practice, review, or improve.</w:t>
      </w:r>
    </w:p>
    <w:p>
      <w:pPr>
        <w:pStyle w:val="Heading1"/>
        <w:spacing w:before="360" w:after="200" w:line="276" w:lineRule="auto"/>
      </w:pPr>
      <w:r>
        <w:rPr>
          <w:rFonts w:ascii="DM Sans" w:hAnsi="DM Sans"/>
          <w:b/>
          <w:i w:val="0"/>
          <w:color w:val="01796F"/>
          <w:sz w:val="32"/>
        </w:rPr>
        <w:t>8. Brand checklist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DM Sans" w:hAnsi="DM Sans"/>
                <w:b/>
                <w:i w:val="0"/>
                <w:color w:val="071527"/>
                <w:sz w:val="19"/>
              </w:rPr>
              <w:t>Check</w:t>
            </w:r>
          </w:p>
        </w:tc>
        <w:tc>
          <w:tcPr>
            <w:tcW w:type="dxa" w:w="741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shd w:fill="E8EEF5"/>
            <w:vAlign w:val="center"/>
          </w:tcPr>
          <w:p>
            <w:pPr>
              <w:spacing w:before="0" w:after="0" w:line="264" w:lineRule="auto"/>
            </w:pPr>
            <w:r>
              <w:rPr>
                <w:rFonts w:ascii="DM Sans" w:hAnsi="DM Sans"/>
                <w:b/>
                <w:i w:val="0"/>
                <w:color w:val="071527"/>
                <w:sz w:val="19"/>
              </w:rPr>
              <w:t>Pass condition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Color</w:t>
            </w:r>
          </w:p>
        </w:tc>
        <w:tc>
          <w:tcPr>
            <w:tcW w:type="dxa" w:w="741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Teal is the identity anchor; functional colors are muted and meaningful.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Typography</w:t>
            </w:r>
          </w:p>
        </w:tc>
        <w:tc>
          <w:tcPr>
            <w:tcW w:type="dxa" w:w="741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DM Sans leads; display and mono fonts have clear, limited roles.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Tone</w:t>
            </w:r>
          </w:p>
        </w:tc>
        <w:tc>
          <w:tcPr>
            <w:tcW w:type="dxa" w:w="741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Copy is professional, specific, supportive, and free from hype.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Hierarchy</w:t>
            </w:r>
          </w:p>
        </w:tc>
        <w:tc>
          <w:tcPr>
            <w:tcW w:type="dxa" w:w="741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One primary action is obvious within a few seconds.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Accessibility</w:t>
            </w:r>
          </w:p>
        </w:tc>
        <w:tc>
          <w:tcPr>
            <w:tcW w:type="dxa" w:w="741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Color is never the only way to understand status or progress.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Imagery</w:t>
            </w:r>
          </w:p>
        </w:tc>
        <w:tc>
          <w:tcPr>
            <w:tcW w:type="dxa" w:w="741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D0E2E8"/>
              <w:left w:val="single" w:sz="6" w:space="0" w:color="D0E2E8"/>
              <w:bottom w:val="single" w:sz="6" w:space="0" w:color="D0E2E8"/>
              <w:right w:val="single" w:sz="6" w:space="0" w:color="D0E2E8"/>
              <w:insideH w:val="single" w:sz="6" w:space="0" w:color="D0E2E8"/>
              <w:insideV w:val="single" w:sz="6" w:space="0" w:color="D0E2E8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DM Sans" w:hAnsi="DM Sans"/>
                <w:b w:val="0"/>
                <w:i w:val="0"/>
                <w:color w:val="071527"/>
                <w:sz w:val="19"/>
              </w:rPr>
              <w:t>Visuals feel documentary, professional, and relevant to healthcare learners.</w:t>
            </w:r>
          </w:p>
        </w:tc>
      </w:tr>
    </w:tbl>
    <w:p>
      <w:pPr>
        <w:spacing w:before="320" w:after="0" w:line="300" w:lineRule="auto"/>
      </w:pPr>
      <w:r>
        <w:rPr>
          <w:rFonts w:ascii="DM Sans" w:hAnsi="DM Sans"/>
          <w:b w:val="0"/>
          <w:i/>
          <w:color w:val="3D5A6B"/>
          <w:sz w:val="18"/>
        </w:rPr>
        <w:t>Source note: palette, typography, spacing, and component guidance were extracted from the implemented MET Mastery interface and local design tokens.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DM Sans" w:hAnsi="DM Sans"/>
        <w:b w:val="0"/>
        <w:i w:val="0"/>
        <w:color w:val="3D5A6B"/>
        <w:sz w:val="17"/>
      </w:rPr>
      <w:t>Clinical English learning workspace  ·  Visual identity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Space Mono" w:hAnsi="Space Mono"/>
        <w:b/>
        <w:i w:val="0"/>
        <w:color w:val="3D5A6B"/>
        <w:sz w:val="16"/>
      </w:rPr>
      <w:t>MET MASTERY  /  BRAND IDENTITY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M Sans" w:hAnsi="DM Sans"/>
      <w:color w:val="0715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M Sans" w:hAnsi="DM Sans"/>
      <w:b/>
      <w:bCs/>
      <w:color w:val="01796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M Sans" w:hAnsi="DM Sans"/>
      <w:b/>
      <w:bCs/>
      <w:color w:val="01796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M Sans" w:hAnsi="DM Sans"/>
      <w:b/>
      <w:bCs/>
      <w:color w:val="01635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