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27.jpeg" ContentType="image/jpe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5.png" ContentType="image/png"/>
  <Override PartName="/word/media/image28.jpeg" ContentType="image/jpe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.png" ContentType="image/png"/>
  <Override PartName="/word/media/image2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  <w:t xml:space="preserve">Вид документа: </w:t>
      </w:r>
      <w:r>
        <w:rPr>
          <w:rFonts w:cs="Arial"/>
          <w:b/>
          <w:color w:val="000000"/>
          <w:szCs w:val="22"/>
          <w:lang w:val="ru-RU"/>
        </w:rPr>
        <w:fldChar w:fldCharType="begin"/>
      </w:r>
      <w:r>
        <w:rPr>
          <w:b/>
          <w:szCs w:val="22"/>
          <w:rFonts w:cs="Arial"/>
          <w:color w:val="000000"/>
          <w:lang w:val="ru-RU"/>
        </w:rPr>
        <w:instrText> SUBJECT </w:instrText>
      </w:r>
      <w:r>
        <w:rPr>
          <w:b/>
          <w:szCs w:val="22"/>
          <w:rFonts w:cs="Arial"/>
          <w:color w:val="000000"/>
          <w:lang w:val="ru-RU"/>
        </w:rPr>
        <w:fldChar w:fldCharType="separate"/>
      </w:r>
      <w:r>
        <w:rPr>
          <w:b/>
          <w:szCs w:val="22"/>
          <w:rFonts w:cs="Arial"/>
          <w:color w:val="000000"/>
          <w:lang w:val="ru-RU"/>
        </w:rPr>
        <w:t>Инструкция пользователей</w:t>
      </w:r>
      <w:r>
        <w:rPr>
          <w:b/>
          <w:szCs w:val="22"/>
          <w:rFonts w:cs="Arial"/>
          <w:color w:val="000000"/>
          <w:lang w:val="ru-RU"/>
        </w:rPr>
        <w:fldChar w:fldCharType="end"/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  <w:t xml:space="preserve">Функциональность: </w:t>
      </w:r>
      <w:r>
        <w:rPr>
          <w:rFonts w:cs="Arial"/>
          <w:b/>
          <w:color w:val="000000"/>
          <w:szCs w:val="22"/>
        </w:rPr>
        <w:t>PA</w:t>
      </w:r>
      <w:r>
        <w:rPr>
          <w:rFonts w:cs="Arial"/>
          <w:b/>
          <w:color w:val="000000"/>
          <w:szCs w:val="22"/>
          <w:lang w:val="ru-RU"/>
        </w:rPr>
        <w:t xml:space="preserve"> </w:t>
      </w:r>
      <w:r>
        <w:rPr>
          <w:rFonts w:cs="Arial"/>
          <w:b/>
          <w:color w:val="000000"/>
          <w:szCs w:val="22"/>
        </w:rPr>
        <w:t xml:space="preserve">– </w:t>
      </w:r>
      <w:r>
        <w:rPr>
          <w:rFonts w:cs="Arial"/>
          <w:b/>
          <w:color w:val="000000"/>
          <w:szCs w:val="22"/>
          <w:lang w:val="ru-RU"/>
        </w:rPr>
        <w:t>Администрирование персонала</w:t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  <w:t>Функция: Оформление договора ГПХ</w:t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</w:r>
    </w:p>
    <w:tbl>
      <w:tblPr>
        <w:tblW w:w="10126" w:type="dxa"/>
        <w:jc w:val="start"/>
        <w:tblInd w:w="120" w:type="dxa"/>
        <w:tblLayout w:type="fixed"/>
        <w:tblCellMar>
          <w:top w:w="0" w:type="dxa"/>
          <w:start w:w="36" w:type="dxa"/>
          <w:bottom w:w="0" w:type="dxa"/>
          <w:end w:w="36" w:type="dxa"/>
        </w:tblCellMar>
      </w:tblPr>
      <w:tblGrid>
        <w:gridCol w:w="10126"/>
      </w:tblGrid>
      <w:tr>
        <w:trPr>
          <w:tblHeader w:val="true"/>
          <w:cantSplit w:val="true"/>
        </w:trPr>
        <w:tc>
          <w:tcPr>
            <w:tcW w:w="10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</w:tcPr>
          <w:p>
            <w:pPr>
              <w:pStyle w:val="Tableheading"/>
              <w:keepLines/>
              <w:widowControl w:val="false"/>
              <w:bidi w:val="0"/>
              <w:spacing w:before="60" w:after="6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cs="Arial" w:ascii="Arial" w:hAnsi="Arial"/>
                <w:szCs w:val="22"/>
                <w:lang w:val="ru-RU"/>
              </w:rPr>
              <w:t>Описание бизнес-процесса</w:t>
            </w:r>
          </w:p>
        </w:tc>
      </w:tr>
      <w:tr>
        <w:trPr>
          <w:trHeight w:val="1959" w:hRule="atLeast"/>
          <w:cantSplit w:val="true"/>
        </w:trPr>
        <w:tc>
          <w:tcPr>
            <w:tcW w:w="10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ru-RU"/>
              </w:rPr>
              <w:t>Основанием для регистрации договора гражданско-правового характера в системе САП является: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Утвержденный договор ГПХ.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Документы работника.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cs="Arial"/>
                <w:szCs w:val="22"/>
                <w:lang w:val="ru-RU"/>
              </w:rPr>
              <w:t xml:space="preserve">Для проведения данной операции в системе существует мероприятие </w:t>
            </w:r>
            <w:r>
              <w:rPr>
                <w:lang w:val="ru-RU"/>
              </w:rPr>
              <w:t>«Оформление ГПД»</w:t>
            </w:r>
            <w:r>
              <w:rPr>
                <w:rFonts w:cs="Arial"/>
                <w:szCs w:val="22"/>
                <w:lang w:val="ru-RU"/>
              </w:rPr>
              <w:t>.</w:t>
            </w:r>
            <w:r>
              <w:rPr>
                <w:lang w:val="ru-RU"/>
              </w:rPr>
              <w:t xml:space="preserve"> В результате выполнения мероприятия в систему вносятся данные принимаемого по договору ГПХ лица.</w:t>
            </w:r>
          </w:p>
        </w:tc>
      </w:tr>
    </w:tbl>
    <w:p>
      <w:pPr>
        <w:pStyle w:val="Normal"/>
        <w:ind w:firstLine="720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tbl>
      <w:tblPr>
        <w:tblW w:w="10172" w:type="dxa"/>
        <w:jc w:val="start"/>
        <w:tblInd w:w="120" w:type="dxa"/>
        <w:tblLayout w:type="fixed"/>
        <w:tblCellMar>
          <w:top w:w="0" w:type="dxa"/>
          <w:start w:w="36" w:type="dxa"/>
          <w:bottom w:w="0" w:type="dxa"/>
          <w:end w:w="36" w:type="dxa"/>
        </w:tblCellMar>
      </w:tblPr>
      <w:tblGrid>
        <w:gridCol w:w="3647"/>
        <w:gridCol w:w="6524"/>
      </w:tblGrid>
      <w:tr>
        <w:trPr>
          <w:tblHeader w:val="true"/>
          <w:trHeight w:val="470" w:hRule="atLeast"/>
          <w:cantSplit w:val="true"/>
        </w:trPr>
        <w:tc>
          <w:tcPr>
            <w:tcW w:w="3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ableheading"/>
              <w:keepLines/>
              <w:widowControl w:val="false"/>
              <w:bidi w:val="0"/>
              <w:spacing w:before="60" w:after="6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cs="Arial" w:ascii="Arial" w:hAnsi="Arial"/>
                <w:szCs w:val="22"/>
                <w:lang w:val="ru-RU"/>
              </w:rPr>
              <w:t>Путь по меню</w:t>
            </w:r>
          </w:p>
        </w:tc>
        <w:tc>
          <w:tcPr>
            <w:tcW w:w="652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bodytext"/>
              <w:keepLines/>
              <w:widowControl w:val="false"/>
              <w:spacing w:before="60" w:after="6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cs="Arial" w:ascii="Arial" w:hAnsi="Arial"/>
                <w:i/>
                <w:sz w:val="22"/>
                <w:szCs w:val="22"/>
                <w:lang w:val="ru-RU" w:bidi="he-IL"/>
              </w:rPr>
              <w:t xml:space="preserve">Основные данные персонала </w:t>
            </w:r>
            <w:r>
              <w:rPr>
                <w:rFonts w:eastAsia="Wingdings" w:cs="Wingdings" w:ascii="Wingdings" w:hAnsi="Wingdings"/>
                <w:i/>
                <w:sz w:val="22"/>
                <w:szCs w:val="22"/>
                <w:lang w:val="ru-RU" w:bidi="he-IL"/>
              </w:rPr>
              <w:t></w:t>
            </w:r>
            <w:r>
              <w:rPr>
                <w:rFonts w:cs="Arial" w:ascii="Arial" w:hAnsi="Arial"/>
                <w:i/>
                <w:sz w:val="22"/>
                <w:szCs w:val="22"/>
                <w:lang w:val="ru-RU" w:bidi="he-IL"/>
              </w:rPr>
              <w:t xml:space="preserve"> Мероприятия по персоналу</w:t>
            </w:r>
          </w:p>
        </w:tc>
      </w:tr>
      <w:tr>
        <w:trPr>
          <w:trHeight w:val="381" w:hRule="atLeast"/>
          <w:cantSplit w:val="true"/>
        </w:trPr>
        <w:tc>
          <w:tcPr>
            <w:tcW w:w="3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ableheading"/>
              <w:keepLines/>
              <w:widowControl w:val="false"/>
              <w:bidi w:val="0"/>
              <w:spacing w:before="60" w:after="6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cs="Arial" w:ascii="Arial" w:hAnsi="Arial"/>
                <w:szCs w:val="22"/>
                <w:lang w:val="ru-RU"/>
              </w:rPr>
              <w:t>Путь через код транзакции</w:t>
            </w:r>
          </w:p>
        </w:tc>
        <w:tc>
          <w:tcPr>
            <w:tcW w:w="6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bodytext"/>
              <w:keepLines/>
              <w:widowControl w:val="false"/>
              <w:spacing w:before="60" w:after="60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cs="Arial" w:ascii="Arial" w:hAnsi="Arial"/>
                <w:sz w:val="22"/>
                <w:szCs w:val="22"/>
                <w:lang w:val="ru-RU"/>
              </w:rPr>
              <w:t>PA40</w:t>
            </w:r>
          </w:p>
        </w:tc>
      </w:tr>
    </w:tbl>
    <w:p>
      <w:pPr>
        <w:pStyle w:val="Normal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jc w:val="both"/>
        <w:rPr/>
      </w:pPr>
      <w:r>
        <w:rPr>
          <w:rFonts w:cs="Arial"/>
          <w:b/>
          <w:szCs w:val="22"/>
          <w:lang w:val="ru-RU"/>
        </w:rPr>
        <w:t>1.1. Для вызова мероприятия необходимо:</w:t>
      </w:r>
    </w:p>
    <w:p>
      <w:pPr>
        <w:pStyle w:val="HR1"/>
        <w:numPr>
          <w:ilvl w:val="0"/>
          <w:numId w:val="9"/>
        </w:numPr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>
          <w:rFonts w:cs="Arial" w:ascii="Arial" w:hAnsi="Arial"/>
          <w:i w:val="false"/>
          <w:sz w:val="22"/>
          <w:szCs w:val="22"/>
          <w:lang w:val="ru-RU"/>
        </w:rPr>
        <w:t>Выбрать пункт меню «Мероприятия по персоналу» (рис.1)</w:t>
      </w:r>
    </w:p>
    <w:p>
      <w:pPr>
        <w:pStyle w:val="HR1"/>
        <w:ind w:hanging="0"/>
        <w:jc w:val="center"/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/>
        <mc:AlternateContent>
          <mc:Choice Requires="wps">
            <w:drawing>
              <wp:anchor behindDoc="0" distT="7620" distB="7620" distL="7620" distR="7620" simplePos="0" locked="0" layoutInCell="0" allowOverlap="1" relativeHeight="39">
                <wp:simplePos x="0" y="0"/>
                <wp:positionH relativeFrom="column">
                  <wp:posOffset>896620</wp:posOffset>
                </wp:positionH>
                <wp:positionV relativeFrom="paragraph">
                  <wp:posOffset>1740535</wp:posOffset>
                </wp:positionV>
                <wp:extent cx="1442085" cy="1454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40" cy="144720"/>
                        </a:xfrm>
                        <a:prstGeom prst="ellipse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1" path="l-2147483648,-2147483643l-2147483628,-2147483627l-2147483648,-2147483643l-2147483626,-2147483625xe" stroked="t" o:allowincell="f" style="position:absolute;margin-left:70.6pt;margin-top:137.05pt;width:113.45pt;height:11.35pt;mso-wrap-style:none;v-text-anchor:middle">
                <v:fill o:detectmouseclick="t" on="false"/>
                <v:stroke color="red" weight="15840" joinstyle="miter" endcap="flat"/>
                <w10:wrap type="none"/>
              </v:oval>
            </w:pict>
          </mc:Fallback>
        </mc:AlternateContent>
        <w:drawing>
          <wp:inline distT="0" distB="0" distL="0" distR="0">
            <wp:extent cx="5259070" cy="209931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3" r="-12" b="54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R1"/>
        <w:ind w:hanging="0"/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>
          <w:rFonts w:cs="Arial" w:ascii="Arial" w:hAnsi="Arial"/>
          <w:i w:val="false"/>
          <w:sz w:val="22"/>
          <w:szCs w:val="22"/>
          <w:u w:val="single"/>
          <w:lang w:val="ru-RU"/>
        </w:rPr>
        <w:t>Рис.1</w:t>
      </w:r>
    </w:p>
    <w:p>
      <w:pPr>
        <w:pStyle w:val="HR1"/>
        <w:numPr>
          <w:ilvl w:val="0"/>
          <w:numId w:val="9"/>
        </w:numPr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>
          <w:rFonts w:cs="Arial" w:ascii="Arial" w:hAnsi="Arial"/>
          <w:i w:val="false"/>
          <w:sz w:val="22"/>
          <w:szCs w:val="22"/>
          <w:lang w:val="ru-RU"/>
        </w:rPr>
        <w:t>Для быстрого доступа следует ввести в «Командную строку» (окошко в верхней части экрана) имя транзакции (РА40) (рис.2) и нажать «</w:t>
      </w:r>
      <w:r>
        <w:rPr>
          <w:rFonts w:cs="Arial" w:ascii="Arial" w:hAnsi="Arial"/>
          <w:i w:val="false"/>
          <w:sz w:val="22"/>
          <w:szCs w:val="22"/>
        </w:rPr>
        <w:t>Enter</w:t>
      </w:r>
      <w:r>
        <w:rPr>
          <w:rFonts w:cs="Arial" w:ascii="Arial" w:hAnsi="Arial"/>
          <w:i w:val="false"/>
          <w:sz w:val="22"/>
          <w:szCs w:val="22"/>
          <w:lang w:val="ru-RU"/>
        </w:rPr>
        <w:t>».</w:t>
      </w:r>
    </w:p>
    <w:p>
      <w:pPr>
        <w:pStyle w:val="HR"/>
        <w:jc w:val="center"/>
        <w:rPr>
          <w:rFonts w:ascii="Arial" w:hAnsi="Arial" w:cs="Arial"/>
          <w:b/>
          <w:b/>
          <w:sz w:val="22"/>
          <w:szCs w:val="22"/>
          <w:lang w:val="ru-RU"/>
        </w:rPr>
      </w:pPr>
      <w:r>
        <w:rPr/>
        <mc:AlternateContent>
          <mc:Choice Requires="wps">
            <w:drawing>
              <wp:anchor behindDoc="0" distT="9525" distB="9525" distL="9525" distR="9525" simplePos="0" locked="0" layoutInCell="0" allowOverlap="1" relativeHeight="40">
                <wp:simplePos x="0" y="0"/>
                <wp:positionH relativeFrom="column">
                  <wp:posOffset>2268220</wp:posOffset>
                </wp:positionH>
                <wp:positionV relativeFrom="paragraph">
                  <wp:posOffset>381000</wp:posOffset>
                </wp:positionV>
                <wp:extent cx="1297940" cy="21780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40" cy="21708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2" path="l-2147483648,-2147483643l-2147483628,-2147483627l-2147483648,-2147483643l-2147483626,-2147483625xe" stroked="t" o:allowincell="f" style="position:absolute;margin-left:178.6pt;margin-top:30pt;width:102.1pt;height:17.05pt;mso-wrap-style:none;v-text-anchor:middle">
                <v:fill o:detectmouseclick="t" on="false"/>
                <v:stroke color="red" weight="19080" joinstyle="miter" endcap="flat"/>
                <w10:wrap type="none"/>
              </v:oval>
            </w:pict>
          </mc:Fallback>
        </mc:AlternateContent>
        <w:drawing>
          <wp:inline distT="0" distB="0" distL="0" distR="0">
            <wp:extent cx="2362200" cy="621665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48" r="-30" b="5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szCs w:val="22"/>
          <w:u w:val="single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3771900</wp:posOffset>
                </wp:positionH>
                <wp:positionV relativeFrom="paragraph">
                  <wp:posOffset>-3536315</wp:posOffset>
                </wp:positionV>
                <wp:extent cx="289560" cy="289560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289080"/>
                        </a:xfrm>
                        <a:prstGeom prst="ellipse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3" path="l-2147483648,-2147483643l-2147483628,-2147483627l-2147483648,-2147483643l-2147483626,-2147483625xe" stroked="f" o:allowincell="f" style="position:absolute;margin-left:297pt;margin-top:-278.45pt;width:22.7pt;height:22.7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cs="Arial"/>
          <w:szCs w:val="22"/>
          <w:u w:val="single"/>
          <w:lang w:val="ru-RU"/>
        </w:rPr>
        <w:t>Рис. 2</w:t>
      </w:r>
    </w:p>
    <w:p>
      <w:pPr>
        <w:pStyle w:val="Normal"/>
        <w:spacing w:before="120" w:after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1.2. В открывшемся окне «Мероприятия/персонал» необходимо:</w:t>
      </w:r>
    </w:p>
    <w:p>
      <w:pPr>
        <w:pStyle w:val="Normal"/>
        <w:numPr>
          <w:ilvl w:val="0"/>
          <w:numId w:val="5"/>
        </w:numPr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>Заполнить поле «Начало»</w:t>
      </w:r>
      <w:r>
        <w:rPr>
          <w:lang w:val="ru-RU"/>
        </w:rPr>
        <w:t xml:space="preserve"> – дата начала действия договора ГПХ.</w:t>
      </w:r>
    </w:p>
    <w:p>
      <w:pPr>
        <w:pStyle w:val="Normal"/>
        <w:numPr>
          <w:ilvl w:val="0"/>
          <w:numId w:val="5"/>
        </w:numPr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Выбираем из списка мероприятий мероприятие </w:t>
      </w:r>
      <w:r>
        <w:rPr>
          <w:lang w:val="ru-RU"/>
        </w:rPr>
        <w:t>«Оформление ГПД»</w:t>
      </w:r>
      <w:r>
        <w:rPr>
          <w:rFonts w:cs="Arial"/>
          <w:szCs w:val="22"/>
          <w:lang w:val="ru-RU"/>
        </w:rPr>
        <w:t>.</w:t>
      </w:r>
    </w:p>
    <w:p>
      <w:pPr>
        <w:pStyle w:val="Normal"/>
        <w:numPr>
          <w:ilvl w:val="0"/>
          <w:numId w:val="5"/>
        </w:numPr>
        <w:spacing w:before="0" w:after="120"/>
        <w:ind w:start="777" w:hanging="357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Нажимаем кнопку «Выполнить» </w:t>
      </w:r>
      <w:r>
        <w:rPr/>
        <w:drawing>
          <wp:inline distT="0" distB="0" distL="0" distR="0">
            <wp:extent cx="266700" cy="238125"/>
            <wp:effectExtent l="0" t="0" r="0" b="0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70" t="-303" r="-270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ru-RU"/>
        </w:rPr>
        <w:t xml:space="preserve"> (рис.3).</w:t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/>
        <w:drawing>
          <wp:inline distT="0" distB="0" distL="0" distR="0">
            <wp:extent cx="6484620" cy="3138805"/>
            <wp:effectExtent l="0" t="0" r="0" b="0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u w:val="single"/>
          <w:lang w:val="ru-RU"/>
        </w:rPr>
        <w:t>Рис. 3</w:t>
      </w:r>
    </w:p>
    <w:p>
      <w:pPr>
        <w:pStyle w:val="Normal"/>
        <w:numPr>
          <w:ilvl w:val="0"/>
          <w:numId w:val="5"/>
        </w:numPr>
        <w:spacing w:before="0" w:after="120"/>
        <w:ind w:start="777" w:hanging="357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>Система предлагает экран «Узнавание сотрудника». С его помощью можем определить, имеется ли в базе системы сотрудник, которого мы  собираемся оформлять (рис.4).</w:t>
      </w:r>
    </w:p>
    <w:p>
      <w:pPr>
        <w:pStyle w:val="Normal"/>
        <w:ind w:start="420" w:hanging="0"/>
        <w:jc w:val="center"/>
        <w:rPr>
          <w:rFonts w:cs="Arial"/>
          <w:b/>
          <w:b/>
          <w:szCs w:val="22"/>
          <w:lang w:val="ru-RU"/>
        </w:rPr>
      </w:pPr>
      <w:r>
        <w:rPr/>
        <w:drawing>
          <wp:inline distT="0" distB="0" distL="0" distR="0">
            <wp:extent cx="4891405" cy="1782445"/>
            <wp:effectExtent l="0" t="0" r="0" b="0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4" r="-1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u w:val="single"/>
          <w:lang w:val="ru-RU"/>
        </w:rPr>
        <w:t>Рис. 4</w:t>
      </w:r>
    </w:p>
    <w:p>
      <w:pPr>
        <w:pStyle w:val="Normal"/>
        <w:numPr>
          <w:ilvl w:val="0"/>
          <w:numId w:val="5"/>
        </w:numPr>
        <w:spacing w:before="0" w:after="120"/>
        <w:ind w:start="777" w:hanging="357"/>
        <w:jc w:val="both"/>
        <w:rPr/>
      </w:pPr>
      <w:r>
        <w:rPr>
          <w:rFonts w:cs="Arial"/>
          <w:szCs w:val="22"/>
          <w:lang w:val="ru-RU"/>
        </w:rPr>
        <w:t>По полям «Фамилия», «Имя», «Дата рождения» осуществляем поиск:</w:t>
      </w:r>
    </w:p>
    <w:p>
      <w:pPr>
        <w:pStyle w:val="Normal"/>
        <w:ind w:start="851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1. Если сотрудник имеется в системе – система выдает список сотрудников.</w:t>
      </w:r>
    </w:p>
    <w:p>
      <w:pPr>
        <w:pStyle w:val="Normal"/>
        <w:ind w:start="851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2. Если сотрудника нет в системе – нажимаем кнопку «Новый сотрудник» и выполняем прием на работу по договору ГПХ (рис.5).</w:t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3797300" cy="934720"/>
            <wp:effectExtent l="0" t="0" r="0" b="0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" t="-73" r="-1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u w:val="single"/>
          <w:lang w:val="ru-RU"/>
        </w:rPr>
        <w:t>Рис. 5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1.3. В открывшемся окне «создать Мероприятия»: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lang w:val="ru-RU" w:bidi="he-IL"/>
        </w:rPr>
        <w:t>Поле «Таб. номер» остается пустым. Система проставит его автоматически при сохранении.</w:t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lang w:val="ru-RU" w:bidi="he-IL"/>
        </w:rPr>
        <w:t xml:space="preserve">Поля «дейст.» и  «по» заполнены автоматически. Поле «дейст.» значением введенном на первом экране «Мероприятия », «по»  значением 31.12.9999 (по бесконечность). </w:t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lang w:val="ru-RU" w:bidi="he-IL"/>
        </w:rPr>
        <w:t>Поле «Причина мероприятия» и «Ссылочный табельный №» не заполняются.</w:t>
      </w:r>
    </w:p>
    <w:p>
      <w:pPr>
        <w:pStyle w:val="Normal"/>
        <w:numPr>
          <w:ilvl w:val="0"/>
          <w:numId w:val="11"/>
        </w:numPr>
        <w:jc w:val="both"/>
        <w:rPr>
          <w:lang w:val="ru-RU" w:bidi="he-IL"/>
        </w:rPr>
      </w:pPr>
      <w:r>
        <w:rPr>
          <w:lang w:val="ru-RU" w:bidi="he-IL"/>
        </w:rPr>
        <w:t>Заполняем блок «Организационное присвоение» (рис.6) PA40</w:t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5053330" cy="3753485"/>
            <wp:effectExtent l="0" t="0" r="0" b="0"/>
            <wp:docPr id="10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szCs w:val="22"/>
          <w:u w:val="single"/>
          <w:lang w:val="ru-RU"/>
        </w:rPr>
      </w:pPr>
      <w:r>
        <w:rPr>
          <w:rFonts w:cs="Arial"/>
          <w:szCs w:val="22"/>
          <w:u w:val="single"/>
          <w:lang w:val="ru-RU"/>
        </w:rPr>
        <w:t>Рис.6</w:t>
      </w:r>
    </w:p>
    <w:p>
      <w:pPr>
        <w:pStyle w:val="Normal"/>
        <w:ind w:start="420" w:hanging="0"/>
        <w:jc w:val="both"/>
        <w:rPr>
          <w:rFonts w:cs="Arial"/>
          <w:szCs w:val="22"/>
          <w:u w:val="single"/>
          <w:lang w:val="ru-RU" w:bidi="he-IL"/>
        </w:rPr>
      </w:pPr>
      <w:r>
        <w:rPr>
          <w:rFonts w:cs="Arial"/>
          <w:szCs w:val="22"/>
          <w:u w:val="single"/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  <w:t>Поле «Штатная должность» – вводим 9999999.</w:t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/>
      </w:pPr>
      <w:r>
        <w:rPr>
          <w:lang w:val="ru-RU" w:bidi="he-IL"/>
        </w:rPr>
        <w:t>Поле «Раздел персонала» – выбираем из справочника раздел персонала своего предприятия.</w:t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3199765" cy="1924050"/>
            <wp:effectExtent l="0" t="0" r="0" b="0"/>
            <wp:docPr id="1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  <w:t>Поле «Группа сотрудников» – выбираем из справочника 4  группу «Договор ГПД»:</w:t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2076450" cy="1924050"/>
            <wp:effectExtent l="0" t="0" r="0" b="0"/>
            <wp:docPr id="1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  <w:t>Поле «Категория сотрудников» – выбираем из справочника  50 категорию «Договор ГПД»:</w:t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3695065" cy="2276475"/>
            <wp:effectExtent l="0" t="0" r="0" b="0"/>
            <wp:docPr id="1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" t="-32" r="-1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420" w:hanging="0"/>
        <w:jc w:val="center"/>
        <w:rPr>
          <w:rFonts w:cs="Arial"/>
          <w:b/>
          <w:b/>
          <w:szCs w:val="22"/>
          <w:lang w:val="ru-RU" w:bidi="he-IL"/>
        </w:rPr>
      </w:pPr>
      <w:r>
        <w:rPr>
          <w:rFonts w:cs="Arial"/>
          <w:b/>
          <w:szCs w:val="22"/>
          <w:lang w:val="ru-RU" w:bidi="he-IL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Затем сохраняем данные кнопкой  </w:t>
      </w:r>
      <w:r>
        <w:rPr/>
        <w:drawing>
          <wp:inline distT="0" distB="0" distL="0" distR="0">
            <wp:extent cx="190500" cy="180975"/>
            <wp:effectExtent l="0" t="0" r="0" b="0"/>
            <wp:docPr id="14" name="Picture 6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1.4. В окне «создать Персональные данные»:</w:t>
      </w:r>
    </w:p>
    <w:p>
      <w:pPr>
        <w:pStyle w:val="Normal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szCs w:val="22"/>
          <w:lang w:val="ru-RU"/>
        </w:rPr>
      </w:pPr>
      <w:r>
        <w:rPr>
          <w:lang w:val="ru-RU" w:bidi="he-IL"/>
        </w:rPr>
        <w:t>Вводим все персональные данные сотрудника – обращение, ФИО, пол, дату рождения, госпринадлежность, количество детей, семейное положение (рис. 7). После заполнения экрана нажимаем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  <w:r>
        <w:rPr>
          <w:rFonts w:cs="Arial"/>
          <w:szCs w:val="22"/>
          <w:lang w:val="ru-RU"/>
        </w:rPr>
        <w:t>POP6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 w:bidi="ar-SA"/>
        </w:rPr>
      </w:pPr>
      <w:r>
        <w:rPr/>
        <w:drawing>
          <wp:inline distT="0" distB="0" distL="0" distR="0">
            <wp:extent cx="4224655" cy="3625850"/>
            <wp:effectExtent l="0" t="0" r="0" b="0"/>
            <wp:docPr id="1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szCs w:val="22"/>
          <w:u w:val="single"/>
          <w:lang w:val="ru-RU" w:eastAsia="ru-RU"/>
        </w:rPr>
        <w:t>Рис.7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szCs w:val="22"/>
          <w:lang w:val="ru-RU"/>
        </w:rPr>
      </w:pPr>
      <w:r>
        <w:rPr>
          <w:lang w:val="ru-RU" w:bidi="he-IL"/>
        </w:rPr>
        <w:t>Если для сотрудника указан статус "ВБраке",  система автоматически выводит экран «Семья/контактное лицо», в котором может быть введена информация о ребенке и супруге сотрудника.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1.5. В окне «создать Организационное присвоение»: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Выбираем на экране кнопку присвоение</w:t>
      </w:r>
      <w:r>
        <w:rPr>
          <w:lang w:val="ru-RU" w:bidi="he-IL"/>
        </w:rPr>
        <w:t xml:space="preserve">. Поля заполняются выбором из справочника  (рис.8). </w:t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326255" cy="3259455"/>
            <wp:effectExtent l="0" t="0" r="0" b="0"/>
            <wp:docPr id="1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Рис.8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ind w:start="420" w:hanging="0"/>
        <w:jc w:val="center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numPr>
          <w:ilvl w:val="0"/>
          <w:numId w:val="10"/>
        </w:numPr>
        <w:spacing w:before="0" w:after="120"/>
        <w:ind w:start="777" w:hanging="357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В открывшемся окне выбираем из справочника нужную организационную единицу и нажимаем на кнопку </w:t>
      </w:r>
      <w:r>
        <w:rPr/>
        <w:drawing>
          <wp:inline distT="0" distB="0" distL="0" distR="0">
            <wp:extent cx="752475" cy="209550"/>
            <wp:effectExtent l="0" t="0" r="0" b="0"/>
            <wp:docPr id="1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6" t="-344" r="-96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bidi="he-IL"/>
        </w:rPr>
        <w:t xml:space="preserve"> (рис.9). </w:t>
      </w:r>
    </w:p>
    <w:p>
      <w:pPr>
        <w:pStyle w:val="Normal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433570" cy="3048000"/>
            <wp:effectExtent l="0" t="0" r="0" b="0"/>
            <wp:docPr id="19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Рис.9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На экране «Организационное присвоение» отобразиться название выбранной структурной единицы в поле «ОргЕдиница»</w:t>
      </w:r>
      <w:r>
        <w:rPr>
          <w:lang w:val="ru-RU" w:bidi="he-IL"/>
        </w:rPr>
        <w:t xml:space="preserve"> (рис.10). После заполнения экрана нажимаем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20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885690" cy="3475990"/>
            <wp:effectExtent l="0" t="0" r="0" b="0"/>
            <wp:docPr id="21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Рис.10</w:t>
      </w:r>
    </w:p>
    <w:p>
      <w:pPr>
        <w:pStyle w:val="Normal"/>
        <w:jc w:val="both"/>
        <w:rPr>
          <w:rFonts w:cs="Arial"/>
          <w:szCs w:val="22"/>
          <w:u w:val="single"/>
          <w:lang w:val="ru-RU" w:eastAsia="ru-RU"/>
        </w:rPr>
      </w:pPr>
      <w:r>
        <w:rPr>
          <w:rFonts w:cs="Arial"/>
          <w:szCs w:val="22"/>
          <w:u w:val="single"/>
          <w:lang w:val="ru-RU" w:eastAsia="ru-RU"/>
        </w:rPr>
      </w:r>
    </w:p>
    <w:p>
      <w:pPr>
        <w:pStyle w:val="Normal"/>
        <w:ind w:firstLine="851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szCs w:val="22"/>
          <w:lang w:val="ru-RU" w:eastAsia="ru-RU"/>
        </w:rPr>
        <w:t xml:space="preserve">Если </w:t>
      </w:r>
      <w:r>
        <w:rPr>
          <w:rFonts w:cs="Arial"/>
          <w:szCs w:val="22"/>
          <w:lang w:val="ru-RU"/>
        </w:rPr>
        <w:t>организационная единица не будет выбрана (рис. 11), т</w:t>
      </w:r>
      <w:r>
        <w:rPr>
          <w:rFonts w:cs="Arial"/>
          <w:iCs/>
          <w:szCs w:val="22"/>
          <w:lang w:val="ru-RU"/>
        </w:rPr>
        <w:t xml:space="preserve">о при сохранении данных на кнопку </w:t>
      </w:r>
      <w:r>
        <w:rPr/>
        <w:drawing>
          <wp:inline distT="0" distB="0" distL="0" distR="0">
            <wp:extent cx="190500" cy="180975"/>
            <wp:effectExtent l="0" t="0" r="0" b="0"/>
            <wp:docPr id="22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ru-RU" w:eastAsia="ru-RU"/>
        </w:rPr>
        <w:t xml:space="preserve">, внизу экрана появится сообщение об ошибке (рис. 12). </w:t>
      </w:r>
      <w:r>
        <w:rPr>
          <w:rFonts w:cs="Arial"/>
          <w:iCs/>
          <w:szCs w:val="22"/>
          <w:lang w:val="ru-RU"/>
        </w:rPr>
        <w:t>Дальнейшее оформление договора будет блокировано до тех пор, пока не будет присвоена организационная единица.</w:t>
      </w:r>
    </w:p>
    <w:p>
      <w:pPr>
        <w:pStyle w:val="Normal"/>
        <w:ind w:firstLine="851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szCs w:val="22"/>
          <w:u w:val="single"/>
          <w:lang w:val="ru-RU" w:eastAsia="ru-RU"/>
        </w:rPr>
      </w:pPr>
      <w:r>
        <w:rPr/>
        <w:drawing>
          <wp:inline distT="0" distB="0" distL="0" distR="0">
            <wp:extent cx="5733415" cy="3801110"/>
            <wp:effectExtent l="0" t="0" r="0" b="0"/>
            <wp:docPr id="23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  <w:t>Рис. 11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iCs/>
          <w:szCs w:val="22"/>
          <w:lang w:val="ru-RU"/>
        </w:rPr>
      </w:pPr>
      <w:r>
        <w:rPr/>
        <w:drawing>
          <wp:inline distT="0" distB="0" distL="0" distR="0">
            <wp:extent cx="2933065" cy="247650"/>
            <wp:effectExtent l="0" t="0" r="0" b="0"/>
            <wp:docPr id="24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5" t="-291" r="-2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  <w:t>Рис. 12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1.6. В окне «создать Адреса»:</w:t>
      </w:r>
      <w:r>
        <w:rPr>
          <w:rFonts w:cs="Arial"/>
          <w:b/>
          <w:szCs w:val="22"/>
          <w:lang w:val="ru-RU"/>
        </w:rPr>
        <w:t>POP6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Заполняем сначала </w:t>
      </w:r>
      <w:r>
        <w:rPr>
          <w:lang w:val="ru-RU" w:bidi="he-IL"/>
        </w:rPr>
        <w:t>адрес регистрации по месту жительства. Поля заполняются выбором из справочника КЛАДР (рис.13). Сохраняем данные кнопкой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25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mc:AlternateContent>
          <mc:Choice Requires="wps">
            <w:drawing>
              <wp:anchor behindDoc="0" distT="9525" distB="9525" distL="9525" distR="9525" simplePos="0" locked="0" layoutInCell="0" allowOverlap="1" relativeHeight="41">
                <wp:simplePos x="0" y="0"/>
                <wp:positionH relativeFrom="column">
                  <wp:posOffset>2382520</wp:posOffset>
                </wp:positionH>
                <wp:positionV relativeFrom="paragraph">
                  <wp:posOffset>62230</wp:posOffset>
                </wp:positionV>
                <wp:extent cx="1297940" cy="145415"/>
                <wp:effectExtent l="0" t="0" r="0" b="0"/>
                <wp:wrapNone/>
                <wp:docPr id="2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40" cy="14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43" h="228">
                              <a:moveTo>
                                <a:pt x="37" y="0"/>
                              </a:moveTo>
                              <a:lnTo>
                                <a:pt x="38" y="0"/>
                              </a:lnTo>
                              <a:cubicBezTo>
                                <a:pt x="31" y="0"/>
                                <a:pt x="25" y="2"/>
                                <a:pt x="19" y="5"/>
                              </a:cubicBezTo>
                              <a:cubicBezTo>
                                <a:pt x="13" y="8"/>
                                <a:pt x="8" y="13"/>
                                <a:pt x="5" y="19"/>
                              </a:cubicBezTo>
                              <a:cubicBezTo>
                                <a:pt x="2" y="25"/>
                                <a:pt x="0" y="31"/>
                                <a:pt x="0" y="38"/>
                              </a:cubicBez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ubicBezTo>
                                <a:pt x="0" y="196"/>
                                <a:pt x="2" y="202"/>
                                <a:pt x="5" y="208"/>
                              </a:cubicBezTo>
                              <a:cubicBezTo>
                                <a:pt x="8" y="214"/>
                                <a:pt x="13" y="219"/>
                                <a:pt x="19" y="222"/>
                              </a:cubicBezTo>
                              <a:cubicBezTo>
                                <a:pt x="25" y="225"/>
                                <a:pt x="31" y="227"/>
                                <a:pt x="38" y="227"/>
                              </a:cubicBezTo>
                              <a:lnTo>
                                <a:pt x="2004" y="227"/>
                              </a:lnTo>
                              <a:lnTo>
                                <a:pt x="2004" y="227"/>
                              </a:lnTo>
                              <a:cubicBezTo>
                                <a:pt x="2011" y="227"/>
                                <a:pt x="2017" y="225"/>
                                <a:pt x="2023" y="222"/>
                              </a:cubicBezTo>
                              <a:cubicBezTo>
                                <a:pt x="2029" y="219"/>
                                <a:pt x="2034" y="214"/>
                                <a:pt x="2037" y="208"/>
                              </a:cubicBezTo>
                              <a:cubicBezTo>
                                <a:pt x="2040" y="202"/>
                                <a:pt x="2042" y="196"/>
                                <a:pt x="2042" y="189"/>
                              </a:cubicBezTo>
                              <a:lnTo>
                                <a:pt x="2041" y="37"/>
                              </a:lnTo>
                              <a:lnTo>
                                <a:pt x="2042" y="38"/>
                              </a:lnTo>
                              <a:lnTo>
                                <a:pt x="2042" y="38"/>
                              </a:lnTo>
                              <a:cubicBezTo>
                                <a:pt x="2042" y="31"/>
                                <a:pt x="2040" y="25"/>
                                <a:pt x="2037" y="19"/>
                              </a:cubicBezTo>
                              <a:cubicBezTo>
                                <a:pt x="2034" y="13"/>
                                <a:pt x="2029" y="8"/>
                                <a:pt x="2023" y="5"/>
                              </a:cubicBezTo>
                              <a:cubicBezTo>
                                <a:pt x="2017" y="2"/>
                                <a:pt x="2011" y="0"/>
                                <a:pt x="2004" y="0"/>
                              </a:cubicBez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3747135" cy="2019935"/>
            <wp:effectExtent l="0" t="0" r="0" b="0"/>
            <wp:docPr id="27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37675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szCs w:val="22"/>
          <w:u w:val="single"/>
          <w:lang w:val="ru-RU" w:eastAsia="ru-RU"/>
        </w:rPr>
        <w:t>Рис.13</w:t>
      </w:r>
    </w:p>
    <w:p>
      <w:pPr>
        <w:pStyle w:val="Normal"/>
        <w:ind w:start="420" w:hanging="0"/>
        <w:jc w:val="center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lang w:val="ru-RU" w:bidi="he-IL"/>
        </w:rPr>
        <w:t>После сохранения данных появляется экран для заполнения адреса фактического места жительства (рис.14).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/>
        </w:rPr>
      </w:pPr>
      <w:r>
        <w:rPr/>
        <w:drawing>
          <wp:inline distT="0" distB="0" distL="0" distR="0">
            <wp:extent cx="3939540" cy="2129790"/>
            <wp:effectExtent l="0" t="0" r="0" b="0"/>
            <wp:docPr id="28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4" t="37213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Рис.14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jc w:val="both"/>
        <w:rPr>
          <w:rFonts w:cs="Arial"/>
          <w:b/>
          <w:b/>
          <w:iCs/>
          <w:szCs w:val="22"/>
          <w:u w:val="single"/>
          <w:lang w:val="ru-RU"/>
        </w:rPr>
      </w:pPr>
      <w:r>
        <w:rPr>
          <w:rFonts w:cs="Arial"/>
          <w:b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1.7. В окне «создать Документы и удостоверения»: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Заполняем сначала реквизиты паспорта гражданина РФ</w:t>
      </w:r>
      <w:r>
        <w:rPr>
          <w:lang w:val="ru-RU" w:bidi="he-IL"/>
        </w:rPr>
        <w:t xml:space="preserve">: серия, номер паспорта, кем и когда выдан (рис.15). </w:t>
      </w:r>
      <w:r>
        <w:rPr>
          <w:rFonts w:cs="Arial"/>
          <w:iCs/>
          <w:szCs w:val="22"/>
          <w:lang w:val="ru-RU"/>
        </w:rPr>
        <w:t xml:space="preserve">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29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/>
        </w:rPr>
      </w:pPr>
      <w:r>
        <w:rPr/>
        <w:drawing>
          <wp:inline distT="0" distB="0" distL="0" distR="0">
            <wp:extent cx="4549775" cy="1004570"/>
            <wp:effectExtent l="0" t="0" r="0" b="0"/>
            <wp:docPr id="30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64059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Рис.15</w:t>
      </w:r>
    </w:p>
    <w:p>
      <w:pPr>
        <w:pStyle w:val="Normal"/>
        <w:ind w:start="420" w:hanging="0"/>
        <w:jc w:val="both"/>
        <w:rPr>
          <w:rFonts w:cs="Arial"/>
          <w:szCs w:val="22"/>
          <w:lang w:val="ru-RU" w:eastAsia="ru-RU"/>
        </w:rPr>
      </w:pPr>
      <w:r>
        <w:rPr>
          <w:rFonts w:cs="Arial"/>
          <w:szCs w:val="22"/>
          <w:lang w:val="ru-RU" w:eastAsia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Заполняем номер страхового свидетельства (рис.16). 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1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857115" cy="762635"/>
            <wp:effectExtent l="0" t="0" r="0" b="0"/>
            <wp:docPr id="32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69163" r="-1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Рис.16</w:t>
      </w:r>
    </w:p>
    <w:p>
      <w:pPr>
        <w:pStyle w:val="Normal"/>
        <w:ind w:start="420" w:hanging="0"/>
        <w:jc w:val="both"/>
        <w:rPr>
          <w:rFonts w:cs="Arial"/>
          <w:szCs w:val="22"/>
          <w:lang w:val="ru-RU" w:eastAsia="ru-RU"/>
        </w:rPr>
      </w:pPr>
      <w:r>
        <w:rPr>
          <w:rFonts w:cs="Arial"/>
          <w:szCs w:val="22"/>
          <w:lang w:val="ru-RU" w:eastAsia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Заполняем номер пенсионного свидетельства (рис.17). 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3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 При сохранении  система проверяет правильность внесенного номера согласно алгоритму формирования номера страхового свидетельства Пенсионного Фонда РФ.</w:t>
      </w:r>
    </w:p>
    <w:p>
      <w:pPr>
        <w:pStyle w:val="Normal"/>
        <w:ind w:start="420" w:hanging="0"/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885690" cy="486410"/>
            <wp:effectExtent l="0" t="0" r="0" b="0"/>
            <wp:docPr id="34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75892" r="-15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Рис.17</w:t>
      </w:r>
    </w:p>
    <w:p>
      <w:pPr>
        <w:pStyle w:val="Normal"/>
        <w:ind w:start="420" w:hanging="0"/>
        <w:jc w:val="both"/>
        <w:rPr>
          <w:rFonts w:cs="Arial"/>
          <w:szCs w:val="22"/>
          <w:lang w:val="ru-RU" w:eastAsia="ru-RU"/>
        </w:rPr>
      </w:pPr>
      <w:r>
        <w:rPr>
          <w:rFonts w:cs="Arial"/>
          <w:szCs w:val="22"/>
          <w:lang w:val="ru-RU" w:eastAsia="ru-RU"/>
        </w:rPr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1.8. В окне «изменить Банковские реквизиты»: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В поле </w:t>
      </w:r>
      <w:r>
        <w:rPr>
          <w:rFonts w:cs="Arial"/>
          <w:iCs/>
          <w:szCs w:val="22"/>
          <w:lang w:val="ru-RU"/>
        </w:rPr>
        <w:t>«Способ платежа»</w:t>
      </w:r>
      <w:r>
        <w:rPr>
          <w:rFonts w:cs="Arial"/>
          <w:szCs w:val="22"/>
          <w:lang w:val="ru-RU"/>
        </w:rPr>
        <w:t xml:space="preserve"> по умолчанию стоит значение «Платёж наличными» для проведения выплат через кассу (рис.18).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Если работнику выплаты будут проводиться через кассу, то 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5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  <w:r>
        <w:rPr>
          <w:lang w:val="ru-RU" w:bidi="he-IL"/>
        </w:rPr>
        <w:t xml:space="preserve"> 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Если работнику нужно установить безналичные выплаты, то в поле «Способ платежа» из справочника выбираем значение «Банковский платеж» и заполняем поля «Ключ банка» и «Номер счета в банке». </w:t>
      </w:r>
      <w:r>
        <w:rPr>
          <w:lang w:val="ru-RU" w:bidi="he-IL"/>
        </w:rPr>
        <w:t>После заполнения экрана нажимаем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36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/>
        </w:rPr>
      </w:pPr>
      <w:r>
        <w:rPr/>
        <w:drawing>
          <wp:inline distT="0" distB="0" distL="0" distR="0">
            <wp:extent cx="4952365" cy="2443480"/>
            <wp:effectExtent l="0" t="0" r="0" b="0"/>
            <wp:docPr id="37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4413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Рис.18</w:t>
      </w:r>
    </w:p>
    <w:p>
      <w:pPr>
        <w:pStyle w:val="Normal"/>
        <w:jc w:val="both"/>
        <w:rPr>
          <w:rFonts w:cs="Arial"/>
          <w:b/>
          <w:b/>
          <w:szCs w:val="22"/>
          <w:lang w:val="ru-RU" w:eastAsia="ru-RU"/>
        </w:rPr>
      </w:pPr>
      <w:r>
        <w:rPr>
          <w:rFonts w:cs="Arial"/>
          <w:b/>
          <w:szCs w:val="22"/>
          <w:lang w:val="ru-RU" w:eastAsia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1.9. В окне «создать Компоненты договора»: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Arial"/>
          <w:szCs w:val="22"/>
          <w:lang w:val="ru-RU"/>
        </w:rPr>
        <w:t>Заполняем реквизиты договора ГПХ (рис.19).: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ind w:start="1134" w:hanging="283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Номер договора.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ind w:start="1134" w:hanging="283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Срок окончания договора – обязательно поле для заполнения.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ind w:start="1134" w:hanging="283"/>
        <w:jc w:val="both"/>
        <w:rPr/>
      </w:pPr>
      <w:r>
        <w:rPr>
          <w:rFonts w:cs="Arial"/>
          <w:szCs w:val="22"/>
          <w:lang w:val="ru-RU"/>
        </w:rPr>
        <w:t>Описание и стоимость работ по договору – свободное поле для ввода информации по договору.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8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5335270" cy="3404870"/>
            <wp:effectExtent l="0" t="0" r="0" b="0"/>
            <wp:docPr id="39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lang w:val="ru-RU" w:eastAsia="ru-RU"/>
        </w:rPr>
      </w:pPr>
      <w:r>
        <w:rPr>
          <w:lang w:val="ru-RU" w:eastAsia="ru-RU"/>
        </w:rPr>
        <w:t>Рис.19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1.10. ИТ 0027 Распределение затрат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После приема сотрудника ГПХ, необходимо завести ИТ 0027 Распределение затрат: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5733415" cy="714375"/>
            <wp:effectExtent l="0" t="0" r="0" b="0"/>
            <wp:docPr id="40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3" t="-101" r="-13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rPr/>
      </w:pPr>
      <w:r>
        <w:rPr>
          <w:rFonts w:cs="Arial"/>
          <w:b/>
          <w:color w:val="000000"/>
          <w:sz w:val="24"/>
          <w:szCs w:val="24"/>
          <w:u w:val="single"/>
          <w:lang w:val="ru-RU" w:eastAsia="ru-RU"/>
        </w:rPr>
        <w:t>Схема начисления по договорам ГПХ:</w:t>
      </w:r>
    </w:p>
    <w:p>
      <w:pPr>
        <w:pStyle w:val="Normal"/>
        <w:rPr>
          <w:rFonts w:cs="Arial"/>
          <w:b/>
          <w:b/>
          <w:color w:val="000000"/>
          <w:sz w:val="24"/>
          <w:szCs w:val="24"/>
          <w:u w:val="single"/>
          <w:lang w:val="ru-RU" w:eastAsia="ru-RU"/>
        </w:rPr>
      </w:pPr>
      <w:r>
        <w:rPr>
          <w:rFonts w:cs="Arial"/>
          <w:b/>
          <w:color w:val="000000"/>
          <w:sz w:val="24"/>
          <w:szCs w:val="24"/>
          <w:u w:val="single"/>
          <w:lang w:val="ru-RU" w:eastAsia="ru-RU"/>
        </w:rPr>
      </w:r>
    </w:p>
    <w:tbl>
      <w:tblPr>
        <w:tblW w:w="9767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0"/>
        <w:gridCol w:w="2837"/>
        <w:gridCol w:w="992"/>
        <w:gridCol w:w="1134"/>
        <w:gridCol w:w="566"/>
        <w:gridCol w:w="3847"/>
      </w:tblGrid>
      <w:tr>
        <w:trPr/>
        <w:tc>
          <w:tcPr>
            <w:tcW w:w="39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1.</w:t>
            </w:r>
          </w:p>
        </w:tc>
        <w:tc>
          <w:tcPr>
            <w:tcW w:w="28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Начислено по договору ГПХ</w:t>
            </w:r>
          </w:p>
        </w:tc>
        <w:tc>
          <w:tcPr>
            <w:tcW w:w="99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Д76 К70</w:t>
            </w:r>
          </w:p>
        </w:tc>
        <w:tc>
          <w:tcPr>
            <w:tcW w:w="113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100 руб.</w:t>
            </w:r>
          </w:p>
        </w:tc>
        <w:tc>
          <w:tcPr>
            <w:tcW w:w="5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</w:rPr>
              <w:t>HR</w:t>
            </w:r>
          </w:p>
        </w:tc>
        <w:tc>
          <w:tcPr>
            <w:tcW w:w="384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Начисление ВО 0052, 0053, 0054.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Проводка при выгрузке зп в </w:t>
            </w:r>
            <w:r>
              <w:rPr>
                <w:rFonts w:cs="Times New Roman" w:ascii="Times New Roman" w:hAnsi="Times New Roman"/>
                <w:sz w:val="20"/>
              </w:rPr>
              <w:t>FI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>.</w:t>
            </w:r>
          </w:p>
        </w:tc>
      </w:tr>
      <w:tr>
        <w:trPr/>
        <w:tc>
          <w:tcPr>
            <w:tcW w:w="39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2.</w:t>
            </w:r>
          </w:p>
        </w:tc>
        <w:tc>
          <w:tcPr>
            <w:tcW w:w="2837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Удержан НДФЛ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Д70 К68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13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HR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Удержание при расчете зп.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Проводка при выгрузке зп в </w:t>
            </w:r>
            <w:r>
              <w:rPr>
                <w:rFonts w:cs="Times New Roman" w:ascii="Times New Roman" w:hAnsi="Times New Roman"/>
                <w:sz w:val="20"/>
              </w:rPr>
              <w:t>FI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>.</w:t>
            </w:r>
          </w:p>
        </w:tc>
      </w:tr>
      <w:tr>
        <w:trPr/>
        <w:tc>
          <w:tcPr>
            <w:tcW w:w="39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3.</w:t>
            </w:r>
          </w:p>
        </w:tc>
        <w:tc>
          <w:tcPr>
            <w:tcW w:w="2837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Выплачено по договору ГПХ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Д76 К51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87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HR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Выплата зп.</w:t>
            </w:r>
          </w:p>
        </w:tc>
      </w:tr>
      <w:tr>
        <w:trPr/>
        <w:tc>
          <w:tcPr>
            <w:tcW w:w="39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4.</w:t>
            </w:r>
          </w:p>
        </w:tc>
        <w:tc>
          <w:tcPr>
            <w:tcW w:w="2837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Выплата по договору ГПХ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cs="Times New Roman" w:ascii="Times New Roman" w:hAnsi="Times New Roman"/>
                <w:sz w:val="20"/>
              </w:rPr>
              <w:t>Д70 К76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Arial"/>
              </w:rPr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87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FI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Перенос оплаты. Ручная проводка.</w:t>
            </w:r>
          </w:p>
        </w:tc>
      </w:tr>
      <w:tr>
        <w:trPr/>
        <w:tc>
          <w:tcPr>
            <w:tcW w:w="39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5</w:t>
            </w:r>
            <w:r>
              <w:rPr>
                <w:rFonts w:cs="Times New Roman" w:ascii="Times New Roman" w:hAnsi="Times New Roman"/>
                <w:sz w:val="20"/>
              </w:rPr>
              <w:t>.</w:t>
            </w:r>
          </w:p>
        </w:tc>
        <w:tc>
          <w:tcPr>
            <w:tcW w:w="2837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cs="Times New Roman" w:ascii="Times New Roman" w:hAnsi="Times New Roman"/>
                <w:sz w:val="20"/>
              </w:rPr>
              <w:t>Оказаны услуги по договору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Arial"/>
              </w:rPr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cs="Times New Roman" w:ascii="Times New Roman" w:hAnsi="Times New Roman"/>
                <w:sz w:val="20"/>
              </w:rPr>
              <w:t>Д32 К76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или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Д91 К76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100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FI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Вручную относим на затраты. Оформляется счет-фактура. </w:t>
            </w:r>
            <w:r>
              <w:rPr>
                <w:rFonts w:cs="Times New Roman" w:ascii="Times New Roman" w:hAnsi="Times New Roman"/>
                <w:sz w:val="20"/>
              </w:rPr>
              <w:t>Заводится документ закупки.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sectPr>
      <w:headerReference w:type="default" r:id="rId38"/>
      <w:type w:val="nextPage"/>
      <w:pgSz w:w="12240" w:h="15840"/>
      <w:pgMar w:left="1009" w:right="1009" w:gutter="0" w:header="680" w:top="737" w:footer="0" w:bottom="822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 Bold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Helv">
    <w:altName w:val="Arial"/>
    <w:charset w:val="01"/>
    <w:family w:val="roman"/>
    <w:pitch w:val="default"/>
  </w:font>
  <w:font w:name="Tahoma">
    <w:charset w:val="01"/>
    <w:family w:val="roman"/>
    <w:pitch w:val="default"/>
  </w:font>
  <w:font w:name="Arial Unicode MS">
    <w:charset w:val="01"/>
    <w:family w:val="roman"/>
    <w:pitch w:val="default"/>
  </w:font>
  <w:font w:name="Calibri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Arial"/>
        <w:lang w:val="ru-RU"/>
      </w:rPr>
    </w:pPr>
    <w:r>
      <w:rPr>
        <w:rFonts w:cs="Arial"/>
        <w:lang w:val="ru-RU"/>
      </w:rPr>
    </w:r>
  </w:p>
  <w:tbl>
    <w:tblPr>
      <w:tblW w:w="10206" w:type="dxa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4962"/>
      <w:gridCol w:w="5243"/>
    </w:tblGrid>
    <w:tr>
      <w:trPr>
        <w:trHeight w:val="1142" w:hRule="atLeast"/>
        <w:cantSplit w:val="true"/>
      </w:trPr>
      <w:tc>
        <w:tcPr>
          <w:tcW w:w="4962" w:type="dxa"/>
          <w:tcBorders/>
        </w:tcPr>
        <w:p>
          <w:pPr>
            <w:pStyle w:val="Normal"/>
            <w:widowControl w:val="false"/>
            <w:snapToGrid w:val="false"/>
            <w:rPr>
              <w:rFonts w:cs="Arial"/>
              <w:lang w:val="ru-RU"/>
            </w:rPr>
          </w:pPr>
          <w:r>
            <w:rPr>
              <w:rFonts w:cs="Arial"/>
              <w:lang w:val="ru-RU"/>
            </w:rPr>
          </w:r>
        </w:p>
        <w:p>
          <w:pPr>
            <w:pStyle w:val="Normal"/>
            <w:widowControl w:val="false"/>
            <w:rPr>
              <w:rFonts w:cs="Arial"/>
              <w:lang w:val="ru-RU"/>
            </w:rPr>
          </w:pPr>
          <w:r>
            <w:rPr>
              <w:rFonts w:cs="Arial"/>
              <w:lang w:val="ru-RU"/>
            </w:rPr>
          </w:r>
        </w:p>
        <w:p>
          <w:pPr>
            <w:pStyle w:val="Normal"/>
            <w:widowControl w:val="false"/>
            <w:rPr>
              <w:b/>
              <w:b/>
              <w:i/>
              <w:i/>
              <w:lang w:val="ru-RU"/>
            </w:rPr>
          </w:pPr>
          <w:r>
            <w:rPr/>
            <w:drawing>
              <wp:inline distT="0" distB="0" distL="0" distR="0">
                <wp:extent cx="1428750" cy="350520"/>
                <wp:effectExtent l="0" t="0" r="0" b="0"/>
                <wp:docPr id="41" name="Image35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35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0" t="-200" r="-50" b="-2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3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3" w:type="dxa"/>
          <w:tcBorders/>
        </w:tcPr>
        <w:p>
          <w:pPr>
            <w:pStyle w:val="Heading7"/>
            <w:widowControl w:val="false"/>
            <w:ind w:start="1008" w:hanging="0"/>
            <w:jc w:val="end"/>
            <w:rPr>
              <w:sz w:val="16"/>
            </w:rPr>
          </w:pPr>
          <w:r>
            <w:rPr/>
            <w:drawing>
              <wp:inline distT="0" distB="0" distL="0" distR="0">
                <wp:extent cx="1286510" cy="723265"/>
                <wp:effectExtent l="0" t="0" r="0" b="0"/>
                <wp:docPr id="42" name="Логотип Газпром нефть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Логотип Газпром нефть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37" t="-65" r="-37" b="-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72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94" w:hRule="atLeast"/>
        <w:cantSplit w:val="true"/>
      </w:trPr>
      <w:tc>
        <w:tcPr>
          <w:tcW w:w="10205" w:type="dxa"/>
          <w:gridSpan w:val="2"/>
          <w:tcBorders>
            <w:bottom w:val="single" w:sz="4" w:space="0" w:color="000000"/>
          </w:tcBorders>
        </w:tcPr>
        <w:p>
          <w:pPr>
            <w:pStyle w:val="Heading2"/>
            <w:widowControl w:val="false"/>
            <w:snapToGrid w:val="false"/>
            <w:spacing w:before="0" w:after="0"/>
            <w:jc w:val="center"/>
            <w:rPr>
              <w:sz w:val="20"/>
              <w:lang w:val="ru-RU"/>
            </w:rPr>
          </w:pPr>
          <w:r>
            <w:rPr>
              <w:sz w:val="20"/>
              <w:lang w:val="ru-RU"/>
            </w:rPr>
          </w:r>
        </w:p>
      </w:tc>
    </w:tr>
  </w:tbl>
  <w:p>
    <w:pPr>
      <w:pStyle w:val="Header"/>
      <w:jc w:val="center"/>
      <w:rPr>
        <w:rFonts w:cs="Arial"/>
        <w:lang w:val="ru-RU"/>
      </w:rPr>
    </w:pPr>
    <w:r>
      <w:rPr>
        <w:rFonts w:cs="Arial"/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numFmt w:val="bullet"/>
      <w:lvlText w:val=""/>
      <w:lvlJc w:val="start"/>
      <w:pPr>
        <w:tabs>
          <w:tab w:val="num" w:pos="1442"/>
        </w:tabs>
        <w:ind w:start="1442" w:hanging="4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74"/>
      <w:numFmt w:val="bullet"/>
      <w:lvlText w:val=""/>
      <w:lvlJc w:val="start"/>
      <w:pPr>
        <w:tabs>
          <w:tab w:val="num" w:pos="780"/>
        </w:tabs>
        <w:ind w:star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numFmt w:val="bullet"/>
      <w:lvlText w:val=""/>
      <w:lvlJc w:val="start"/>
      <w:pPr>
        <w:tabs>
          <w:tab w:val="num" w:pos="440"/>
        </w:tabs>
        <w:ind w:start="440" w:hanging="4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74"/>
      <w:numFmt w:val="bullet"/>
      <w:lvlText w:val=""/>
      <w:lvlJc w:val="start"/>
      <w:pPr>
        <w:tabs>
          <w:tab w:val="num" w:pos="360"/>
        </w:tabs>
        <w:ind w:star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74"/>
      <w:numFmt w:val="bullet"/>
      <w:lvlText w:val=""/>
      <w:lvlJc w:val="start"/>
      <w:pPr>
        <w:tabs>
          <w:tab w:val="num" w:pos="780"/>
        </w:tabs>
        <w:ind w:star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74"/>
      <w:numFmt w:val="bullet"/>
      <w:lvlText w:val=""/>
      <w:lvlJc w:val="start"/>
      <w:pPr>
        <w:tabs>
          <w:tab w:val="num" w:pos="780"/>
        </w:tabs>
        <w:ind w:star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Bibliography-1.dbo.Sheet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kern w:val="2"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6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60" w:after="12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napToGrid w:val="false"/>
      <w:outlineLvl w:val="3"/>
    </w:pPr>
    <w:rPr>
      <w:rFonts w:eastAsia="Arial Unicode MS"/>
      <w:b/>
      <w:color w:val="0000FF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before="0" w:after="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start="360" w:hanging="0"/>
      <w:outlineLvl w:val="6"/>
    </w:pPr>
    <w:rPr>
      <w:b/>
      <w:i/>
      <w:color w:val="00000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color w:val="FFFFFF"/>
      <w:sz w:val="24"/>
    </w:rPr>
  </w:style>
  <w:style w:type="character" w:styleId="WW8Num1z0">
    <w:name w:val="WW8Num1z0"/>
    <w:qFormat/>
    <w:rPr>
      <w:rFonts w:ascii="Symbol" w:hAnsi="Symbol" w:cs="Symbol"/>
      <w:sz w:val="22"/>
    </w:rPr>
  </w:style>
  <w:style w:type="character" w:styleId="WW8Num2z0">
    <w:name w:val="WW8Num2z0"/>
    <w:qFormat/>
    <w:rPr>
      <w:rFonts w:ascii="Symbol" w:hAnsi="Symbol" w:cs="Symbol"/>
      <w:color w:val="000000"/>
      <w:sz w:val="22"/>
    </w:rPr>
  </w:style>
  <w:style w:type="character" w:styleId="WW8Num3z0">
    <w:name w:val="WW8Num3z0"/>
    <w:qFormat/>
    <w:rPr>
      <w:rFonts w:ascii="Symbol" w:hAnsi="Symbol" w:cs="Symbol"/>
      <w:color w:val="000000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Cs w:val="22"/>
      <w:lang w:val="ru-RU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b w:val="false"/>
      <w:color w:val="000000"/>
      <w:sz w:val="22"/>
      <w:u w:val="non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color w:val="000000"/>
      <w:sz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Cs w:val="22"/>
      <w:lang w:val="ru-RU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lang w:val="ru-RU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b/>
      <w:i w:val="false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Cs w:val="22"/>
      <w:lang w:val="ru-RU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  <w:lang w:val="ru-RU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Wingdings" w:hAnsi="Wingdings" w:cs="Wingdings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Style5">
    <w:name w:val="Основной шрифт абзаца"/>
    <w:qFormat/>
    <w:rPr/>
  </w:style>
  <w:style w:type="character" w:styleId="PageNumber">
    <w:name w:val="Page Number"/>
    <w:basedOn w:val="Style5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C100TextExample">
    <w:name w:val="C100_Text_Example"/>
    <w:qFormat/>
    <w:rPr>
      <w:b/>
      <w:lang w:val="en-US"/>
    </w:rPr>
  </w:style>
  <w:style w:type="character" w:styleId="Style6">
    <w:name w:val="номер страницы"/>
    <w:qFormat/>
    <w:rPr>
      <w:b/>
      <w:sz w:val="16"/>
    </w:rPr>
  </w:style>
  <w:style w:type="character" w:styleId="Emphasis">
    <w:name w:val="Emphasis"/>
    <w:qFormat/>
    <w:rPr>
      <w:i/>
      <w:iCs/>
    </w:rPr>
  </w:style>
  <w:style w:type="character" w:styleId="HRChar">
    <w:name w:val="HR абзац Char"/>
    <w:qFormat/>
    <w:rPr>
      <w:sz w:val="28"/>
      <w:lang w:val="en-US" w:bidi="he-IL"/>
    </w:rPr>
  </w:style>
  <w:style w:type="character" w:styleId="HRChar1">
    <w:name w:val="HR абзац курсив Char"/>
    <w:qFormat/>
    <w:rPr>
      <w:i/>
      <w:sz w:val="28"/>
      <w:lang w:val="en-US" w:bidi="he-IL"/>
    </w:rPr>
  </w:style>
  <w:style w:type="character" w:styleId="HRboldChar">
    <w:name w:val="HR bold Char"/>
    <w:qFormat/>
    <w:rPr>
      <w:b/>
      <w:sz w:val="28"/>
      <w:lang w:val="ru-RU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16"/>
    </w:rPr>
  </w:style>
  <w:style w:type="paragraph" w:styleId="Contents1">
    <w:name w:val="TOC 1"/>
    <w:basedOn w:val="Normal"/>
    <w:next w:val="Normal"/>
    <w:pPr>
      <w:tabs>
        <w:tab w:val="clear" w:pos="720"/>
        <w:tab w:val="right" w:pos="10214" w:leader="dot"/>
      </w:tabs>
      <w:spacing w:before="40" w:after="40"/>
    </w:pPr>
    <w:rPr>
      <w:rFonts w:ascii="Arial Bold;Arial" w:hAnsi="Arial Bold;Arial" w:cs="Arial Bold;Arial"/>
      <w:b/>
      <w:caps/>
      <w:lang w:val="ru-RU" w:eastAsia="ru-RU"/>
    </w:rPr>
  </w:style>
  <w:style w:type="paragraph" w:styleId="Contents2">
    <w:name w:val="TOC 2"/>
    <w:basedOn w:val="Normal"/>
    <w:next w:val="Normal"/>
    <w:pPr>
      <w:spacing w:before="40" w:after="40"/>
      <w:ind w:start="202" w:hanging="0"/>
    </w:pPr>
    <w:rPr>
      <w:smallCaps/>
    </w:rPr>
  </w:style>
  <w:style w:type="paragraph" w:styleId="Contents3">
    <w:name w:val="TOC 3"/>
    <w:basedOn w:val="Normal"/>
    <w:next w:val="Normal"/>
    <w:pPr>
      <w:ind w:start="400" w:hanging="0"/>
    </w:pPr>
    <w:rPr/>
  </w:style>
  <w:style w:type="paragraph" w:styleId="Contents4">
    <w:name w:val="TOC 4"/>
    <w:basedOn w:val="Normal"/>
    <w:next w:val="Normal"/>
    <w:pPr>
      <w:ind w:start="600" w:hanging="0"/>
    </w:pPr>
    <w:rPr/>
  </w:style>
  <w:style w:type="paragraph" w:styleId="Contents5">
    <w:name w:val="TOC 5"/>
    <w:basedOn w:val="Normal"/>
    <w:next w:val="Normal"/>
    <w:pPr>
      <w:ind w:start="800" w:hanging="0"/>
    </w:pPr>
    <w:rPr/>
  </w:style>
  <w:style w:type="paragraph" w:styleId="Contents6">
    <w:name w:val="TOC 6"/>
    <w:basedOn w:val="Normal"/>
    <w:next w:val="Normal"/>
    <w:pPr>
      <w:ind w:start="1000" w:hanging="0"/>
    </w:pPr>
    <w:rPr/>
  </w:style>
  <w:style w:type="paragraph" w:styleId="Contents7">
    <w:name w:val="TOC 7"/>
    <w:basedOn w:val="Normal"/>
    <w:next w:val="Normal"/>
    <w:pPr>
      <w:ind w:start="1200" w:hanging="0"/>
    </w:pPr>
    <w:rPr/>
  </w:style>
  <w:style w:type="paragraph" w:styleId="Contents8">
    <w:name w:val="TOC 8"/>
    <w:basedOn w:val="Normal"/>
    <w:next w:val="Normal"/>
    <w:pPr>
      <w:ind w:start="1400" w:hanging="0"/>
    </w:pPr>
    <w:rPr/>
  </w:style>
  <w:style w:type="paragraph" w:styleId="Contents9">
    <w:name w:val="TOC 9"/>
    <w:basedOn w:val="Normal"/>
    <w:next w:val="Normal"/>
    <w:pPr>
      <w:ind w:start="1600" w:hanging="0"/>
    </w:pPr>
    <w:rPr/>
  </w:style>
  <w:style w:type="paragraph" w:styleId="Index1">
    <w:name w:val="Index 1"/>
    <w:basedOn w:val="Normal"/>
    <w:next w:val="Normal"/>
    <w:pPr>
      <w:ind w:start="200" w:hanging="200"/>
    </w:pPr>
    <w:rPr/>
  </w:style>
  <w:style w:type="paragraph" w:styleId="Index2">
    <w:name w:val="Index 2"/>
    <w:basedOn w:val="Normal"/>
    <w:next w:val="Normal"/>
    <w:pPr>
      <w:ind w:start="400" w:hanging="200"/>
    </w:pPr>
    <w:rPr/>
  </w:style>
  <w:style w:type="paragraph" w:styleId="Index3">
    <w:name w:val="Index 3"/>
    <w:basedOn w:val="Normal"/>
    <w:next w:val="Normal"/>
    <w:pPr>
      <w:ind w:start="600" w:hanging="200"/>
    </w:pPr>
    <w:rPr/>
  </w:style>
  <w:style w:type="paragraph" w:styleId="4">
    <w:name w:val="Указатель 4"/>
    <w:basedOn w:val="Normal"/>
    <w:next w:val="Normal"/>
    <w:qFormat/>
    <w:pPr>
      <w:ind w:start="800" w:hanging="200"/>
    </w:pPr>
    <w:rPr/>
  </w:style>
  <w:style w:type="paragraph" w:styleId="5">
    <w:name w:val="Указатель 5"/>
    <w:basedOn w:val="Normal"/>
    <w:next w:val="Normal"/>
    <w:qFormat/>
    <w:pPr>
      <w:ind w:start="1000" w:hanging="200"/>
    </w:pPr>
    <w:rPr/>
  </w:style>
  <w:style w:type="paragraph" w:styleId="6">
    <w:name w:val="Указатель 6"/>
    <w:basedOn w:val="Normal"/>
    <w:next w:val="Normal"/>
    <w:qFormat/>
    <w:pPr>
      <w:ind w:start="1200" w:hanging="200"/>
    </w:pPr>
    <w:rPr/>
  </w:style>
  <w:style w:type="paragraph" w:styleId="7">
    <w:name w:val="Указатель 7"/>
    <w:basedOn w:val="Normal"/>
    <w:next w:val="Normal"/>
    <w:qFormat/>
    <w:pPr>
      <w:ind w:start="1400" w:hanging="200"/>
    </w:pPr>
    <w:rPr/>
  </w:style>
  <w:style w:type="paragraph" w:styleId="8">
    <w:name w:val="Указатель 8"/>
    <w:basedOn w:val="Normal"/>
    <w:next w:val="Normal"/>
    <w:qFormat/>
    <w:pPr>
      <w:ind w:start="1600" w:hanging="200"/>
    </w:pPr>
    <w:rPr/>
  </w:style>
  <w:style w:type="paragraph" w:styleId="9">
    <w:name w:val="Указатель 9"/>
    <w:basedOn w:val="Normal"/>
    <w:next w:val="Normal"/>
    <w:qFormat/>
    <w:pPr>
      <w:ind w:start="1800" w:hanging="200"/>
    </w:pPr>
    <w:rPr/>
  </w:style>
  <w:style w:type="paragraph" w:styleId="IndexHeading">
    <w:name w:val="Index Heading"/>
    <w:basedOn w:val="Normal"/>
    <w:next w:val="Index1"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16"/>
    </w:rPr>
  </w:style>
  <w:style w:type="paragraph" w:styleId="Header1">
    <w:name w:val="*Header 1"/>
    <w:qFormat/>
    <w:pPr>
      <w:keepNext w:val="true"/>
      <w:widowControl/>
      <w:suppressAutoHyphens w:val="true"/>
      <w:bidi w:val="0"/>
      <w:spacing w:before="240" w:after="120"/>
      <w:jc w:val="start"/>
      <w:outlineLvl w:val="0"/>
    </w:pPr>
    <w:rPr>
      <w:rFonts w:ascii="Times New Roman" w:hAnsi="Times New Roman" w:eastAsia="Times New Roman" w:cs="Times New Roman"/>
      <w:b/>
      <w:caps/>
      <w:color w:val="auto"/>
      <w:kern w:val="0"/>
      <w:sz w:val="28"/>
      <w:szCs w:val="20"/>
      <w:lang w:val="en-US" w:eastAsia="zh-CN" w:bidi="ar-SA"/>
    </w:rPr>
  </w:style>
  <w:style w:type="paragraph" w:styleId="Header2">
    <w:name w:val="*Header 2"/>
    <w:qFormat/>
    <w:pPr>
      <w:keepNext w:val="true"/>
      <w:keepLines/>
      <w:widowControl/>
      <w:suppressAutoHyphens w:val="true"/>
      <w:bidi w:val="0"/>
      <w:spacing w:before="120" w:after="120"/>
      <w:jc w:val="center"/>
      <w:outlineLvl w:val="1"/>
    </w:pPr>
    <w:rPr>
      <w:rFonts w:ascii="Helv" w:hAnsi="Helv" w:eastAsia="Times New Roman" w:cs="Arial"/>
      <w:color w:val="000000"/>
      <w:kern w:val="0"/>
      <w:sz w:val="24"/>
      <w:szCs w:val="20"/>
      <w:lang w:val="ru-RU" w:eastAsia="zh-CN" w:bidi="ar-SA"/>
    </w:rPr>
  </w:style>
  <w:style w:type="paragraph" w:styleId="Header3">
    <w:name w:val="*Header 3"/>
    <w:qFormat/>
    <w:pPr>
      <w:keepNext w:val="true"/>
      <w:keepLines/>
      <w:widowControl/>
      <w:suppressAutoHyphens w:val="true"/>
      <w:bidi w:val="0"/>
      <w:spacing w:before="120" w:after="120"/>
      <w:jc w:val="start"/>
      <w:outlineLvl w:val="2"/>
    </w:pPr>
    <w:rPr>
      <w:rFonts w:ascii="Times New Roman" w:hAnsi="Times New Roman" w:eastAsia="Times New Roman" w:cs="Times New Roman"/>
      <w:b/>
      <w:color w:val="auto"/>
      <w:kern w:val="0"/>
      <w:sz w:val="22"/>
      <w:szCs w:val="20"/>
      <w:lang w:val="en-US" w:eastAsia="zh-CN" w:bidi="ar-SA"/>
    </w:rPr>
  </w:style>
  <w:style w:type="paragraph" w:styleId="Body1">
    <w:name w:val="*Body 1"/>
    <w:qFormat/>
    <w:pPr>
      <w:widowControl/>
      <w:suppressAutoHyphens w:val="true"/>
      <w:bidi w:val="0"/>
      <w:spacing w:before="0" w:after="12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zh-CN" w:bidi="ar-SA"/>
    </w:rPr>
  </w:style>
  <w:style w:type="paragraph" w:styleId="Bullet2">
    <w:name w:val="*Bullet 2"/>
    <w:qFormat/>
    <w:pPr>
      <w:keepLines/>
      <w:widowControl/>
      <w:numPr>
        <w:ilvl w:val="0"/>
        <w:numId w:val="2"/>
      </w:numPr>
      <w:suppressAutoHyphens w:val="true"/>
      <w:bidi w:val="0"/>
      <w:spacing w:before="0" w:after="12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zh-CN" w:bidi="ar-SA"/>
    </w:rPr>
  </w:style>
  <w:style w:type="paragraph" w:styleId="Bullet1">
    <w:name w:val="*Bullet 1"/>
    <w:qFormat/>
    <w:pPr>
      <w:keepLines/>
      <w:widowControl/>
      <w:numPr>
        <w:ilvl w:val="0"/>
        <w:numId w:val="3"/>
      </w:numPr>
      <w:suppressAutoHyphens w:val="true"/>
      <w:bidi w:val="0"/>
      <w:spacing w:before="0" w:after="120"/>
      <w:jc w:val="start"/>
    </w:pPr>
    <w:rPr>
      <w:rFonts w:ascii="Times New Roman" w:hAnsi="Times New Roman" w:eastAsia="Times New Roman" w:cs="Times New Roman"/>
      <w:color w:val="000000"/>
      <w:kern w:val="0"/>
      <w:sz w:val="22"/>
      <w:szCs w:val="20"/>
      <w:lang w:val="en-US" w:eastAsia="zh-CN" w:bidi="ar-SA"/>
    </w:rPr>
  </w:style>
  <w:style w:type="paragraph" w:styleId="Bullet21">
    <w:name w:val="*Bullet2"/>
    <w:qFormat/>
    <w:pPr>
      <w:widowControl/>
      <w:tabs>
        <w:tab w:val="clear" w:pos="720"/>
        <w:tab w:val="left" w:pos="1980" w:leader="none"/>
      </w:tabs>
      <w:suppressAutoHyphens w:val="true"/>
      <w:bidi w:val="0"/>
      <w:spacing w:lineRule="exact" w:line="280" w:before="80" w:after="200"/>
      <w:ind w:start="1980" w:hanging="360"/>
      <w:jc w:val="start"/>
    </w:pPr>
    <w:rPr>
      <w:rFonts w:ascii="Arial" w:hAnsi="Arial" w:eastAsia="Times" w:cs="Arial"/>
      <w:color w:val="auto"/>
      <w:kern w:val="0"/>
      <w:sz w:val="20"/>
      <w:szCs w:val="20"/>
      <w:lang w:val="en-US" w:eastAsia="ru-RU" w:bidi="ar-SA"/>
    </w:rPr>
  </w:style>
  <w:style w:type="paragraph" w:styleId="AuthorAddress">
    <w:name w:val="*Author Address"/>
    <w:basedOn w:val="Body1"/>
    <w:qFormat/>
    <w:pPr>
      <w:spacing w:before="0" w:after="0"/>
    </w:pPr>
    <w:rPr/>
  </w:style>
  <w:style w:type="paragraph" w:styleId="AuthorName">
    <w:name w:val="*Author Name"/>
    <w:basedOn w:val="Body1"/>
    <w:qFormat/>
    <w:pPr>
      <w:spacing w:before="0" w:after="0"/>
    </w:pPr>
    <w:rPr>
      <w:b/>
    </w:rPr>
  </w:style>
  <w:style w:type="paragraph" w:styleId="DocumentTitle">
    <w:name w:val="*Document Title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b/>
      <w:smallCaps/>
      <w:color w:val="auto"/>
      <w:kern w:val="0"/>
      <w:sz w:val="32"/>
      <w:szCs w:val="20"/>
      <w:lang w:val="en-US" w:eastAsia="ru-RU" w:bidi="ar-SA"/>
    </w:rPr>
  </w:style>
  <w:style w:type="paragraph" w:styleId="CoverPageInfo">
    <w:name w:val="*Cover Page Info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Times New Roman" w:cs="Times New Roman"/>
      <w:b/>
      <w:color w:val="auto"/>
      <w:kern w:val="0"/>
      <w:sz w:val="24"/>
      <w:szCs w:val="20"/>
      <w:lang w:val="en-US" w:eastAsia="zh-CN" w:bidi="ar-SA"/>
    </w:rPr>
  </w:style>
  <w:style w:type="paragraph" w:styleId="Header4">
    <w:name w:val="*Header 4"/>
    <w:qFormat/>
    <w:pPr>
      <w:widowControl/>
      <w:suppressAutoHyphens w:val="true"/>
      <w:bidi w:val="0"/>
      <w:spacing w:before="120" w:after="120"/>
      <w:jc w:val="start"/>
      <w:outlineLvl w:val="3"/>
    </w:pPr>
    <w:rPr>
      <w:rFonts w:ascii="Times New Roman" w:hAnsi="Times New Roman" w:eastAsia="Times New Roman" w:cs="Times New Roman"/>
      <w:b/>
      <w:i/>
      <w:color w:val="auto"/>
      <w:kern w:val="0"/>
      <w:sz w:val="22"/>
      <w:szCs w:val="20"/>
      <w:lang w:val="en-US" w:eastAsia="zh-CN" w:bidi="ar-SA"/>
    </w:rPr>
  </w:style>
  <w:style w:type="paragraph" w:styleId="HN1NotHeader1">
    <w:name w:val="*HN 1 Not Header 1"/>
    <w:basedOn w:val="Header1"/>
    <w:qFormat/>
    <w:pPr>
      <w:spacing w:before="120" w:after="120"/>
      <w:outlineLvl w:val="9"/>
    </w:pPr>
    <w:rPr/>
  </w:style>
  <w:style w:type="paragraph" w:styleId="Header5">
    <w:name w:val="*Header 5"/>
    <w:basedOn w:val="Header4"/>
    <w:qFormat/>
    <w:pPr>
      <w:spacing w:before="240" w:after="120"/>
      <w:outlineLvl w:val="4"/>
    </w:pPr>
    <w:rPr>
      <w:b w:val="false"/>
      <w:i w:val="false"/>
      <w:u w:val="single"/>
    </w:rPr>
  </w:style>
  <w:style w:type="paragraph" w:styleId="Tablebodytext">
    <w:name w:val="*Table body text"/>
    <w:basedOn w:val="Normal"/>
    <w:qFormat/>
    <w:pPr>
      <w:spacing w:before="60" w:after="60"/>
    </w:pPr>
    <w:rPr>
      <w:rFonts w:ascii="Times New Roman" w:hAnsi="Times New Roman" w:cs="Times New Roman"/>
      <w:sz w:val="20"/>
    </w:rPr>
  </w:style>
  <w:style w:type="paragraph" w:styleId="Tableheading">
    <w:name w:val="Table heading"/>
    <w:basedOn w:val="Body1"/>
    <w:qFormat/>
    <w:pPr>
      <w:spacing w:before="60" w:after="60"/>
      <w:jc w:val="center"/>
    </w:pPr>
    <w:rPr>
      <w:b/>
    </w:rPr>
  </w:style>
  <w:style w:type="paragraph" w:styleId="Tablebullet1">
    <w:name w:val="*Table bullet 1"/>
    <w:basedOn w:val="Normal"/>
    <w:qFormat/>
    <w:pPr>
      <w:numPr>
        <w:ilvl w:val="0"/>
        <w:numId w:val="4"/>
      </w:numPr>
      <w:tabs>
        <w:tab w:val="clear" w:pos="720"/>
        <w:tab w:val="left" w:pos="282" w:leader="none"/>
      </w:tabs>
      <w:spacing w:before="0" w:after="60"/>
      <w:ind w:start="288" w:hanging="288"/>
    </w:pPr>
    <w:rPr>
      <w:rFonts w:ascii="Times New Roman" w:hAnsi="Times New Roman" w:cs="Times New Roman"/>
      <w:sz w:val="20"/>
    </w:rPr>
  </w:style>
  <w:style w:type="paragraph" w:styleId="Tablebullet2">
    <w:name w:val="*Table bullet 2"/>
    <w:basedOn w:val="Normal"/>
    <w:qFormat/>
    <w:pPr>
      <w:numPr>
        <w:ilvl w:val="0"/>
        <w:numId w:val="7"/>
      </w:numPr>
      <w:tabs>
        <w:tab w:val="clear" w:pos="720"/>
        <w:tab w:val="left" w:pos="552" w:leader="none"/>
      </w:tabs>
      <w:spacing w:before="0" w:after="60"/>
      <w:ind w:start="562" w:hanging="274"/>
    </w:pPr>
    <w:rPr>
      <w:rFonts w:ascii="Times New Roman" w:hAnsi="Times New Roman" w:cs="Times New Roman"/>
      <w:sz w:val="20"/>
    </w:rPr>
  </w:style>
  <w:style w:type="paragraph" w:styleId="Style7">
    <w:name w:val="Схема документа"/>
    <w:basedOn w:val="Normal"/>
    <w:qFormat/>
    <w:pPr>
      <w:shd w:val="clear" w:fill="000080"/>
    </w:pPr>
    <w:rPr>
      <w:rFonts w:ascii="Tahoma" w:hAnsi="Tahoma" w:cs="Tahoma"/>
    </w:rPr>
  </w:style>
  <w:style w:type="paragraph" w:styleId="ResumeName">
    <w:name w:val="*Resume Name"/>
    <w:basedOn w:val="Body1"/>
    <w:qFormat/>
    <w:pPr>
      <w:spacing w:before="0" w:after="0"/>
    </w:pPr>
    <w:rPr>
      <w:b/>
    </w:rPr>
  </w:style>
  <w:style w:type="paragraph" w:styleId="ResumeTitle">
    <w:name w:val="*Resume Title"/>
    <w:basedOn w:val="ResumeName"/>
    <w:qFormat/>
    <w:pPr>
      <w:spacing w:before="0" w:after="240"/>
    </w:pPr>
    <w:rPr>
      <w:i/>
    </w:rPr>
  </w:style>
  <w:style w:type="paragraph" w:styleId="FigureTableCaption">
    <w:name w:val="*Figure/Table Caption"/>
    <w:basedOn w:val="Body1"/>
    <w:qFormat/>
    <w:pPr>
      <w:spacing w:before="60" w:after="120"/>
      <w:jc w:val="center"/>
    </w:pPr>
    <w:rPr>
      <w:b/>
      <w:i/>
      <w:sz w:val="20"/>
    </w:rPr>
  </w:style>
  <w:style w:type="paragraph" w:styleId="QualificationTitle">
    <w:name w:val="*Qualification Title"/>
    <w:basedOn w:val="Body1"/>
    <w:qFormat/>
    <w:pPr>
      <w:spacing w:before="0" w:after="180"/>
    </w:pPr>
    <w:rPr>
      <w:b/>
    </w:rPr>
  </w:style>
  <w:style w:type="paragraph" w:styleId="QualificationSubheader">
    <w:name w:val="*Qualification Subheader"/>
    <w:basedOn w:val="QualificationTitle"/>
    <w:qFormat/>
    <w:pPr>
      <w:spacing w:before="0" w:after="120"/>
    </w:pPr>
    <w:rPr>
      <w:i/>
      <w:color w:val="000000"/>
    </w:rPr>
  </w:style>
  <w:style w:type="paragraph" w:styleId="TemplateGuide">
    <w:name w:val="TemplateGuide"/>
    <w:basedOn w:val="Body1"/>
    <w:qFormat/>
    <w:pPr/>
    <w:rPr>
      <w:i/>
      <w:color w:val="0000FF"/>
    </w:rPr>
  </w:style>
  <w:style w:type="paragraph" w:styleId="IMG">
    <w:name w:val="IMG"/>
    <w:basedOn w:val="Normal"/>
    <w:qFormat/>
    <w:pPr>
      <w:keepNext w:val="true"/>
      <w:keepLines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before="120" w:after="120"/>
      <w:ind w:start="1296" w:hanging="1296"/>
    </w:pPr>
    <w:rPr/>
  </w:style>
  <w:style w:type="paragraph" w:styleId="P101TableField">
    <w:name w:val="P101_Table_Field"/>
    <w:basedOn w:val="Normal"/>
    <w:qFormat/>
    <w:pPr>
      <w:spacing w:before="120" w:after="60"/>
    </w:pPr>
    <w:rPr>
      <w:sz w:val="20"/>
    </w:rPr>
  </w:style>
  <w:style w:type="paragraph" w:styleId="P101TableFieldDef">
    <w:name w:val="P101_Table_FieldDef"/>
    <w:basedOn w:val="P101TableField"/>
    <w:qFormat/>
    <w:pPr/>
    <w:rPr/>
  </w:style>
  <w:style w:type="paragraph" w:styleId="P101TableExample">
    <w:name w:val="P101_Table_Example"/>
    <w:basedOn w:val="P101TableFieldDef"/>
    <w:qFormat/>
    <w:pPr>
      <w:spacing w:before="60" w:after="0"/>
      <w:ind w:start="1440" w:hanging="1440"/>
    </w:pPr>
    <w:rPr/>
  </w:style>
  <w:style w:type="paragraph" w:styleId="P101TableFieldReq">
    <w:name w:val="P101_Table_FieldReq"/>
    <w:basedOn w:val="P101TableField"/>
    <w:qFormat/>
    <w:pPr>
      <w:jc w:val="center"/>
    </w:pPr>
    <w:rPr/>
  </w:style>
  <w:style w:type="paragraph" w:styleId="P101TableHeading">
    <w:name w:val="P101_Table_Heading"/>
    <w:basedOn w:val="TextBody"/>
    <w:qFormat/>
    <w:pPr>
      <w:keepNext w:val="true"/>
      <w:spacing w:before="60" w:after="60"/>
      <w:jc w:val="center"/>
    </w:pPr>
    <w:rPr>
      <w:b/>
      <w:sz w:val="20"/>
    </w:rPr>
  </w:style>
  <w:style w:type="paragraph" w:styleId="Footnote">
    <w:name w:val="Footnote Text"/>
    <w:basedOn w:val="Normal"/>
    <w:pPr/>
    <w:rPr>
      <w:rFonts w:ascii="Times New Roman" w:hAnsi="Times New Roman" w:cs="Times New Roman"/>
    </w:rPr>
  </w:style>
  <w:style w:type="paragraph" w:styleId="TEXT">
    <w:name w:val="TEXT"/>
    <w:basedOn w:val="Normal"/>
    <w:qFormat/>
    <w:pPr>
      <w:ind w:start="1440" w:end="324" w:hanging="720"/>
    </w:pPr>
    <w:rPr>
      <w:sz w:val="20"/>
    </w:rPr>
  </w:style>
  <w:style w:type="paragraph" w:styleId="TablebodytextArial11">
    <w:name w:val="Стиль *Table body text + Arial 11 пт"/>
    <w:basedOn w:val="Tablebodytext"/>
    <w:qFormat/>
    <w:pPr/>
    <w:rPr>
      <w:rFonts w:ascii="Arial" w:hAnsi="Arial" w:cs="Arial"/>
      <w:sz w:val="24"/>
    </w:rPr>
  </w:style>
  <w:style w:type="paragraph" w:styleId="Style8">
    <w:name w:val="Табл соглас шапка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zh-CN" w:bidi="ar-SA"/>
    </w:rPr>
  </w:style>
  <w:style w:type="paragraph" w:styleId="Style9">
    <w:name w:val="Согласовано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b/>
      <w:color w:val="auto"/>
      <w:kern w:val="0"/>
      <w:sz w:val="22"/>
      <w:szCs w:val="20"/>
      <w:lang w:val="ru-RU" w:eastAsia="zh-CN" w:bidi="ar-SA"/>
    </w:rPr>
  </w:style>
  <w:style w:type="paragraph" w:styleId="Style10">
    <w:name w:val="Должности согласовывающих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355">
    <w:name w:val="Стиль Заголовок 3 + Перед:  5 пт После:  5 пт"/>
    <w:basedOn w:val="Heading3"/>
    <w:qFormat/>
    <w:pPr>
      <w:numPr>
        <w:ilvl w:val="0"/>
        <w:numId w:val="0"/>
      </w:numPr>
      <w:tabs>
        <w:tab w:val="left" w:pos="720" w:leader="none"/>
      </w:tabs>
      <w:spacing w:before="100" w:after="100"/>
      <w:ind w:start="720" w:hanging="720"/>
      <w:outlineLvl w:val="9"/>
    </w:pPr>
    <w:rPr>
      <w:bCs/>
      <w:iCs/>
      <w:color w:val="000000"/>
      <w:sz w:val="24"/>
      <w:lang w:val="ru-RU"/>
    </w:rPr>
  </w:style>
  <w:style w:type="paragraph" w:styleId="Style1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Обычный (веб)"/>
    <w:basedOn w:val="Normal"/>
    <w:qFormat/>
    <w:pPr>
      <w:spacing w:before="100" w:after="100"/>
    </w:pPr>
    <w:rPr>
      <w:rFonts w:ascii="Arial Unicode MS" w:hAnsi="Arial Unicode MS" w:eastAsia="Arial Unicode MS" w:cs="Arial Unicode MS"/>
      <w:sz w:val="24"/>
      <w:szCs w:val="24"/>
    </w:rPr>
  </w:style>
  <w:style w:type="paragraph" w:styleId="SolNorm">
    <w:name w:val="SolNorm"/>
    <w:qFormat/>
    <w:pPr>
      <w:widowControl/>
      <w:suppressAutoHyphens w:val="true"/>
      <w:bidi w:val="0"/>
      <w:spacing w:before="12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zh-CN" w:bidi="ar-SA"/>
    </w:rPr>
  </w:style>
  <w:style w:type="paragraph" w:styleId="Style13">
    <w:name w:val="Название объекта"/>
    <w:basedOn w:val="Normal"/>
    <w:next w:val="Normal"/>
    <w:qFormat/>
    <w:pPr/>
    <w:rPr>
      <w:u w:val="single"/>
      <w:lang w:val="ru-RU"/>
    </w:rPr>
  </w:style>
  <w:style w:type="paragraph" w:styleId="HR">
    <w:name w:val="HR абзац"/>
    <w:basedOn w:val="Normal"/>
    <w:qFormat/>
    <w:pPr>
      <w:spacing w:before="120" w:after="0"/>
      <w:ind w:firstLine="720"/>
      <w:jc w:val="both"/>
    </w:pPr>
    <w:rPr>
      <w:rFonts w:ascii="Times New Roman" w:hAnsi="Times New Roman" w:cs="Times New Roman"/>
      <w:sz w:val="28"/>
      <w:lang w:bidi="he-IL"/>
    </w:rPr>
  </w:style>
  <w:style w:type="paragraph" w:styleId="HR1">
    <w:name w:val="HR абзац курсив"/>
    <w:basedOn w:val="HR"/>
    <w:qFormat/>
    <w:pPr/>
    <w:rPr>
      <w:i/>
    </w:rPr>
  </w:style>
  <w:style w:type="paragraph" w:styleId="Style14">
    <w:name w:val="Меню"/>
    <w:basedOn w:val="Normal"/>
    <w:qFormat/>
    <w:pPr/>
    <w:rPr>
      <w:rFonts w:ascii="Times New Roman" w:hAnsi="Times New Roman" w:cs="Times New Roman"/>
      <w:sz w:val="24"/>
      <w:lang w:val="ru-RU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>
      <w:rFonts w:ascii="Times New Roman" w:hAnsi="Times New Roman" w:cs="Times New Roman"/>
      <w:sz w:val="24"/>
      <w:szCs w:val="24"/>
      <w:lang w:val="ru-RU"/>
    </w:rPr>
  </w:style>
  <w:style w:type="paragraph" w:styleId="HRbold">
    <w:name w:val="HR bold"/>
    <w:basedOn w:val="Normal"/>
    <w:qFormat/>
    <w:pPr>
      <w:spacing w:before="120" w:after="0"/>
      <w:ind w:firstLine="720"/>
      <w:jc w:val="both"/>
    </w:pPr>
    <w:rPr>
      <w:rFonts w:ascii="Times New Roman" w:hAnsi="Times New Roman" w:cs="Times New Roman"/>
      <w:b/>
      <w:sz w:val="28"/>
      <w:lang w:val="ru-RU"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1.png"/><Relationship Id="rId19" Type="http://schemas.openxmlformats.org/officeDocument/2006/relationships/image" Target="media/image16.png"/><Relationship Id="rId20" Type="http://schemas.openxmlformats.org/officeDocument/2006/relationships/image" Target="media/image11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1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11.png"/><Relationship Id="rId27" Type="http://schemas.openxmlformats.org/officeDocument/2006/relationships/image" Target="media/image21.png"/><Relationship Id="rId28" Type="http://schemas.openxmlformats.org/officeDocument/2006/relationships/image" Target="media/image11.png"/><Relationship Id="rId29" Type="http://schemas.openxmlformats.org/officeDocument/2006/relationships/image" Target="media/image22.png"/><Relationship Id="rId30" Type="http://schemas.openxmlformats.org/officeDocument/2006/relationships/image" Target="media/image11.png"/><Relationship Id="rId31" Type="http://schemas.openxmlformats.org/officeDocument/2006/relationships/image" Target="media/image23.png"/><Relationship Id="rId32" Type="http://schemas.openxmlformats.org/officeDocument/2006/relationships/image" Target="media/image11.png"/><Relationship Id="rId33" Type="http://schemas.openxmlformats.org/officeDocument/2006/relationships/image" Target="media/image11.png"/><Relationship Id="rId34" Type="http://schemas.openxmlformats.org/officeDocument/2006/relationships/image" Target="media/image24.png"/><Relationship Id="rId35" Type="http://schemas.openxmlformats.org/officeDocument/2006/relationships/image" Target="media/image11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header" Target="head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jpeg"/><Relationship Id="rId2" Type="http://schemas.openxmlformats.org/officeDocument/2006/relationships/image" Target="media/image2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Образец_инструкция</Template>
  <TotalTime>0</TotalTime>
  <Application>LibreOffice/7.2.3.2$Linux_X86_64 LibreOffice_project/d166454616c1632304285822f9c83ce2e660fd92</Application>
  <AppVersion>15.0000</AppVersion>
  <Pages>11</Pages>
  <Words>772</Words>
  <Characters>4785</Characters>
  <CharactersWithSpaces>5441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2017-09-05T16:52:00Z</dcterms:created>
  <dc:creator>123</dc:creator>
  <dc:description/>
  <dc:language>ru-RU</dc:language>
  <cp:lastModifiedBy/>
  <cp:lastPrinted>2009-01-20T18:19:00Z</cp:lastPrinted>
  <dcterms:modified xsi:type="dcterms:W3CDTF">2021-12-27T09:32:59Z</dcterms:modified>
  <cp:revision>4</cp:revision>
  <dc:subject>Инструкция пользователей</dc:subject>
  <dc:title>4.4.7. Предоставление отпуска по уходу за ребенком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