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pPr>
      <w:r>
        <w:rPr>
          <w:rFonts w:ascii="Times New Roman" w:hAnsi="Times New Roman" w:eastAsia="Times New Roman"/>
          <w:b/>
          <w:i w:val="0"/>
          <w:color w:val="000000"/>
          <w:sz w:val="48"/>
        </w:rPr>
        <w:t>MLOps for Retention Analytics using Databricks</w:t>
      </w:r>
    </w:p>
    <w:p>
      <w:pPr>
        <w:spacing w:after="80" w:before="0" w:line="259" w:lineRule="auto"/>
      </w:pPr>
      <w:r>
        <w:rPr>
          <w:rFonts w:ascii="Times New Roman" w:hAnsi="Times New Roman" w:eastAsia="Times New Roman"/>
          <w:b/>
          <w:i w:val="0"/>
          <w:color w:val="000000"/>
          <w:sz w:val="36"/>
        </w:rPr>
        <w:t>Research Documentation for Customer Churn Prediction</w:t>
      </w:r>
    </w:p>
    <w:p>
      <w:pPr>
        <w:spacing w:after="240" w:before="0" w:line="259" w:lineRule="auto"/>
      </w:pPr>
      <w:r>
        <w:rPr>
          <w:rFonts w:ascii="Times New Roman" w:hAnsi="Times New Roman" w:eastAsia="Times New Roman"/>
          <w:b/>
          <w:i w:val="0"/>
          <w:color w:val="000000"/>
          <w:sz w:val="24"/>
        </w:rPr>
        <w:t>Prepared for Mercer Superannuation Use Case</w:t>
      </w:r>
    </w:p>
    <w:p>
      <w:pPr>
        <w:spacing w:after="240" w:before="0" w:line="259" w:lineRule="auto"/>
      </w:pPr>
      <w:r>
        <w:rPr>
          <w:rFonts w:ascii="Times New Roman" w:hAnsi="Times New Roman" w:eastAsia="Times New Roman"/>
          <w:b w:val="0"/>
          <w:i w:val="0"/>
          <w:color w:val="000000"/>
          <w:sz w:val="24"/>
        </w:rPr>
        <w:t>Model versioning | Performance validation | Fairness assessment | Unity Catalog governance | Model serving | Monitoring</w:t>
      </w:r>
    </w:p>
    <w:p>
      <w:pPr>
        <w:keepNext/>
        <w:spacing w:after="120" w:before="280" w:line="259" w:lineRule="auto"/>
      </w:pPr>
      <w:r>
        <w:rPr>
          <w:rFonts w:ascii="Times New Roman" w:hAnsi="Times New Roman" w:eastAsia="Times New Roman"/>
          <w:b/>
          <w:i w:val="0"/>
          <w:color w:val="000000"/>
          <w:sz w:val="36"/>
        </w:rPr>
        <w:t>1. Introduction</w:t>
      </w:r>
    </w:p>
    <w:p>
      <w:pPr>
        <w:spacing w:after="100" w:before="0" w:line="259" w:lineRule="auto"/>
      </w:pPr>
      <w:r>
        <w:rPr>
          <w:rFonts w:ascii="Times New Roman" w:hAnsi="Times New Roman" w:eastAsia="Times New Roman"/>
          <w:b w:val="0"/>
          <w:i w:val="0"/>
          <w:color w:val="000000"/>
          <w:sz w:val="24"/>
        </w:rPr>
        <w:t>Retention analytics identifies members who may be likely to transfer funds, become disengaged or discontinue their relationship with a superannuation product. A churn prediction model supports earlier and better prioritised retention conversations, provided that its use is governed by approved business and responsible-use controls.</w:t>
      </w:r>
    </w:p>
    <w:p>
      <w:pPr>
        <w:spacing w:after="100" w:before="0" w:line="259" w:lineRule="auto"/>
      </w:pPr>
      <w:r>
        <w:rPr>
          <w:rFonts w:ascii="Times New Roman" w:hAnsi="Times New Roman" w:eastAsia="Times New Roman"/>
          <w:b w:val="0"/>
          <w:i w:val="0"/>
          <w:color w:val="000000"/>
          <w:sz w:val="24"/>
        </w:rPr>
        <w:t>A successful machine learning proof of concept is not automatically ready for operational use. The data used for training must be traceable, model experiments must be reproducible, candidate versions must be evaluated consistently, deployment decisions must be evidence based and post-deployment performance must be monitored. MLOps provides this controlled lifecycle.</w:t>
      </w:r>
    </w:p>
    <w:p>
      <w:pPr>
        <w:keepNext/>
        <w:spacing w:after="80" w:before="180" w:line="259" w:lineRule="auto"/>
      </w:pPr>
      <w:r>
        <w:rPr>
          <w:rFonts w:ascii="Times New Roman" w:hAnsi="Times New Roman" w:eastAsia="Times New Roman"/>
          <w:b/>
          <w:i w:val="0"/>
          <w:color w:val="000000"/>
          <w:sz w:val="24"/>
        </w:rPr>
        <w:t>1.1 Purpose of this document</w:t>
      </w:r>
    </w:p>
    <w:p>
      <w:pPr>
        <w:spacing w:after="100" w:before="0" w:line="259" w:lineRule="auto"/>
      </w:pPr>
      <w:r>
        <w:rPr>
          <w:rFonts w:ascii="Times New Roman" w:hAnsi="Times New Roman" w:eastAsia="Times New Roman"/>
          <w:b w:val="0"/>
          <w:i w:val="0"/>
          <w:color w:val="000000"/>
          <w:sz w:val="24"/>
        </w:rPr>
        <w:t>This document describes a Databricks-based MLOps approach for a retention analytics solution. It explains what each model lifecycle activity accomplishes, how the implemented baseline and candidate models differ, how model quality and fairness are assessed, how Unity Catalog supports governance, and how the approved model can be deployed and monitored.</w:t>
      </w:r>
    </w:p>
    <w:p>
      <w:pPr>
        <w:keepNext/>
        <w:spacing w:after="80" w:before="180" w:line="259" w:lineRule="auto"/>
      </w:pPr>
      <w:r>
        <w:rPr>
          <w:rFonts w:ascii="Times New Roman" w:hAnsi="Times New Roman" w:eastAsia="Times New Roman"/>
          <w:b/>
          <w:i w:val="0"/>
          <w:color w:val="000000"/>
          <w:sz w:val="24"/>
        </w:rPr>
        <w:t>1.2 Scope and interpretation</w:t>
      </w:r>
    </w:p>
    <w:p>
      <w:pPr>
        <w:spacing w:after="100" w:before="0" w:line="259" w:lineRule="auto"/>
      </w:pPr>
      <w:r>
        <w:rPr>
          <w:rFonts w:ascii="Times New Roman" w:hAnsi="Times New Roman" w:eastAsia="Times New Roman"/>
          <w:b w:val="0"/>
          <w:i w:val="0"/>
          <w:color w:val="000000"/>
          <w:sz w:val="24"/>
        </w:rPr>
        <w:t>The implementation is based on an illustrative churn dataset and the recorded example results from the analysis exercise. It is suitable for demonstrating the lifecycle and informing enterprise implementation design. Before production adoption, feature definitions, decision thresholds, privacy controls, monitoring thresholds and approval authorities must be agreed with business, risk and compliance stakeholders.</w:t>
      </w:r>
    </w:p>
    <w:p>
      <w:pPr>
        <w:keepNext/>
        <w:spacing w:after="80" w:before="180" w:line="259" w:lineRule="auto"/>
      </w:pPr>
      <w:r>
        <w:rPr>
          <w:rFonts w:ascii="Times New Roman" w:hAnsi="Times New Roman" w:eastAsia="Times New Roman"/>
          <w:b/>
          <w:i w:val="0"/>
          <w:color w:val="000000"/>
          <w:sz w:val="24"/>
        </w:rPr>
        <w:t>1.3 Business outcomes supported</w:t>
      </w:r>
    </w:p>
    <w:p>
      <w:pPr>
        <w:pStyle w:val="ListBullet"/>
        <w:spacing w:after="40"/>
        <w:ind w:left="360" w:hanging="259"/>
      </w:pPr>
      <w:r>
        <w:rPr>
          <w:rFonts w:ascii="Times New Roman" w:hAnsi="Times New Roman" w:eastAsia="Times New Roman"/>
          <w:color w:val="000000"/>
          <w:sz w:val="24"/>
        </w:rPr>
        <w:t>Prioritise members who may require proactive retention engagement.</w:t>
      </w:r>
    </w:p>
    <w:p>
      <w:pPr>
        <w:pStyle w:val="ListBullet"/>
        <w:spacing w:after="40"/>
        <w:ind w:left="360" w:hanging="259"/>
      </w:pPr>
      <w:r>
        <w:rPr>
          <w:rFonts w:ascii="Times New Roman" w:hAnsi="Times New Roman" w:eastAsia="Times New Roman"/>
          <w:color w:val="000000"/>
          <w:sz w:val="24"/>
        </w:rPr>
        <w:t>Compare model versions using a repeatable and governed evaluation dataset.</w:t>
      </w:r>
    </w:p>
    <w:p>
      <w:pPr>
        <w:pStyle w:val="ListBullet"/>
        <w:spacing w:after="40"/>
        <w:ind w:left="360" w:hanging="259"/>
      </w:pPr>
      <w:r>
        <w:rPr>
          <w:rFonts w:ascii="Times New Roman" w:hAnsi="Times New Roman" w:eastAsia="Times New Roman"/>
          <w:color w:val="000000"/>
          <w:sz w:val="24"/>
        </w:rPr>
        <w:t>Prevent uncontrolled deployment by using documented validation and promotion decisions.</w:t>
      </w:r>
    </w:p>
    <w:p>
      <w:pPr>
        <w:pStyle w:val="ListBullet"/>
        <w:spacing w:after="40"/>
        <w:ind w:left="360" w:hanging="259"/>
      </w:pPr>
      <w:r>
        <w:rPr>
          <w:rFonts w:ascii="Times New Roman" w:hAnsi="Times New Roman" w:eastAsia="Times New Roman"/>
          <w:color w:val="000000"/>
          <w:sz w:val="24"/>
        </w:rPr>
        <w:t>Monitor operational health, model quality and fairness indicators after deployment.</w:t>
      </w:r>
    </w:p>
    <w:p>
      <w:pPr>
        <w:pStyle w:val="ListBullet"/>
        <w:spacing w:after="40"/>
        <w:ind w:left="360" w:hanging="259"/>
      </w:pPr>
      <w:r>
        <w:rPr>
          <w:rFonts w:ascii="Times New Roman" w:hAnsi="Times New Roman" w:eastAsia="Times New Roman"/>
          <w:color w:val="000000"/>
          <w:sz w:val="24"/>
        </w:rPr>
        <w:t>Maintain an auditable record of data, experiments, model versions and approvals.</w:t>
      </w:r>
    </w:p>
    <w:p>
      <w:pPr>
        <w:jc w:val="center"/>
      </w:pPr>
      <w:r>
        <w:rPr>
          <w:rFonts w:ascii="Times New Roman" w:hAnsi="Times New Roman" w:eastAsia="Times New Roman"/>
          <w:color w:val="000000"/>
          <w:sz w:val="24"/>
        </w:rPr>
        <w:drawing>
          <wp:inline xmlns:a="http://schemas.openxmlformats.org/drawingml/2006/main" xmlns:pic="http://schemas.openxmlformats.org/drawingml/2006/picture">
            <wp:extent cx="5486400" cy="3257550"/>
            <wp:docPr id="1" name="Picture 1"/>
            <wp:cNvGraphicFramePr>
              <a:graphicFrameLocks noChangeAspect="1"/>
            </wp:cNvGraphicFramePr>
            <a:graphic>
              <a:graphicData uri="http://schemas.openxmlformats.org/drawingml/2006/picture">
                <pic:pic>
                  <pic:nvPicPr>
                    <pic:cNvPr id="0" name="gray_image1.png"/>
                    <pic:cNvPicPr/>
                  </pic:nvPicPr>
                  <pic:blipFill>
                    <a:blip r:embed="rId11"/>
                    <a:stretch>
                      <a:fillRect/>
                    </a:stretch>
                  </pic:blipFill>
                  <pic:spPr>
                    <a:xfrm>
                      <a:off x="0" y="0"/>
                      <a:ext cx="5486400" cy="3257550"/>
                    </a:xfrm>
                    <a:prstGeom prst="rect"/>
                  </pic:spPr>
                </pic:pic>
              </a:graphicData>
            </a:graphic>
          </wp:inline>
        </w:drawing>
      </w:r>
    </w:p>
    <w:p>
      <w:pPr>
        <w:spacing w:after="120" w:before="0" w:line="259" w:lineRule="auto"/>
        <w:jc w:val="center"/>
      </w:pPr>
      <w:r>
        <w:rPr>
          <w:rFonts w:ascii="Times New Roman" w:hAnsi="Times New Roman" w:eastAsia="Times New Roman"/>
          <w:b w:val="0"/>
          <w:i/>
          <w:color w:val="000000"/>
          <w:sz w:val="20"/>
        </w:rPr>
        <w:t>Figure 1. End-to-end MLOps architecture for the retention analytics solution.</w:t>
      </w:r>
    </w:p>
    <w:p>
      <w:pPr>
        <w:keepNext/>
        <w:spacing w:after="120" w:before="280" w:line="259" w:lineRule="auto"/>
      </w:pPr>
      <w:r>
        <w:rPr>
          <w:rFonts w:ascii="Times New Roman" w:hAnsi="Times New Roman" w:eastAsia="Times New Roman"/>
          <w:b/>
          <w:i w:val="0"/>
          <w:color w:val="000000"/>
          <w:sz w:val="36"/>
        </w:rPr>
        <w:t>2. MLOps Lifecycle for Retention Analytics</w:t>
      </w:r>
    </w:p>
    <w:p>
      <w:pPr>
        <w:spacing w:after="100" w:before="0" w:line="259" w:lineRule="auto"/>
      </w:pPr>
      <w:r>
        <w:rPr>
          <w:rFonts w:ascii="Times New Roman" w:hAnsi="Times New Roman" w:eastAsia="Times New Roman"/>
          <w:b w:val="0"/>
          <w:i w:val="0"/>
          <w:color w:val="000000"/>
          <w:sz w:val="24"/>
        </w:rPr>
        <w:t>MLOps is the collection of processes, technology and governance controls that move a model from experimentation into reliable operational use. In this retention analytics solution, the lifecycle is designed to make every deployed prediction traceable back to its training data, experiment run, validation evidence and approval decision.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8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Lifecycle activity</w:t>
            </w:r>
          </w:p>
        </w:tc>
        <w:tc>
          <w:tcPr>
            <w:tcW w:type="dxa" w:w="482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Purpose in this solution</w:t>
            </w:r>
          </w:p>
        </w:tc>
        <w:tc>
          <w:tcPr>
            <w:tcW w:type="dxa" w:w="32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Resulting evidence</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Data preparation</w:t>
            </w:r>
          </w:p>
        </w:tc>
        <w:tc>
          <w:tcPr>
            <w:tcW w:type="dxa" w:w="48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Create an approved dataset and fixed evaluation split.</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Governed Delta train/test table.</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Model development</w:t>
            </w:r>
          </w:p>
        </w:tc>
        <w:tc>
          <w:tcPr>
            <w:tcW w:type="dxa" w:w="48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Train a baseline and improved candidate model.</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Tracked MLflow runs and model artifacts.</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Model versioning</w:t>
            </w:r>
          </w:p>
        </w:tc>
        <w:tc>
          <w:tcPr>
            <w:tcW w:type="dxa" w:w="48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Register immutable versions for controlled comparison.</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Version 1 and Version 2 in Unity Catalog.</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Validation</w:t>
            </w:r>
          </w:p>
        </w:tc>
        <w:tc>
          <w:tcPr>
            <w:tcW w:type="dxa" w:w="48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Compare performance and fairness on identical test rows.</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Metric and fairness review tables.</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Promotion</w:t>
            </w:r>
          </w:p>
        </w:tc>
        <w:tc>
          <w:tcPr>
            <w:tcW w:type="dxa" w:w="48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Identify the model approved for deployment.</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Champion and Challenger aliases.</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Serving</w:t>
            </w:r>
          </w:p>
        </w:tc>
        <w:tc>
          <w:tcPr>
            <w:tcW w:type="dxa" w:w="48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Expose approved predictions for downstream use.</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Ready serving endpoint and test response.</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Monitoring</w:t>
            </w:r>
          </w:p>
        </w:tc>
        <w:tc>
          <w:tcPr>
            <w:tcW w:type="dxa" w:w="48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Observe health, drift and outcome-based quality.</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Inference records, dashboards and review actions.</w:t>
            </w:r>
          </w:p>
        </w:tc>
      </w:tr>
    </w:tbl>
    <w:p>
      <w:pPr>
        <w:spacing w:after="0"/>
      </w:pPr>
    </w:p>
    <w:p>
      <w:pPr>
        <w:keepNext/>
        <w:spacing w:after="80" w:before="180" w:line="259" w:lineRule="auto"/>
      </w:pPr>
      <w:r>
        <w:rPr>
          <w:rFonts w:ascii="Times New Roman" w:hAnsi="Times New Roman" w:eastAsia="Times New Roman"/>
          <w:b/>
          <w:i w:val="0"/>
          <w:color w:val="000000"/>
          <w:sz w:val="24"/>
        </w:rPr>
        <w:t>2.1 Why model governance matters for a retention decision</w:t>
      </w:r>
    </w:p>
    <w:p>
      <w:pPr>
        <w:spacing w:after="100" w:before="0" w:line="259" w:lineRule="auto"/>
      </w:pPr>
      <w:r>
        <w:rPr>
          <w:rFonts w:ascii="Times New Roman" w:hAnsi="Times New Roman" w:eastAsia="Times New Roman"/>
          <w:b w:val="0"/>
          <w:i w:val="0"/>
          <w:color w:val="000000"/>
          <w:sz w:val="24"/>
        </w:rPr>
        <w:t>A churn model can influence which members are contacted and how retention teams allocate attention. A model that has high overall accuracy but misses too many genuine churners may fail the business objective. A model that behaves differently across approved review groups may also require investigation. Governance therefore combines predictive quality, responsible-use diagnostics, controlled access and auditable promotion decisions.</w:t>
      </w:r>
    </w:p>
    <w:p>
      <w:pPr>
        <w:keepNext/>
        <w:spacing w:after="120" w:before="280" w:line="259" w:lineRule="auto"/>
      </w:pPr>
      <w:r>
        <w:rPr>
          <w:rFonts w:ascii="Times New Roman" w:hAnsi="Times New Roman" w:eastAsia="Times New Roman"/>
          <w:b/>
          <w:i w:val="0"/>
          <w:color w:val="000000"/>
          <w:sz w:val="36"/>
        </w:rPr>
        <w:t>3. Technology Stack and Dependencies</w:t>
      </w:r>
    </w:p>
    <w:p>
      <w:pPr>
        <w:spacing w:after="100" w:before="0" w:line="259" w:lineRule="auto"/>
      </w:pPr>
      <w:r>
        <w:rPr>
          <w:rFonts w:ascii="Times New Roman" w:hAnsi="Times New Roman" w:eastAsia="Times New Roman"/>
          <w:b w:val="0"/>
          <w:i w:val="0"/>
          <w:color w:val="000000"/>
          <w:sz w:val="24"/>
        </w:rPr>
        <w:t>The following components support the implemented lifecycle. The example implementation uses GridSearchCV from scikit-learn for parameter tuning. Hyperopt is included as an optional extension for larger or more scalable search strategies; it is not required to reproduce the recorded Version 2 example results.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23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Technology / library</w:t>
            </w:r>
          </w:p>
        </w:tc>
        <w:tc>
          <w:tcPr>
            <w:tcW w:type="dxa" w:w="432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Use in the solution</w:t>
            </w:r>
          </w:p>
        </w:tc>
        <w:tc>
          <w:tcPr>
            <w:tcW w:type="dxa" w:w="360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Why it is important</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Azure Databricks</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Managed workspace for notebooks, registry, serving and monitoring.</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Provides an integrated analytics and ML operating environment.</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Python</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Implementation language for training and validation logic.</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Widely supported across ML libraries and Databricks workloads.</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pandas</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In-memory analysis of the example dataset and evaluation output.</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Efficient manipulation of tabular data.</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NumPy</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Numerical array operations used during analysis.</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Supports efficient numerical calculations.</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scikit-learn</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Preprocessing pipeline, Logistic Regression, metrics and GridSearchCV.</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Provides transparent and reproducible predictive modelling.</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MLflow</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Tracks parameters, metrics, artifacts and registered model versions.</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Provides reproducibility and model lifecycle traceability.</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Delta Lake</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Stores the governed train/test split table.</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Ensures reliable and auditable table storage.</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Unity Catalog</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Governs tables, volumes and registered models.</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Centralises access control, lineage and auditability.</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Databricks Model Serving</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Hosts the approved model as a prediction endpoint.</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Supports real-time scoring through a managed API.</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PySpark</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Writes and reads governed Delta tables in the workspace.</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Supports scalable data processing when required.</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Hyperopt - optional</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Alternative optimisation technique for larger tuning search spaces.</w:t>
            </w:r>
          </w:p>
        </w:tc>
        <w:tc>
          <w:tcPr>
            <w:tcW w:type="dxa" w:w="36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Useful for future experimentation; not used in the recorded example.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2F2"/>
            <w:tcBorders>
              <w:top w:sz="6" w:val="single" w:color="808080"/>
              <w:left w:sz="6" w:val="single" w:color="808080"/>
              <w:bottom w:sz="6" w:val="single" w:color="808080"/>
              <w:right w:sz="6" w:val="single" w:color="808080"/>
            </w:tcBorders>
          </w:tcPr>
          <w:p>
            <w:pPr>
              <w:spacing w:after="40"/>
            </w:pPr>
            <w:r>
              <w:rPr>
                <w:rFonts w:ascii="Times New Roman" w:hAnsi="Times New Roman" w:eastAsia="Times New Roman"/>
                <w:b/>
                <w:color w:val="000000"/>
                <w:sz w:val="24"/>
              </w:rPr>
              <w:t xml:space="preserve">Important clarification: </w:t>
            </w:r>
            <w:r>
              <w:rPr>
                <w:rFonts w:ascii="Times New Roman" w:hAnsi="Times New Roman" w:eastAsia="Times New Roman"/>
                <w:color w:val="000000"/>
                <w:sz w:val="24"/>
              </w:rPr>
              <w:t>The term intended is Hyperopt, not hyperplasia or hyperopia. In the demonstrated model run, Version 2 was tuned using scikit-learn GridSearchCV; Hyperopt can be considered later if the parameter search becomes more complex or computationally intensive.</w:t>
            </w:r>
          </w:p>
        </w:tc>
      </w:tr>
    </w:tbl>
    <w:p>
      <w:pPr>
        <w:spacing w:after="0"/>
      </w:pP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4. Solution Architecture and Governed Assets</w:t>
      </w:r>
    </w:p>
    <w:p>
      <w:pPr>
        <w:spacing w:after="100" w:before="0" w:line="259" w:lineRule="auto"/>
      </w:pPr>
      <w:r>
        <w:rPr>
          <w:rFonts w:ascii="Times New Roman" w:hAnsi="Times New Roman" w:eastAsia="Times New Roman"/>
          <w:b w:val="0"/>
          <w:i w:val="0"/>
          <w:color w:val="000000"/>
          <w:sz w:val="24"/>
        </w:rPr>
        <w:t>The solution separates governed data, model development, controlled release and operational monitoring. Source member records are stored or accessed through approved data objects. A fixed split table allows model comparisons on the same rows. Training runs are tracked in MLflow, and approved model assets are registered in Unity Catalog before serving.</w:t>
      </w:r>
    </w:p>
    <w:p>
      <w:pPr>
        <w:keepNext/>
        <w:spacing w:after="80" w:before="180" w:line="259" w:lineRule="auto"/>
      </w:pPr>
      <w:r>
        <w:rPr>
          <w:rFonts w:ascii="Times New Roman" w:hAnsi="Times New Roman" w:eastAsia="Times New Roman"/>
          <w:b/>
          <w:i w:val="0"/>
          <w:color w:val="000000"/>
          <w:sz w:val="24"/>
        </w:rPr>
        <w:t>4.1 Implementation assets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1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Asset type</w:t>
            </w:r>
          </w:p>
        </w:tc>
        <w:tc>
          <w:tcPr>
            <w:tcW w:type="dxa" w:w="489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Example asset</w:t>
            </w:r>
          </w:p>
        </w:tc>
        <w:tc>
          <w:tcPr>
            <w:tcW w:type="dxa" w:w="32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Role in the lifecycle</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Workspace folder</w:t>
            </w:r>
          </w:p>
        </w:tc>
        <w:tc>
          <w:tcPr>
            <w:tcW w:type="dxa" w:w="489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Retention_Analytics_MLOps</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Organises model lifecycle assets.</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Input volume</w:t>
            </w:r>
          </w:p>
        </w:tc>
        <w:tc>
          <w:tcPr>
            <w:tcW w:type="dxa" w:w="489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&lt;catalog&gt;.&lt;schema&gt;.&lt;volume&gt;</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Stores the controlled CSV input used for analysis.</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Delta table</w:t>
            </w:r>
          </w:p>
        </w:tc>
        <w:tc>
          <w:tcPr>
            <w:tcW w:type="dxa" w:w="489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&lt;catalog&gt;.&lt;schema&gt;.churn_dataset_split</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Preserves train/test assignments for repeatable evaluation.</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Registered model</w:t>
            </w:r>
          </w:p>
        </w:tc>
        <w:tc>
          <w:tcPr>
            <w:tcW w:type="dxa" w:w="489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&lt;catalog&gt;.&lt;schema&gt;.superannuation_churn_logistic_reg_model</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Contains immutable model versions and aliases.</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Serving endpoint</w:t>
            </w:r>
          </w:p>
        </w:tc>
        <w:tc>
          <w:tcPr>
            <w:tcW w:type="dxa" w:w="489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retention-churn-champion-endpoint</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Serves approved predictions.</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Inference table</w:t>
            </w:r>
          </w:p>
        </w:tc>
        <w:tc>
          <w:tcPr>
            <w:tcW w:type="dxa" w:w="489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Generated after logging is enabled</w:t>
            </w:r>
          </w:p>
        </w:tc>
        <w:tc>
          <w:tcPr>
            <w:tcW w:type="dxa" w:w="32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Captures requests/responses for monitoring.</w:t>
            </w:r>
          </w:p>
        </w:tc>
      </w:tr>
    </w:tbl>
    <w:p>
      <w:pPr>
        <w:spacing w:after="0"/>
      </w:pPr>
    </w:p>
    <w:p>
      <w:pPr>
        <w:keepNext/>
        <w:spacing w:after="80" w:before="180" w:line="259" w:lineRule="auto"/>
      </w:pPr>
      <w:r>
        <w:rPr>
          <w:rFonts w:ascii="Times New Roman" w:hAnsi="Times New Roman" w:eastAsia="Times New Roman"/>
          <w:b/>
          <w:i w:val="0"/>
          <w:color w:val="000000"/>
          <w:sz w:val="24"/>
        </w:rPr>
        <w:t>4.2 Logical separation of responsibilities</w:t>
      </w:r>
    </w:p>
    <w:p>
      <w:pPr>
        <w:pStyle w:val="ListBullet"/>
        <w:spacing w:after="40"/>
        <w:ind w:left="360" w:hanging="259"/>
      </w:pPr>
      <w:r>
        <w:rPr>
          <w:rFonts w:ascii="Times New Roman" w:hAnsi="Times New Roman" w:eastAsia="Times New Roman"/>
          <w:color w:val="000000"/>
          <w:sz w:val="24"/>
        </w:rPr>
        <w:t>Data layer: controls source data quality, permitted feature use and repeatable train/test partitions.</w:t>
      </w:r>
    </w:p>
    <w:p>
      <w:pPr>
        <w:pStyle w:val="ListBullet"/>
        <w:spacing w:after="40"/>
        <w:ind w:left="360" w:hanging="259"/>
      </w:pPr>
      <w:r>
        <w:rPr>
          <w:rFonts w:ascii="Times New Roman" w:hAnsi="Times New Roman" w:eastAsia="Times New Roman"/>
          <w:color w:val="000000"/>
          <w:sz w:val="24"/>
        </w:rPr>
        <w:t>Experiment layer: records training parameters, metrics and model artifacts in MLflow.</w:t>
      </w:r>
    </w:p>
    <w:p>
      <w:pPr>
        <w:pStyle w:val="ListBullet"/>
        <w:spacing w:after="40"/>
        <w:ind w:left="360" w:hanging="259"/>
      </w:pPr>
      <w:r>
        <w:rPr>
          <w:rFonts w:ascii="Times New Roman" w:hAnsi="Times New Roman" w:eastAsia="Times New Roman"/>
          <w:color w:val="000000"/>
          <w:sz w:val="24"/>
        </w:rPr>
        <w:t>Governance layer: stores approved model versions, aliases, access rules and audit history in Unity Catalog.</w:t>
      </w:r>
    </w:p>
    <w:p>
      <w:pPr>
        <w:pStyle w:val="ListBullet"/>
        <w:spacing w:after="40"/>
        <w:ind w:left="360" w:hanging="259"/>
      </w:pPr>
      <w:r>
        <w:rPr>
          <w:rFonts w:ascii="Times New Roman" w:hAnsi="Times New Roman" w:eastAsia="Times New Roman"/>
          <w:color w:val="000000"/>
          <w:sz w:val="24"/>
        </w:rPr>
        <w:t>Serving layer: makes the approved model available for real-time prediction.</w:t>
      </w:r>
    </w:p>
    <w:p>
      <w:pPr>
        <w:pStyle w:val="ListBullet"/>
        <w:spacing w:after="40"/>
        <w:ind w:left="360" w:hanging="259"/>
      </w:pPr>
      <w:r>
        <w:rPr>
          <w:rFonts w:ascii="Times New Roman" w:hAnsi="Times New Roman" w:eastAsia="Times New Roman"/>
          <w:color w:val="000000"/>
          <w:sz w:val="24"/>
        </w:rPr>
        <w:t>Monitoring layer: observes requests, predictions, drift, model quality and approved fairness indicators.</w:t>
      </w:r>
    </w:p>
    <w:p>
      <w:pPr>
        <w:keepNext/>
        <w:spacing w:after="120" w:before="280" w:line="259" w:lineRule="auto"/>
      </w:pPr>
      <w:r>
        <w:rPr>
          <w:rFonts w:ascii="Times New Roman" w:hAnsi="Times New Roman" w:eastAsia="Times New Roman"/>
          <w:b/>
          <w:i w:val="0"/>
          <w:color w:val="000000"/>
          <w:sz w:val="36"/>
        </w:rPr>
        <w:t>5. Dataset Preparation Strategy</w:t>
      </w:r>
    </w:p>
    <w:p>
      <w:pPr>
        <w:spacing w:after="100" w:before="0" w:line="259" w:lineRule="auto"/>
      </w:pPr>
      <w:r>
        <w:rPr>
          <w:rFonts w:ascii="Times New Roman" w:hAnsi="Times New Roman" w:eastAsia="Times New Roman"/>
          <w:b w:val="0"/>
          <w:i w:val="0"/>
          <w:color w:val="000000"/>
          <w:sz w:val="24"/>
        </w:rPr>
        <w:t>The illustrative dataset represents member attributes and engagement behaviours that may be informative for churn prediction. For a production solution, each field must be approved for use, sourced from governed systems and documented with its meaning, expected range and quality rules.</w:t>
      </w:r>
    </w:p>
    <w:p>
      <w:pPr>
        <w:keepNext/>
        <w:spacing w:after="80" w:before="180" w:line="259" w:lineRule="auto"/>
      </w:pPr>
      <w:r>
        <w:rPr>
          <w:rFonts w:ascii="Times New Roman" w:hAnsi="Times New Roman" w:eastAsia="Times New Roman"/>
          <w:b/>
          <w:i w:val="0"/>
          <w:color w:val="000000"/>
          <w:sz w:val="24"/>
        </w:rPr>
        <w:t>5.1 Example features used in endpoint scoring</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1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Feature group</w:t>
            </w:r>
          </w:p>
        </w:tc>
        <w:tc>
          <w:tcPr>
            <w:tcW w:type="dxa" w:w="432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Illustrative fields</w:t>
            </w:r>
          </w:p>
        </w:tc>
        <w:tc>
          <w:tcPr>
            <w:tcW w:type="dxa" w:w="381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Possible retention signal</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Member profile</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member_age, membership_tenure_years</w:t>
            </w:r>
          </w:p>
        </w:tc>
        <w:tc>
          <w:tcPr>
            <w:tcW w:type="dxa" w:w="38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Life stage and duration of relationship.</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Financial activity</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annual_contribution_amount, super_balance, investment_return_percent</w:t>
            </w:r>
          </w:p>
        </w:tc>
        <w:tc>
          <w:tcPr>
            <w:tcW w:type="dxa" w:w="38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Value and recent investment experience.</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Engagement</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portal_login_frequency, mobile_app_usage, financial_adviser_interaction</w:t>
            </w:r>
          </w:p>
        </w:tc>
        <w:tc>
          <w:tcPr>
            <w:tcW w:type="dxa" w:w="38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Level of digital or adviser engagement.</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Service interaction</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customer_support_calls, withdrawal_frequency_per_year</w:t>
            </w:r>
          </w:p>
        </w:tc>
        <w:tc>
          <w:tcPr>
            <w:tcW w:type="dxa" w:w="38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Potential friction or liquidity needs.</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Product choice</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investment_plan_type, insurance_opt_in, risk_profile, employer_category</w:t>
            </w:r>
          </w:p>
        </w:tc>
        <w:tc>
          <w:tcPr>
            <w:tcW w:type="dxa" w:w="38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Product preferences and membership context.</w:t>
            </w:r>
          </w:p>
        </w:tc>
      </w:tr>
    </w:tbl>
    <w:p>
      <w:pPr>
        <w:spacing w:after="0"/>
      </w:pPr>
    </w:p>
    <w:p>
      <w:pPr>
        <w:keepNext/>
        <w:spacing w:after="80" w:before="180" w:line="259" w:lineRule="auto"/>
      </w:pPr>
      <w:r>
        <w:rPr>
          <w:rFonts w:ascii="Times New Roman" w:hAnsi="Times New Roman" w:eastAsia="Times New Roman"/>
          <w:b/>
          <w:i w:val="0"/>
          <w:color w:val="000000"/>
          <w:sz w:val="24"/>
        </w:rPr>
        <w:t>5.2 Target variable and data partitioning</w:t>
      </w:r>
    </w:p>
    <w:p>
      <w:pPr>
        <w:spacing w:after="100" w:before="0" w:line="259" w:lineRule="auto"/>
      </w:pPr>
      <w:r>
        <w:rPr>
          <w:rFonts w:ascii="Times New Roman" w:hAnsi="Times New Roman" w:eastAsia="Times New Roman"/>
          <w:b w:val="0"/>
          <w:i w:val="0"/>
          <w:color w:val="000000"/>
          <w:sz w:val="24"/>
        </w:rPr>
        <w:t>The binary target variable churn represents whether a member belongs to the churn outcome class. A fixed 80 percent training and 20 percent testing split is produced using stratification so that the churn proportion is represented in both partitions. Saving the split assignment to a governed Delta table prevents later versions from appearing better merely because they were tested on different rows.</w:t>
      </w:r>
    </w:p>
    <w:p>
      <w:pPr>
        <w:keepNext/>
        <w:spacing w:after="80" w:before="180" w:line="259" w:lineRule="auto"/>
      </w:pPr>
      <w:r>
        <w:rPr>
          <w:rFonts w:ascii="Times New Roman" w:hAnsi="Times New Roman" w:eastAsia="Times New Roman"/>
          <w:b/>
          <w:i w:val="0"/>
          <w:color w:val="000000"/>
          <w:sz w:val="24"/>
        </w:rPr>
        <w:t>Code excerpt - governed and repeatable train/test split</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train_index, test_index = train_test_split(</w:t>
            </w:r>
            <w:r>
              <w:rPr>
                <w:rFonts w:ascii="Times New Roman" w:hAnsi="Times New Roman" w:eastAsia="Times New Roman"/>
                <w:color w:val="000000"/>
                <w:sz w:val="20"/>
              </w:rPr>
              <w:br/>
            </w:r>
            <w:r>
              <w:rPr>
                <w:rFonts w:ascii="Times New Roman" w:hAnsi="Times New Roman" w:eastAsia="Times New Roman"/>
                <w:color w:val="000000"/>
                <w:sz w:val="18"/>
              </w:rPr>
              <w:t xml:space="preserve">    data.index, test_size=0.20, random_state=42,</w:t>
            </w:r>
            <w:r>
              <w:rPr>
                <w:rFonts w:ascii="Times New Roman" w:hAnsi="Times New Roman" w:eastAsia="Times New Roman"/>
                <w:color w:val="000000"/>
                <w:sz w:val="20"/>
              </w:rPr>
              <w:br/>
            </w:r>
            <w:r>
              <w:rPr>
                <w:rFonts w:ascii="Times New Roman" w:hAnsi="Times New Roman" w:eastAsia="Times New Roman"/>
                <w:color w:val="000000"/>
                <w:sz w:val="18"/>
              </w:rPr>
              <w:t xml:space="preserve">    stratify=data["churn"]</w:t>
            </w:r>
            <w:r>
              <w:rPr>
                <w:rFonts w:ascii="Times New Roman" w:hAnsi="Times New Roman" w:eastAsia="Times New Roman"/>
                <w:color w:val="000000"/>
                <w:sz w:val="20"/>
              </w:rPr>
              <w:br/>
            </w:r>
            <w:r>
              <w:rPr>
                <w:rFonts w:ascii="Times New Roman" w:hAnsi="Times New Roman" w:eastAsia="Times New Roman"/>
                <w:color w:val="000000"/>
                <w:sz w:val="18"/>
              </w:rPr>
              <w:t>)</w:t>
            </w:r>
            <w:r>
              <w:rPr>
                <w:rFonts w:ascii="Times New Roman" w:hAnsi="Times New Roman" w:eastAsia="Times New Roman"/>
                <w:color w:val="000000"/>
                <w:sz w:val="20"/>
              </w:rPr>
              <w:br/>
            </w:r>
            <w:r>
              <w:rPr>
                <w:rFonts w:ascii="Times New Roman" w:hAnsi="Times New Roman" w:eastAsia="Times New Roman"/>
                <w:color w:val="000000"/>
                <w:sz w:val="18"/>
              </w:rPr>
              <w:t>data["dataset_split"] = "train"</w:t>
            </w:r>
            <w:r>
              <w:rPr>
                <w:rFonts w:ascii="Times New Roman" w:hAnsi="Times New Roman" w:eastAsia="Times New Roman"/>
                <w:color w:val="000000"/>
                <w:sz w:val="20"/>
              </w:rPr>
              <w:br/>
            </w:r>
            <w:r>
              <w:rPr>
                <w:rFonts w:ascii="Times New Roman" w:hAnsi="Times New Roman" w:eastAsia="Times New Roman"/>
                <w:color w:val="000000"/>
                <w:sz w:val="18"/>
              </w:rPr>
              <w:t>data.loc[test_index, "dataset_split"] = "test"</w:t>
            </w:r>
            <w:r>
              <w:rPr>
                <w:rFonts w:ascii="Times New Roman" w:hAnsi="Times New Roman" w:eastAsia="Times New Roman"/>
                <w:color w:val="000000"/>
                <w:sz w:val="20"/>
              </w:rPr>
              <w:br/>
            </w:r>
            <w:r>
              <w:rPr>
                <w:rFonts w:ascii="Times New Roman" w:hAnsi="Times New Roman" w:eastAsia="Times New Roman"/>
                <w:color w:val="000000"/>
                <w:sz w:val="18"/>
              </w:rPr>
              <w:t>spark.createDataFrame(data).write.format("delta") \</w:t>
            </w:r>
            <w:r>
              <w:rPr>
                <w:rFonts w:ascii="Times New Roman" w:hAnsi="Times New Roman" w:eastAsia="Times New Roman"/>
                <w:color w:val="000000"/>
                <w:sz w:val="20"/>
              </w:rPr>
              <w:br/>
            </w:r>
            <w:r>
              <w:rPr>
                <w:rFonts w:ascii="Times New Roman" w:hAnsi="Times New Roman" w:eastAsia="Times New Roman"/>
                <w:color w:val="000000"/>
                <w:sz w:val="18"/>
              </w:rPr>
              <w:t xml:space="preserve">    .mode("overwrite").saveAsTable(SPLIT_TABLE_NAME)</w:t>
            </w:r>
          </w:p>
        </w:tc>
      </w:tr>
    </w:tbl>
    <w:p>
      <w:pPr>
        <w:spacing w:after="0"/>
      </w:pPr>
    </w:p>
    <w:p>
      <w:pPr>
        <w:keepNext/>
        <w:spacing w:after="80" w:before="180" w:line="259" w:lineRule="auto"/>
      </w:pPr>
      <w:r>
        <w:rPr>
          <w:rFonts w:ascii="Times New Roman" w:hAnsi="Times New Roman" w:eastAsia="Times New Roman"/>
          <w:b/>
          <w:i w:val="0"/>
          <w:color w:val="000000"/>
          <w:sz w:val="24"/>
        </w:rPr>
        <w:t>5.3 Feature preparation approach</w:t>
      </w:r>
    </w:p>
    <w:p>
      <w:pPr>
        <w:spacing w:after="100" w:before="0" w:line="259" w:lineRule="auto"/>
      </w:pPr>
      <w:r>
        <w:rPr>
          <w:rFonts w:ascii="Times New Roman" w:hAnsi="Times New Roman" w:eastAsia="Times New Roman"/>
          <w:b w:val="0"/>
          <w:i w:val="0"/>
          <w:color w:val="000000"/>
          <w:sz w:val="24"/>
        </w:rPr>
        <w:t>Identifier columns are excluded from model inputs because they uniquely identify records rather than explaining behaviour. Numeric fields are standardised so their scale does not dominate the optimisation process. Categorical values are converted to machine-readable indicators through one-hot encoding, with previously unseen categories ignored at scoring time rather than causing failure.</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23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Preparation activity</w:t>
            </w:r>
          </w:p>
        </w:tc>
        <w:tc>
          <w:tcPr>
            <w:tcW w:type="dxa" w:w="410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Purpose</w:t>
            </w:r>
          </w:p>
        </w:tc>
        <w:tc>
          <w:tcPr>
            <w:tcW w:type="dxa" w:w="381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Control consideration</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Remove identifier fields</w:t>
            </w:r>
          </w:p>
        </w:tc>
        <w:tc>
          <w:tcPr>
            <w:tcW w:type="dxa" w:w="41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Prevent member identifiers from acting as predictors.</w:t>
            </w:r>
          </w:p>
        </w:tc>
        <w:tc>
          <w:tcPr>
            <w:tcW w:type="dxa" w:w="38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Retain identifiers only for approved traceability outside the model input.</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Handle null target rows</w:t>
            </w:r>
          </w:p>
        </w:tc>
        <w:tc>
          <w:tcPr>
            <w:tcW w:type="dxa" w:w="41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Ensure training records have known outcomes.</w:t>
            </w:r>
          </w:p>
        </w:tc>
        <w:tc>
          <w:tcPr>
            <w:tcW w:type="dxa" w:w="38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Record excluded-row counts for audit.</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Scale numeric features</w:t>
            </w:r>
          </w:p>
        </w:tc>
        <w:tc>
          <w:tcPr>
            <w:tcW w:type="dxa" w:w="41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Support stable Logistic Regression optimisation.</w:t>
            </w:r>
          </w:p>
        </w:tc>
        <w:tc>
          <w:tcPr>
            <w:tcW w:type="dxa" w:w="38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Fit transformations only using training data.</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Encode categorical features</w:t>
            </w:r>
          </w:p>
        </w:tc>
        <w:tc>
          <w:tcPr>
            <w:tcW w:type="dxa" w:w="41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Convert text categories into model features.</w:t>
            </w:r>
          </w:p>
        </w:tc>
        <w:tc>
          <w:tcPr>
            <w:tcW w:type="dxa" w:w="38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Monitor new categories after deployment.</w:t>
            </w:r>
          </w:p>
        </w:tc>
      </w:tr>
    </w:tbl>
    <w:p>
      <w:pPr>
        <w:spacing w:after="0"/>
      </w:pP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6. Baseline Model Development - Version 1</w:t>
      </w:r>
    </w:p>
    <w:p>
      <w:pPr>
        <w:spacing w:after="100" w:before="0" w:line="259" w:lineRule="auto"/>
      </w:pPr>
      <w:r>
        <w:rPr>
          <w:rFonts w:ascii="Times New Roman" w:hAnsi="Times New Roman" w:eastAsia="Times New Roman"/>
          <w:b w:val="0"/>
          <w:i w:val="0"/>
          <w:color w:val="000000"/>
          <w:sz w:val="24"/>
        </w:rPr>
        <w:t>Version 1 establishes the performance benchmark. It is not assumed to be the best possible model; rather, it creates a reliable reference point for deciding whether later modelling changes deliver sufficient benefit without unacceptable trade-offs.</w:t>
      </w:r>
    </w:p>
    <w:p>
      <w:pPr>
        <w:keepNext/>
        <w:spacing w:after="80" w:before="180" w:line="259" w:lineRule="auto"/>
      </w:pPr>
      <w:r>
        <w:rPr>
          <w:rFonts w:ascii="Times New Roman" w:hAnsi="Times New Roman" w:eastAsia="Times New Roman"/>
          <w:b/>
          <w:i w:val="0"/>
          <w:color w:val="000000"/>
          <w:sz w:val="24"/>
        </w:rPr>
        <w:t>6.1 Purpose of the baseline development asset</w:t>
      </w:r>
    </w:p>
    <w:p>
      <w:pPr>
        <w:spacing w:after="100" w:before="0" w:line="259" w:lineRule="auto"/>
      </w:pPr>
      <w:r>
        <w:rPr>
          <w:rFonts w:ascii="Times New Roman" w:hAnsi="Times New Roman" w:eastAsia="Times New Roman"/>
          <w:b w:val="0"/>
          <w:i w:val="0"/>
          <w:color w:val="000000"/>
          <w:sz w:val="24"/>
        </w:rPr>
        <w:t>The baseline development notebook is used to load the governed dataset, apply the approved feature-preparation pipeline, train a standard Logistic Regression classifier, calculate evaluation metrics and register the resulting model artifact as Version 1. Its most important contribution is establishing a controlled starting point for model comparison.</w:t>
      </w:r>
    </w:p>
    <w:p>
      <w:pPr>
        <w:keepNext/>
        <w:spacing w:after="80" w:before="180" w:line="259" w:lineRule="auto"/>
      </w:pPr>
      <w:r>
        <w:rPr>
          <w:rFonts w:ascii="Times New Roman" w:hAnsi="Times New Roman" w:eastAsia="Times New Roman"/>
          <w:b/>
          <w:i w:val="0"/>
          <w:color w:val="000000"/>
          <w:sz w:val="24"/>
        </w:rPr>
        <w:t>6.2 Why Logistic Regression is appropriate for a baseline</w:t>
      </w:r>
    </w:p>
    <w:p>
      <w:pPr>
        <w:pStyle w:val="ListBullet"/>
        <w:spacing w:after="40"/>
        <w:ind w:left="360" w:hanging="259"/>
      </w:pPr>
      <w:r>
        <w:rPr>
          <w:rFonts w:ascii="Times New Roman" w:hAnsi="Times New Roman" w:eastAsia="Times New Roman"/>
          <w:color w:val="000000"/>
          <w:sz w:val="24"/>
        </w:rPr>
        <w:t>It produces a probability of churn and supports threshold-based classification.</w:t>
      </w:r>
    </w:p>
    <w:p>
      <w:pPr>
        <w:pStyle w:val="ListBullet"/>
        <w:spacing w:after="40"/>
        <w:ind w:left="360" w:hanging="259"/>
      </w:pPr>
      <w:r>
        <w:rPr>
          <w:rFonts w:ascii="Times New Roman" w:hAnsi="Times New Roman" w:eastAsia="Times New Roman"/>
          <w:color w:val="000000"/>
          <w:sz w:val="24"/>
        </w:rPr>
        <w:t>It is computationally efficient and easy to reproduce.</w:t>
      </w:r>
    </w:p>
    <w:p>
      <w:pPr>
        <w:pStyle w:val="ListBullet"/>
        <w:spacing w:after="40"/>
        <w:ind w:left="360" w:hanging="259"/>
      </w:pPr>
      <w:r>
        <w:rPr>
          <w:rFonts w:ascii="Times New Roman" w:hAnsi="Times New Roman" w:eastAsia="Times New Roman"/>
          <w:color w:val="000000"/>
          <w:sz w:val="24"/>
        </w:rPr>
        <w:t>Its behaviour and coefficient-based directionality are relatively explainable compared with more complex algorithms.</w:t>
      </w:r>
    </w:p>
    <w:p>
      <w:pPr>
        <w:pStyle w:val="ListBullet"/>
        <w:spacing w:after="40"/>
        <w:ind w:left="360" w:hanging="259"/>
      </w:pPr>
      <w:r>
        <w:rPr>
          <w:rFonts w:ascii="Times New Roman" w:hAnsi="Times New Roman" w:eastAsia="Times New Roman"/>
          <w:color w:val="000000"/>
          <w:sz w:val="24"/>
        </w:rPr>
        <w:t>It provides an interpretable benchmark before considering more complex models.</w:t>
      </w:r>
    </w:p>
    <w:p>
      <w:pPr>
        <w:keepNext/>
        <w:spacing w:after="80" w:before="180" w:line="259" w:lineRule="auto"/>
      </w:pPr>
      <w:r>
        <w:rPr>
          <w:rFonts w:ascii="Times New Roman" w:hAnsi="Times New Roman" w:eastAsia="Times New Roman"/>
          <w:b/>
          <w:i w:val="0"/>
          <w:color w:val="000000"/>
          <w:sz w:val="24"/>
        </w:rPr>
        <w:t>6.3 Preprocessing and baseline configuration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59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Component</w:t>
            </w:r>
          </w:p>
        </w:tc>
        <w:tc>
          <w:tcPr>
            <w:tcW w:type="dxa" w:w="302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Baseline configuration</w:t>
            </w:r>
          </w:p>
        </w:tc>
        <w:tc>
          <w:tcPr>
            <w:tcW w:type="dxa" w:w="453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Explanation</w:t>
            </w:r>
          </w:p>
        </w:tc>
      </w:tr>
      <w:tr>
        <w:tc>
          <w:tcPr>
            <w:tcW w:type="dxa" w:w="25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Algorithm</w:t>
            </w:r>
          </w:p>
        </w:tc>
        <w:tc>
          <w:tcPr>
            <w:tcW w:type="dxa" w:w="30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Logistic Regression</w:t>
            </w:r>
          </w:p>
        </w:tc>
        <w:tc>
          <w:tcPr>
            <w:tcW w:type="dxa" w:w="45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Binary classifier for churn probability.</w:t>
            </w:r>
          </w:p>
        </w:tc>
      </w:tr>
      <w:tr>
        <w:tc>
          <w:tcPr>
            <w:tcW w:type="dxa" w:w="25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Regularisation strength (C)</w:t>
            </w:r>
          </w:p>
        </w:tc>
        <w:tc>
          <w:tcPr>
            <w:tcW w:type="dxa" w:w="30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1.0</w:t>
            </w:r>
          </w:p>
        </w:tc>
        <w:tc>
          <w:tcPr>
            <w:tcW w:type="dxa" w:w="45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Standard baseline regularisation setting.</w:t>
            </w:r>
          </w:p>
        </w:tc>
      </w:tr>
      <w:tr>
        <w:tc>
          <w:tcPr>
            <w:tcW w:type="dxa" w:w="25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Class weighting</w:t>
            </w:r>
          </w:p>
        </w:tc>
        <w:tc>
          <w:tcPr>
            <w:tcW w:type="dxa" w:w="30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None</w:t>
            </w:r>
          </w:p>
        </w:tc>
        <w:tc>
          <w:tcPr>
            <w:tcW w:type="dxa" w:w="45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No rebalancing applied in Version 1.</w:t>
            </w:r>
          </w:p>
        </w:tc>
      </w:tr>
      <w:tr>
        <w:tc>
          <w:tcPr>
            <w:tcW w:type="dxa" w:w="25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Maximum iterations</w:t>
            </w:r>
          </w:p>
        </w:tc>
        <w:tc>
          <w:tcPr>
            <w:tcW w:type="dxa" w:w="30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2000</w:t>
            </w:r>
          </w:p>
        </w:tc>
        <w:tc>
          <w:tcPr>
            <w:tcW w:type="dxa" w:w="45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Allows optimisation to converge.</w:t>
            </w:r>
          </w:p>
        </w:tc>
      </w:tr>
      <w:tr>
        <w:tc>
          <w:tcPr>
            <w:tcW w:type="dxa" w:w="25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Evaluation split</w:t>
            </w:r>
          </w:p>
        </w:tc>
        <w:tc>
          <w:tcPr>
            <w:tcW w:type="dxa" w:w="302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Fixed governed test partition</w:t>
            </w:r>
          </w:p>
        </w:tc>
        <w:tc>
          <w:tcPr>
            <w:tcW w:type="dxa" w:w="45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Maintains a fair basis for comparison.</w:t>
            </w:r>
          </w:p>
        </w:tc>
      </w:tr>
    </w:tbl>
    <w:p>
      <w:pPr>
        <w:spacing w:after="0"/>
      </w:pPr>
    </w:p>
    <w:p>
      <w:pPr>
        <w:keepNext/>
        <w:spacing w:after="80" w:before="180" w:line="259" w:lineRule="auto"/>
      </w:pPr>
      <w:r>
        <w:rPr>
          <w:rFonts w:ascii="Times New Roman" w:hAnsi="Times New Roman" w:eastAsia="Times New Roman"/>
          <w:b/>
          <w:i w:val="0"/>
          <w:color w:val="000000"/>
          <w:sz w:val="24"/>
        </w:rPr>
        <w:t>Code excerpt - baseline model pipeline</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baseline_model = Pipeline(steps=[</w:t>
            </w:r>
            <w:r>
              <w:rPr>
                <w:rFonts w:ascii="Times New Roman" w:hAnsi="Times New Roman" w:eastAsia="Times New Roman"/>
                <w:color w:val="000000"/>
                <w:sz w:val="20"/>
              </w:rPr>
              <w:br/>
            </w:r>
            <w:r>
              <w:rPr>
                <w:rFonts w:ascii="Times New Roman" w:hAnsi="Times New Roman" w:eastAsia="Times New Roman"/>
                <w:color w:val="000000"/>
                <w:sz w:val="18"/>
              </w:rPr>
              <w:t xml:space="preserve">    ("preprocessor", preprocessor),</w:t>
            </w:r>
            <w:r>
              <w:rPr>
                <w:rFonts w:ascii="Times New Roman" w:hAnsi="Times New Roman" w:eastAsia="Times New Roman"/>
                <w:color w:val="000000"/>
                <w:sz w:val="20"/>
              </w:rPr>
              <w:br/>
            </w:r>
            <w:r>
              <w:rPr>
                <w:rFonts w:ascii="Times New Roman" w:hAnsi="Times New Roman" w:eastAsia="Times New Roman"/>
                <w:color w:val="000000"/>
                <w:sz w:val="18"/>
              </w:rPr>
              <w:t xml:space="preserve">    ("classifier", LogisticRegression(</w:t>
            </w:r>
            <w:r>
              <w:rPr>
                <w:rFonts w:ascii="Times New Roman" w:hAnsi="Times New Roman" w:eastAsia="Times New Roman"/>
                <w:color w:val="000000"/>
                <w:sz w:val="20"/>
              </w:rPr>
              <w:br/>
            </w:r>
            <w:r>
              <w:rPr>
                <w:rFonts w:ascii="Times New Roman" w:hAnsi="Times New Roman" w:eastAsia="Times New Roman"/>
                <w:color w:val="000000"/>
                <w:sz w:val="18"/>
              </w:rPr>
              <w:t xml:space="preserve">        C=1.0, class_weight=None, max_iter=2000, random_state=42</w:t>
            </w:r>
            <w:r>
              <w:rPr>
                <w:rFonts w:ascii="Times New Roman" w:hAnsi="Times New Roman" w:eastAsia="Times New Roman"/>
                <w:color w:val="000000"/>
                <w:sz w:val="20"/>
              </w:rPr>
              <w:br/>
            </w:r>
            <w:r>
              <w:rPr>
                <w:rFonts w:ascii="Times New Roman" w:hAnsi="Times New Roman" w:eastAsia="Times New Roman"/>
                <w:color w:val="000000"/>
                <w:sz w:val="18"/>
              </w:rPr>
              <w:t xml:space="preserve">    ))</w:t>
            </w:r>
            <w:r>
              <w:rPr>
                <w:rFonts w:ascii="Times New Roman" w:hAnsi="Times New Roman" w:eastAsia="Times New Roman"/>
                <w:color w:val="000000"/>
                <w:sz w:val="20"/>
              </w:rPr>
              <w:br/>
            </w:r>
            <w:r>
              <w:rPr>
                <w:rFonts w:ascii="Times New Roman" w:hAnsi="Times New Roman" w:eastAsia="Times New Roman"/>
                <w:color w:val="000000"/>
                <w:sz w:val="18"/>
              </w:rPr>
              <w:t>])</w:t>
            </w:r>
            <w:r>
              <w:rPr>
                <w:rFonts w:ascii="Times New Roman" w:hAnsi="Times New Roman" w:eastAsia="Times New Roman"/>
                <w:color w:val="000000"/>
                <w:sz w:val="20"/>
              </w:rPr>
              <w:br/>
            </w:r>
            <w:r>
              <w:rPr>
                <w:rFonts w:ascii="Times New Roman" w:hAnsi="Times New Roman" w:eastAsia="Times New Roman"/>
                <w:color w:val="000000"/>
                <w:sz w:val="18"/>
              </w:rPr>
              <w:t>baseline_model.fit(X_train, y_train)</w:t>
            </w:r>
          </w:p>
        </w:tc>
      </w:tr>
    </w:tbl>
    <w:p>
      <w:pPr>
        <w:spacing w:after="0"/>
      </w:pPr>
    </w:p>
    <w:p>
      <w:pPr>
        <w:keepNext/>
        <w:spacing w:after="80" w:before="180" w:line="259" w:lineRule="auto"/>
      </w:pPr>
      <w:r>
        <w:rPr>
          <w:rFonts w:ascii="Times New Roman" w:hAnsi="Times New Roman" w:eastAsia="Times New Roman"/>
          <w:b/>
          <w:i w:val="0"/>
          <w:color w:val="000000"/>
          <w:sz w:val="24"/>
        </w:rPr>
        <w:t>6.4 MLflow experiment tracking and model registration</w:t>
      </w:r>
    </w:p>
    <w:p>
      <w:pPr>
        <w:spacing w:after="100" w:before="0" w:line="259" w:lineRule="auto"/>
      </w:pPr>
      <w:r>
        <w:rPr>
          <w:rFonts w:ascii="Times New Roman" w:hAnsi="Times New Roman" w:eastAsia="Times New Roman"/>
          <w:b w:val="0"/>
          <w:i w:val="0"/>
          <w:color w:val="000000"/>
          <w:sz w:val="24"/>
        </w:rPr>
        <w:t>MLflow records how a model was produced. For Version 1, the run contains the algorithm configuration, common split table reference, measured quality indicators and the fitted model artifact. Registering the model creates an immutable version that can later be validated, promoted or retained for rollback.</w:t>
      </w:r>
    </w:p>
    <w:p>
      <w:pPr>
        <w:keepNext/>
        <w:spacing w:after="80" w:before="180" w:line="259" w:lineRule="auto"/>
      </w:pPr>
      <w:r>
        <w:rPr>
          <w:rFonts w:ascii="Times New Roman" w:hAnsi="Times New Roman" w:eastAsia="Times New Roman"/>
          <w:b/>
          <w:i w:val="0"/>
          <w:color w:val="000000"/>
          <w:sz w:val="24"/>
        </w:rPr>
        <w:t>Code excerpt - track metrics and register Version 1 in MLflow</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with mlflow.start_run(run_name="Version_1_Baseline"):</w:t>
            </w:r>
            <w:r>
              <w:rPr>
                <w:rFonts w:ascii="Times New Roman" w:hAnsi="Times New Roman" w:eastAsia="Times New Roman"/>
                <w:color w:val="000000"/>
                <w:sz w:val="20"/>
              </w:rPr>
              <w:br/>
            </w:r>
            <w:r>
              <w:rPr>
                <w:rFonts w:ascii="Times New Roman" w:hAnsi="Times New Roman" w:eastAsia="Times New Roman"/>
                <w:color w:val="000000"/>
                <w:sz w:val="18"/>
              </w:rPr>
              <w:t xml:space="preserve">    mlflow.log_params({"model_role": "Baseline", "C": 1.0})</w:t>
            </w:r>
            <w:r>
              <w:rPr>
                <w:rFonts w:ascii="Times New Roman" w:hAnsi="Times New Roman" w:eastAsia="Times New Roman"/>
                <w:color w:val="000000"/>
                <w:sz w:val="20"/>
              </w:rPr>
              <w:br/>
            </w:r>
            <w:r>
              <w:rPr>
                <w:rFonts w:ascii="Times New Roman" w:hAnsi="Times New Roman" w:eastAsia="Times New Roman"/>
                <w:color w:val="000000"/>
                <w:sz w:val="18"/>
              </w:rPr>
              <w:t xml:space="preserve">    mlflow.log_metrics(baseline_metrics)</w:t>
            </w:r>
            <w:r>
              <w:rPr>
                <w:rFonts w:ascii="Times New Roman" w:hAnsi="Times New Roman" w:eastAsia="Times New Roman"/>
                <w:color w:val="000000"/>
                <w:sz w:val="20"/>
              </w:rPr>
              <w:br/>
            </w:r>
            <w:r>
              <w:rPr>
                <w:rFonts w:ascii="Times New Roman" w:hAnsi="Times New Roman" w:eastAsia="Times New Roman"/>
                <w:color w:val="000000"/>
                <w:sz w:val="18"/>
              </w:rPr>
              <w:t xml:space="preserve">    mlflow.sklearn.log_model(</w:t>
            </w:r>
            <w:r>
              <w:rPr>
                <w:rFonts w:ascii="Times New Roman" w:hAnsi="Times New Roman" w:eastAsia="Times New Roman"/>
                <w:color w:val="000000"/>
                <w:sz w:val="20"/>
              </w:rPr>
              <w:br/>
            </w:r>
            <w:r>
              <w:rPr>
                <w:rFonts w:ascii="Times New Roman" w:hAnsi="Times New Roman" w:eastAsia="Times New Roman"/>
                <w:color w:val="000000"/>
                <w:sz w:val="18"/>
              </w:rPr>
              <w:t xml:space="preserve">        baseline_model, "model", registered_model_name=MODEL_NAME,</w:t>
            </w:r>
            <w:r>
              <w:rPr>
                <w:rFonts w:ascii="Times New Roman" w:hAnsi="Times New Roman" w:eastAsia="Times New Roman"/>
                <w:color w:val="000000"/>
                <w:sz w:val="20"/>
              </w:rPr>
              <w:br/>
            </w:r>
            <w:r>
              <w:rPr>
                <w:rFonts w:ascii="Times New Roman" w:hAnsi="Times New Roman" w:eastAsia="Times New Roman"/>
                <w:color w:val="000000"/>
                <w:sz w:val="18"/>
              </w:rPr>
              <w:t xml:space="preserve">        signature=signature, input_example=X_train.head(5)</w:t>
            </w:r>
            <w:r>
              <w:rPr>
                <w:rFonts w:ascii="Times New Roman" w:hAnsi="Times New Roman" w:eastAsia="Times New Roman"/>
                <w:color w:val="000000"/>
                <w:sz w:val="20"/>
              </w:rPr>
              <w:br/>
            </w:r>
            <w:r>
              <w:rPr>
                <w:rFonts w:ascii="Times New Roman" w:hAnsi="Times New Roman" w:eastAsia="Times New Roman"/>
                <w:color w:val="000000"/>
                <w:sz w:val="18"/>
              </w:rPr>
              <w:t xml:space="preserve">    )</w:t>
            </w:r>
          </w:p>
        </w:tc>
      </w:tr>
    </w:tbl>
    <w:p>
      <w:pPr>
        <w:spacing w:after="0"/>
      </w:pPr>
    </w:p>
    <w:p>
      <w:pPr>
        <w:keepNext/>
        <w:spacing w:after="80" w:before="180" w:line="259" w:lineRule="auto"/>
      </w:pPr>
      <w:r>
        <w:rPr>
          <w:rFonts w:ascii="Times New Roman" w:hAnsi="Times New Roman" w:eastAsia="Times New Roman"/>
          <w:b/>
          <w:i w:val="0"/>
          <w:color w:val="000000"/>
          <w:sz w:val="24"/>
        </w:rPr>
        <w:t>6.5 Recorded baseline result</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93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Version</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Role</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Accuracy</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Precision</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Recall</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F1 Score</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ROC AUC</w:t>
            </w:r>
          </w:p>
        </w:tc>
      </w:tr>
      <w:tr>
        <w:tc>
          <w:tcPr>
            <w:tcW w:type="dxa" w:w="9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1</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Baseline</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0.9313</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0.7222</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0.4937</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0.5865</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0.9509</w:t>
            </w:r>
          </w:p>
        </w:tc>
      </w:tr>
    </w:tbl>
    <w:p>
      <w:pPr>
        <w:spacing w:after="0"/>
      </w:pPr>
    </w:p>
    <w:p>
      <w:pPr>
        <w:spacing w:after="100" w:before="0" w:line="259" w:lineRule="auto"/>
      </w:pPr>
      <w:r>
        <w:rPr>
          <w:rFonts w:ascii="Times New Roman" w:hAnsi="Times New Roman" w:eastAsia="Times New Roman"/>
          <w:b w:val="0"/>
          <w:i w:val="0"/>
          <w:color w:val="000000"/>
          <w:sz w:val="24"/>
        </w:rPr>
        <w:t>Version 1 correctly ranks churn risk strongly according to its ROC AUC and captures approximately 49 percent of actual churners in the example test sample. These measures become the reference values used when evaluating Version 2.</w:t>
      </w: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7. Candidate Model Development and Hyperparameter Optimisation - Version 2</w:t>
      </w:r>
    </w:p>
    <w:p>
      <w:pPr>
        <w:spacing w:after="100" w:before="0" w:line="259" w:lineRule="auto"/>
      </w:pPr>
      <w:r>
        <w:rPr>
          <w:rFonts w:ascii="Times New Roman" w:hAnsi="Times New Roman" w:eastAsia="Times New Roman"/>
          <w:b w:val="0"/>
          <w:i w:val="0"/>
          <w:color w:val="000000"/>
          <w:sz w:val="24"/>
        </w:rPr>
        <w:t>Version 2 evaluates whether a tuned Logistic Regression model can improve the retention prediction outcome without changing the underlying algorithm or the evaluation dataset. This isolates the impact of tuning decisions and maintains a clear comparison with the baseline.</w:t>
      </w:r>
    </w:p>
    <w:p>
      <w:pPr>
        <w:keepNext/>
        <w:spacing w:after="80" w:before="180" w:line="259" w:lineRule="auto"/>
      </w:pPr>
      <w:r>
        <w:rPr>
          <w:rFonts w:ascii="Times New Roman" w:hAnsi="Times New Roman" w:eastAsia="Times New Roman"/>
          <w:b/>
          <w:i w:val="0"/>
          <w:color w:val="000000"/>
          <w:sz w:val="24"/>
        </w:rPr>
        <w:t>7.1 What changed from Version 1 to Version 2</w:t>
      </w:r>
    </w:p>
    <w:p>
      <w:pPr>
        <w:spacing w:after="100" w:before="0" w:line="259" w:lineRule="auto"/>
      </w:pPr>
      <w:r>
        <w:rPr>
          <w:rFonts w:ascii="Times New Roman" w:hAnsi="Times New Roman" w:eastAsia="Times New Roman"/>
          <w:b w:val="0"/>
          <w:i w:val="0"/>
          <w:color w:val="000000"/>
          <w:sz w:val="24"/>
        </w:rPr>
        <w:t>The model family remains Logistic Regression. The change is that Version 2 searches across combinations of regularisation strength and class weighting using cross-validation. This is called hyperparameter optimisation: selecting configuration values that are determined before final fitting rather than learned as model coefficients during training.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201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Hyperparameter</w:t>
            </w:r>
          </w:p>
        </w:tc>
        <w:tc>
          <w:tcPr>
            <w:tcW w:type="dxa" w:w="158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Version 1</w:t>
            </w:r>
          </w:p>
        </w:tc>
        <w:tc>
          <w:tcPr>
            <w:tcW w:type="dxa" w:w="295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Version 2 search values</w:t>
            </w:r>
          </w:p>
        </w:tc>
        <w:tc>
          <w:tcPr>
            <w:tcW w:type="dxa" w:w="374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Why it matters</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 - inverse regularisation strength</w:t>
            </w:r>
          </w:p>
        </w:tc>
        <w:tc>
          <w:tcPr>
            <w:tcW w:type="dxa" w:w="158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1.0 only</w:t>
            </w:r>
          </w:p>
        </w:tc>
        <w:tc>
          <w:tcPr>
            <w:tcW w:type="dxa" w:w="29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0.01, 0.1, 1.0, 10.0</w:t>
            </w:r>
          </w:p>
        </w:tc>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Controls the balance between fitting the training data and keeping model coefficients constrained.</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class_weight</w:t>
            </w:r>
          </w:p>
        </w:tc>
        <w:tc>
          <w:tcPr>
            <w:tcW w:type="dxa" w:w="158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None only</w:t>
            </w:r>
          </w:p>
        </w:tc>
        <w:tc>
          <w:tcPr>
            <w:tcW w:type="dxa" w:w="29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None, balanced</w:t>
            </w:r>
          </w:p>
        </w:tc>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Balanced weighting gives additional influence to the less frequent target class where churn is imbalanced.</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Selection method</w:t>
            </w:r>
          </w:p>
        </w:tc>
        <w:tc>
          <w:tcPr>
            <w:tcW w:type="dxa" w:w="158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No search</w:t>
            </w:r>
          </w:p>
        </w:tc>
        <w:tc>
          <w:tcPr>
            <w:tcW w:type="dxa" w:w="29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GridSearchCV with 3-fold cross-validation</w:t>
            </w:r>
          </w:p>
        </w:tc>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Compares parameter combinations systematically.</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Optimisation metric</w:t>
            </w:r>
          </w:p>
        </w:tc>
        <w:tc>
          <w:tcPr>
            <w:tcW w:type="dxa" w:w="158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Not applicable</w:t>
            </w:r>
          </w:p>
        </w:tc>
        <w:tc>
          <w:tcPr>
            <w:tcW w:type="dxa" w:w="29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ROC AUC</w:t>
            </w:r>
          </w:p>
        </w:tc>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Selects a model that ranks churners above non-churners across thresholds.</w:t>
            </w:r>
          </w:p>
        </w:tc>
      </w:tr>
    </w:tbl>
    <w:p>
      <w:pPr>
        <w:spacing w:after="0"/>
      </w:pPr>
    </w:p>
    <w:p>
      <w:pPr>
        <w:keepNext/>
        <w:spacing w:after="80" w:before="180" w:line="259" w:lineRule="auto"/>
      </w:pPr>
      <w:r>
        <w:rPr>
          <w:rFonts w:ascii="Times New Roman" w:hAnsi="Times New Roman" w:eastAsia="Times New Roman"/>
          <w:b/>
          <w:i w:val="0"/>
          <w:color w:val="000000"/>
          <w:sz w:val="24"/>
        </w:rPr>
        <w:t>7.2 Regularisation strength (C) explained</w:t>
      </w:r>
    </w:p>
    <w:p>
      <w:pPr>
        <w:spacing w:after="100" w:before="0" w:line="259" w:lineRule="auto"/>
      </w:pPr>
      <w:r>
        <w:rPr>
          <w:rFonts w:ascii="Times New Roman" w:hAnsi="Times New Roman" w:eastAsia="Times New Roman"/>
          <w:b w:val="0"/>
          <w:i w:val="0"/>
          <w:color w:val="000000"/>
          <w:sz w:val="24"/>
        </w:rPr>
        <w:t>For scikit-learn Logistic Regression, C is the inverse of regularisation strength. Lower C values impose stronger regularisation and can reduce overfitting by constraining coefficients more heavily. Higher C values permit a closer fit to the training data, which can increase variance. Testing multiple values identifies the trade-off that best supports predictive ranking on validation folds.</w:t>
      </w:r>
    </w:p>
    <w:p>
      <w:pPr>
        <w:keepNext/>
        <w:spacing w:after="80" w:before="180" w:line="259" w:lineRule="auto"/>
      </w:pPr>
      <w:r>
        <w:rPr>
          <w:rFonts w:ascii="Times New Roman" w:hAnsi="Times New Roman" w:eastAsia="Times New Roman"/>
          <w:b/>
          <w:i w:val="0"/>
          <w:color w:val="000000"/>
          <w:sz w:val="24"/>
        </w:rPr>
        <w:t>7.3 Class weighting explained</w:t>
      </w:r>
    </w:p>
    <w:p>
      <w:pPr>
        <w:spacing w:after="100" w:before="0" w:line="259" w:lineRule="auto"/>
      </w:pPr>
      <w:r>
        <w:rPr>
          <w:rFonts w:ascii="Times New Roman" w:hAnsi="Times New Roman" w:eastAsia="Times New Roman"/>
          <w:b w:val="0"/>
          <w:i w:val="0"/>
          <w:color w:val="000000"/>
          <w:sz w:val="24"/>
        </w:rPr>
        <w:t>Churn datasets often contain substantially fewer churned members than retained members. When class_weight is set to balanced, the fitting process automatically gives greater importance to the minority class relative to its frequency. This can improve detection of churners, but it can also increase false positives. The effect must therefore be verified through metrics and business judgement rather than assumed to be beneficial.</w:t>
      </w:r>
    </w:p>
    <w:p>
      <w:pPr>
        <w:keepNext/>
        <w:spacing w:after="80" w:before="180" w:line="259" w:lineRule="auto"/>
      </w:pPr>
      <w:r>
        <w:rPr>
          <w:rFonts w:ascii="Times New Roman" w:hAnsi="Times New Roman" w:eastAsia="Times New Roman"/>
          <w:b/>
          <w:i w:val="0"/>
          <w:color w:val="000000"/>
          <w:sz w:val="24"/>
        </w:rPr>
        <w:t>Code excerpt - Version 2 hyperparameter search</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parameter_grid = {</w:t>
            </w:r>
            <w:r>
              <w:rPr>
                <w:rFonts w:ascii="Times New Roman" w:hAnsi="Times New Roman" w:eastAsia="Times New Roman"/>
                <w:color w:val="000000"/>
                <w:sz w:val="20"/>
              </w:rPr>
              <w:br/>
            </w:r>
            <w:r>
              <w:rPr>
                <w:rFonts w:ascii="Times New Roman" w:hAnsi="Times New Roman" w:eastAsia="Times New Roman"/>
                <w:color w:val="000000"/>
                <w:sz w:val="18"/>
              </w:rPr>
              <w:t xml:space="preserve">    "classifier__C": [0.01, 0.1, 1.0, 10.0],</w:t>
            </w:r>
            <w:r>
              <w:rPr>
                <w:rFonts w:ascii="Times New Roman" w:hAnsi="Times New Roman" w:eastAsia="Times New Roman"/>
                <w:color w:val="000000"/>
                <w:sz w:val="20"/>
              </w:rPr>
              <w:br/>
            </w:r>
            <w:r>
              <w:rPr>
                <w:rFonts w:ascii="Times New Roman" w:hAnsi="Times New Roman" w:eastAsia="Times New Roman"/>
                <w:color w:val="000000"/>
                <w:sz w:val="18"/>
              </w:rPr>
              <w:t xml:space="preserve">    "classifier__class_weight": [None, "balanced"]</w:t>
            </w:r>
            <w:r>
              <w:rPr>
                <w:rFonts w:ascii="Times New Roman" w:hAnsi="Times New Roman" w:eastAsia="Times New Roman"/>
                <w:color w:val="000000"/>
                <w:sz w:val="20"/>
              </w:rPr>
              <w:br/>
            </w:r>
            <w:r>
              <w:rPr>
                <w:rFonts w:ascii="Times New Roman" w:hAnsi="Times New Roman" w:eastAsia="Times New Roman"/>
                <w:color w:val="000000"/>
                <w:sz w:val="18"/>
              </w:rPr>
              <w:t>}</w:t>
            </w:r>
            <w:r>
              <w:rPr>
                <w:rFonts w:ascii="Times New Roman" w:hAnsi="Times New Roman" w:eastAsia="Times New Roman"/>
                <w:color w:val="000000"/>
                <w:sz w:val="20"/>
              </w:rPr>
              <w:br/>
            </w:r>
            <w:r>
              <w:rPr>
                <w:rFonts w:ascii="Times New Roman" w:hAnsi="Times New Roman" w:eastAsia="Times New Roman"/>
                <w:color w:val="000000"/>
                <w:sz w:val="18"/>
              </w:rPr>
              <w:t>grid_search = GridSearchCV(</w:t>
            </w:r>
            <w:r>
              <w:rPr>
                <w:rFonts w:ascii="Times New Roman" w:hAnsi="Times New Roman" w:eastAsia="Times New Roman"/>
                <w:color w:val="000000"/>
                <w:sz w:val="20"/>
              </w:rPr>
              <w:br/>
            </w:r>
            <w:r>
              <w:rPr>
                <w:rFonts w:ascii="Times New Roman" w:hAnsi="Times New Roman" w:eastAsia="Times New Roman"/>
                <w:color w:val="000000"/>
                <w:sz w:val="18"/>
              </w:rPr>
              <w:t xml:space="preserve">    candidate_pipeline, parameter_grid, scoring="roc_auc", cv=3, refit=True</w:t>
            </w:r>
            <w:r>
              <w:rPr>
                <w:rFonts w:ascii="Times New Roman" w:hAnsi="Times New Roman" w:eastAsia="Times New Roman"/>
                <w:color w:val="000000"/>
                <w:sz w:val="20"/>
              </w:rPr>
              <w:br/>
            </w:r>
            <w:r>
              <w:rPr>
                <w:rFonts w:ascii="Times New Roman" w:hAnsi="Times New Roman" w:eastAsia="Times New Roman"/>
                <w:color w:val="000000"/>
                <w:sz w:val="18"/>
              </w:rPr>
              <w:t>)</w:t>
            </w:r>
            <w:r>
              <w:rPr>
                <w:rFonts w:ascii="Times New Roman" w:hAnsi="Times New Roman" w:eastAsia="Times New Roman"/>
                <w:color w:val="000000"/>
                <w:sz w:val="20"/>
              </w:rPr>
              <w:br/>
            </w:r>
            <w:r>
              <w:rPr>
                <w:rFonts w:ascii="Times New Roman" w:hAnsi="Times New Roman" w:eastAsia="Times New Roman"/>
                <w:color w:val="000000"/>
                <w:sz w:val="18"/>
              </w:rPr>
              <w:t>grid_search.fit(X_train, y_train)</w:t>
            </w:r>
          </w:p>
        </w:tc>
      </w:tr>
    </w:tbl>
    <w:p>
      <w:pPr>
        <w:spacing w:after="0"/>
      </w:pPr>
    </w:p>
    <w:p>
      <w:pPr>
        <w:keepNext/>
        <w:spacing w:after="80" w:before="180" w:line="259" w:lineRule="auto"/>
      </w:pPr>
      <w:r>
        <w:rPr>
          <w:rFonts w:ascii="Times New Roman" w:hAnsi="Times New Roman" w:eastAsia="Times New Roman"/>
          <w:b/>
          <w:i w:val="0"/>
          <w:color w:val="000000"/>
          <w:sz w:val="24"/>
        </w:rPr>
        <w:t>7.4 Role of Hyperopt in an enterprise extension</w:t>
      </w:r>
    </w:p>
    <w:p>
      <w:pPr>
        <w:spacing w:after="100" w:before="0" w:line="259" w:lineRule="auto"/>
      </w:pPr>
      <w:r>
        <w:rPr>
          <w:rFonts w:ascii="Times New Roman" w:hAnsi="Times New Roman" w:eastAsia="Times New Roman"/>
          <w:b w:val="0"/>
          <w:i w:val="0"/>
          <w:color w:val="000000"/>
          <w:sz w:val="24"/>
        </w:rPr>
        <w:t>Hyperopt is an optimisation library that can be considered when the search space grows beyond a small number of discrete combinations or when distributed tuning is required. In this documented proof of concept, it should not be presented as an executed dependency because the recorded Version 2 result was produced by GridSearchCV. A future experimentation plan may compare GridSearchCV, RandomizedSearchCV and Hyperopt under agreed cost and performance criteria.</w:t>
      </w:r>
    </w:p>
    <w:p>
      <w:pPr>
        <w:keepNext/>
        <w:spacing w:after="80" w:before="180" w:line="259" w:lineRule="auto"/>
      </w:pPr>
      <w:r>
        <w:rPr>
          <w:rFonts w:ascii="Times New Roman" w:hAnsi="Times New Roman" w:eastAsia="Times New Roman"/>
          <w:b/>
          <w:i w:val="0"/>
          <w:color w:val="000000"/>
          <w:sz w:val="24"/>
        </w:rPr>
        <w:t>7.5 Candidate registration and recorded result</w:t>
      </w:r>
    </w:p>
    <w:p>
      <w:pPr>
        <w:spacing w:after="100" w:before="0" w:line="259" w:lineRule="auto"/>
      </w:pPr>
      <w:r>
        <w:rPr>
          <w:rFonts w:ascii="Times New Roman" w:hAnsi="Times New Roman" w:eastAsia="Times New Roman"/>
          <w:b w:val="0"/>
          <w:i w:val="0"/>
          <w:color w:val="000000"/>
          <w:sz w:val="24"/>
        </w:rPr>
        <w:t>Once the selected candidate configuration is fitted using the governed training partition, it is logged through MLflow and registered under the same model name as Version 1. MLflow creates Version 2 rather than replacing the baseline, enabling side-by-side evidence review and controlled promotion.</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93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Version</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Role</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Accuracy</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Precision</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Recall</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F1 Score</w:t>
            </w:r>
          </w:p>
        </w:tc>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ROC AUC</w:t>
            </w:r>
          </w:p>
        </w:tc>
      </w:tr>
      <w:tr>
        <w:tc>
          <w:tcPr>
            <w:tcW w:type="dxa" w:w="9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1</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Baseline</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0.9313</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0.7222</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0.4937</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0.5865</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0.9509</w:t>
            </w:r>
          </w:p>
        </w:tc>
      </w:tr>
      <w:tr>
        <w:tc>
          <w:tcPr>
            <w:tcW w:type="dxa" w:w="9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2</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Candidate</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0.9337</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0.7955</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0.4430</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0.5691</w:t>
            </w:r>
          </w:p>
        </w:tc>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0.9505</w:t>
            </w:r>
          </w:p>
        </w:tc>
      </w:tr>
    </w:tbl>
    <w:p>
      <w:pPr>
        <w:spacing w:after="0"/>
      </w:pPr>
    </w:p>
    <w:p>
      <w:pPr>
        <w:jc w:val="center"/>
      </w:pPr>
      <w:r>
        <w:rPr>
          <w:rFonts w:ascii="Times New Roman" w:hAnsi="Times New Roman" w:eastAsia="Times New Roman"/>
          <w:color w:val="000000"/>
          <w:sz w:val="24"/>
        </w:rPr>
        <w:drawing>
          <wp:inline xmlns:a="http://schemas.openxmlformats.org/drawingml/2006/main" xmlns:pic="http://schemas.openxmlformats.org/drawingml/2006/picture">
            <wp:extent cx="5760720" cy="1440180"/>
            <wp:docPr id="2" name="Picture 2"/>
            <wp:cNvGraphicFramePr>
              <a:graphicFrameLocks noChangeAspect="1"/>
            </wp:cNvGraphicFramePr>
            <a:graphic>
              <a:graphicData uri="http://schemas.openxmlformats.org/drawingml/2006/picture">
                <pic:pic>
                  <pic:nvPicPr>
                    <pic:cNvPr id="0" name="gray_image3.png"/>
                    <pic:cNvPicPr/>
                  </pic:nvPicPr>
                  <pic:blipFill>
                    <a:blip r:embed="rId12"/>
                    <a:stretch>
                      <a:fillRect/>
                    </a:stretch>
                  </pic:blipFill>
                  <pic:spPr>
                    <a:xfrm>
                      <a:off x="0" y="0"/>
                      <a:ext cx="5760720" cy="1440180"/>
                    </a:xfrm>
                    <a:prstGeom prst="rect"/>
                  </pic:spPr>
                </pic:pic>
              </a:graphicData>
            </a:graphic>
          </wp:inline>
        </w:drawing>
      </w:r>
    </w:p>
    <w:p>
      <w:pPr>
        <w:spacing w:after="120" w:before="0" w:line="259" w:lineRule="auto"/>
        <w:jc w:val="center"/>
      </w:pPr>
      <w:r>
        <w:rPr>
          <w:rFonts w:ascii="Times New Roman" w:hAnsi="Times New Roman" w:eastAsia="Times New Roman"/>
          <w:b w:val="0"/>
          <w:i/>
          <w:color w:val="000000"/>
          <w:sz w:val="20"/>
        </w:rPr>
        <w:t>Figure 2. Recorded model-version result view used for performance validation.</w:t>
      </w: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8. MLflow Model Tracking and Versioning</w:t>
      </w:r>
    </w:p>
    <w:p>
      <w:pPr>
        <w:spacing w:after="100" w:before="0" w:line="259" w:lineRule="auto"/>
      </w:pPr>
      <w:r>
        <w:rPr>
          <w:rFonts w:ascii="Times New Roman" w:hAnsi="Times New Roman" w:eastAsia="Times New Roman"/>
          <w:b w:val="0"/>
          <w:i w:val="0"/>
          <w:color w:val="000000"/>
          <w:sz w:val="24"/>
        </w:rPr>
        <w:t>Experiment tracking and version management are separate but complementary capabilities. A run stores evidence about an individual training attempt; a registered model version stores the deployable model artifact associated with an approved or reviewable training result.</w:t>
      </w:r>
    </w:p>
    <w:p>
      <w:pPr>
        <w:keepNext/>
        <w:spacing w:after="80" w:before="180" w:line="259" w:lineRule="auto"/>
      </w:pPr>
      <w:r>
        <w:rPr>
          <w:rFonts w:ascii="Times New Roman" w:hAnsi="Times New Roman" w:eastAsia="Times New Roman"/>
          <w:b/>
          <w:i w:val="0"/>
          <w:color w:val="000000"/>
          <w:sz w:val="24"/>
        </w:rPr>
        <w:t>8.1 MLflow evidence captured for each version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23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Evidence category</w:t>
            </w:r>
          </w:p>
        </w:tc>
        <w:tc>
          <w:tcPr>
            <w:tcW w:type="dxa" w:w="439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Example recorded values</w:t>
            </w:r>
          </w:p>
        </w:tc>
        <w:tc>
          <w:tcPr>
            <w:tcW w:type="dxa" w:w="367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Review purpose</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Parameters</w:t>
            </w:r>
          </w:p>
        </w:tc>
        <w:tc>
          <w:tcPr>
            <w:tcW w:type="dxa" w:w="43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Algorithm, C, class_weight, split_table, tuning method</w:t>
            </w:r>
          </w:p>
        </w:tc>
        <w:tc>
          <w:tcPr>
            <w:tcW w:type="dxa" w:w="36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Understand how the model was produced.</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Metrics</w:t>
            </w:r>
          </w:p>
        </w:tc>
        <w:tc>
          <w:tcPr>
            <w:tcW w:type="dxa" w:w="43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Accuracy, precision, recall, F1 Score, ROC AUC</w:t>
            </w:r>
          </w:p>
        </w:tc>
        <w:tc>
          <w:tcPr>
            <w:tcW w:type="dxa" w:w="36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Compare predictive quality.</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Confusion outcomes</w:t>
            </w:r>
          </w:p>
        </w:tc>
        <w:tc>
          <w:tcPr>
            <w:tcW w:type="dxa" w:w="43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True positives, false positives, true negatives, false negatives</w:t>
            </w:r>
          </w:p>
        </w:tc>
        <w:tc>
          <w:tcPr>
            <w:tcW w:type="dxa" w:w="36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Assess operational trade-offs.</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Artifacts</w:t>
            </w:r>
          </w:p>
        </w:tc>
        <w:tc>
          <w:tcPr>
            <w:tcW w:type="dxa" w:w="43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Fitted preprocessing and classification pipeline</w:t>
            </w:r>
          </w:p>
        </w:tc>
        <w:tc>
          <w:tcPr>
            <w:tcW w:type="dxa" w:w="36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Enable repeatable deployment.</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Signature and input example</w:t>
            </w:r>
          </w:p>
        </w:tc>
        <w:tc>
          <w:tcPr>
            <w:tcW w:type="dxa" w:w="43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Input column structure and representative values</w:t>
            </w:r>
          </w:p>
        </w:tc>
        <w:tc>
          <w:tcPr>
            <w:tcW w:type="dxa" w:w="36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Validate serving contract.</w:t>
            </w:r>
          </w:p>
        </w:tc>
      </w:tr>
    </w:tbl>
    <w:p>
      <w:pPr>
        <w:spacing w:after="0"/>
      </w:pPr>
    </w:p>
    <w:p>
      <w:pPr>
        <w:keepNext/>
        <w:spacing w:after="80" w:before="180" w:line="259" w:lineRule="auto"/>
      </w:pPr>
      <w:r>
        <w:rPr>
          <w:rFonts w:ascii="Times New Roman" w:hAnsi="Times New Roman" w:eastAsia="Times New Roman"/>
          <w:b/>
          <w:i w:val="0"/>
          <w:color w:val="000000"/>
          <w:sz w:val="24"/>
        </w:rPr>
        <w:t>8.2 Model version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136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Version</w:t>
            </w:r>
          </w:p>
        </w:tc>
        <w:tc>
          <w:tcPr>
            <w:tcW w:type="dxa" w:w="439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Description</w:t>
            </w:r>
          </w:p>
        </w:tc>
        <w:tc>
          <w:tcPr>
            <w:tcW w:type="dxa" w:w="216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Lifecycle position</w:t>
            </w:r>
          </w:p>
        </w:tc>
        <w:tc>
          <w:tcPr>
            <w:tcW w:type="dxa" w:w="237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Decision</w:t>
            </w:r>
          </w:p>
        </w:tc>
      </w:tr>
      <w:tr>
        <w:tc>
          <w:tcPr>
            <w:tcW w:type="dxa" w:w="136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Version 1</w:t>
            </w:r>
          </w:p>
        </w:tc>
        <w:tc>
          <w:tcPr>
            <w:tcW w:type="dxa" w:w="43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Baseline Logistic Regression using fixed governed split.</w:t>
            </w:r>
          </w:p>
        </w:tc>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Validated model.</w:t>
            </w:r>
          </w:p>
        </w:tc>
        <w:tc>
          <w:tcPr>
            <w:tcW w:type="dxa" w:w="237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Selected as Champion in example.</w:t>
            </w:r>
          </w:p>
        </w:tc>
      </w:tr>
      <w:tr>
        <w:tc>
          <w:tcPr>
            <w:tcW w:type="dxa" w:w="136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Version 2</w:t>
            </w:r>
          </w:p>
        </w:tc>
        <w:tc>
          <w:tcPr>
            <w:tcW w:type="dxa" w:w="43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Tuned Logistic Regression candidate using parameter search.</w:t>
            </w:r>
          </w:p>
        </w:tc>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Validated candidate.</w:t>
            </w:r>
          </w:p>
        </w:tc>
        <w:tc>
          <w:tcPr>
            <w:tcW w:type="dxa" w:w="237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Retained as Challenger in example.</w:t>
            </w:r>
          </w:p>
        </w:tc>
      </w:tr>
    </w:tbl>
    <w:p>
      <w:pPr>
        <w:spacing w:after="0"/>
      </w:pPr>
    </w:p>
    <w:p>
      <w:pPr>
        <w:keepNext/>
        <w:spacing w:after="80" w:before="180" w:line="259" w:lineRule="auto"/>
      </w:pPr>
      <w:r>
        <w:rPr>
          <w:rFonts w:ascii="Times New Roman" w:hAnsi="Times New Roman" w:eastAsia="Times New Roman"/>
          <w:b/>
          <w:i w:val="0"/>
          <w:color w:val="000000"/>
          <w:sz w:val="24"/>
        </w:rPr>
        <w:t>8.3 Why models are registered in Unity Catalog</w:t>
      </w:r>
    </w:p>
    <w:p>
      <w:pPr>
        <w:spacing w:after="100" w:before="0" w:line="259" w:lineRule="auto"/>
      </w:pPr>
      <w:r>
        <w:rPr>
          <w:rFonts w:ascii="Times New Roman" w:hAnsi="Times New Roman" w:eastAsia="Times New Roman"/>
          <w:b w:val="0"/>
          <w:i w:val="0"/>
          <w:color w:val="000000"/>
          <w:sz w:val="24"/>
        </w:rPr>
        <w:t>A model used in an enterprise analytics process needs controlled visibility, approved ownership, consistent naming and an audit trail. Models in Unity Catalog provide a governed registered-model location with model versions and alias-based lifecycle management. This makes the deployed model identifiable and supports controlled change or rollback.</w:t>
      </w: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9. Performance Validation and Champion Selection</w:t>
      </w:r>
    </w:p>
    <w:p>
      <w:pPr>
        <w:spacing w:after="100" w:before="0" w:line="259" w:lineRule="auto"/>
      </w:pPr>
      <w:r>
        <w:rPr>
          <w:rFonts w:ascii="Times New Roman" w:hAnsi="Times New Roman" w:eastAsia="Times New Roman"/>
          <w:b w:val="0"/>
          <w:i w:val="0"/>
          <w:color w:val="000000"/>
          <w:sz w:val="24"/>
        </w:rPr>
        <w:t>A model should not be promoted only because one metric improves. Retention analytics involves business trade-offs: a false positive may result in unnecessary outreach, while a false negative means a genuine churner is not prioritised for intervention. The right model is selected by reviewing metrics in relation to the stated objective.</w:t>
      </w:r>
    </w:p>
    <w:p>
      <w:pPr>
        <w:keepNext/>
        <w:spacing w:after="80" w:before="180" w:line="259" w:lineRule="auto"/>
      </w:pPr>
      <w:r>
        <w:rPr>
          <w:rFonts w:ascii="Times New Roman" w:hAnsi="Times New Roman" w:eastAsia="Times New Roman"/>
          <w:b/>
          <w:i w:val="0"/>
          <w:color w:val="000000"/>
          <w:sz w:val="24"/>
        </w:rPr>
        <w:t>9.1 Evaluation metrics and interpretation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44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Metric</w:t>
            </w:r>
          </w:p>
        </w:tc>
        <w:tc>
          <w:tcPr>
            <w:tcW w:type="dxa" w:w="460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Meaning for this use case</w:t>
            </w:r>
          </w:p>
        </w:tc>
        <w:tc>
          <w:tcPr>
            <w:tcW w:type="dxa" w:w="424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Decision relevance</w:t>
            </w:r>
          </w:p>
        </w:tc>
      </w:tr>
      <w:tr>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Accuracy</w:t>
            </w:r>
          </w:p>
        </w:tc>
        <w:tc>
          <w:tcPr>
            <w:tcW w:type="dxa" w:w="460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Percentage of all members correctly classified.</w:t>
            </w:r>
          </w:p>
        </w:tc>
        <w:tc>
          <w:tcPr>
            <w:tcW w:type="dxa" w:w="424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Useful overview, but can hide weak churn detection when the class is imbalanced.</w:t>
            </w:r>
          </w:p>
        </w:tc>
      </w:tr>
      <w:tr>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Precision</w:t>
            </w:r>
          </w:p>
        </w:tc>
        <w:tc>
          <w:tcPr>
            <w:tcW w:type="dxa" w:w="460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Percentage of predicted churners who actually churned.</w:t>
            </w:r>
          </w:p>
        </w:tc>
        <w:tc>
          <w:tcPr>
            <w:tcW w:type="dxa" w:w="424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Higher precision targets interventions more narrowly.</w:t>
            </w:r>
          </w:p>
        </w:tc>
      </w:tr>
      <w:tr>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Recall</w:t>
            </w:r>
          </w:p>
        </w:tc>
        <w:tc>
          <w:tcPr>
            <w:tcW w:type="dxa" w:w="460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Percentage of actual churners detected by the model.</w:t>
            </w:r>
          </w:p>
        </w:tc>
        <w:tc>
          <w:tcPr>
            <w:tcW w:type="dxa" w:w="424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Higher recall avoids missing retention opportunities.</w:t>
            </w:r>
          </w:p>
        </w:tc>
      </w:tr>
      <w:tr>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F1 Score</w:t>
            </w:r>
          </w:p>
        </w:tc>
        <w:tc>
          <w:tcPr>
            <w:tcW w:type="dxa" w:w="460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Balance between precision and recall.</w:t>
            </w:r>
          </w:p>
        </w:tc>
        <w:tc>
          <w:tcPr>
            <w:tcW w:type="dxa" w:w="424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Useful when both unnecessary contact and missed churners matter.</w:t>
            </w:r>
          </w:p>
        </w:tc>
      </w:tr>
      <w:tr>
        <w:tc>
          <w:tcPr>
            <w:tcW w:type="dxa" w:w="144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ROC AUC</w:t>
            </w:r>
          </w:p>
        </w:tc>
        <w:tc>
          <w:tcPr>
            <w:tcW w:type="dxa" w:w="460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Ability to rank churners ahead of non-churners across thresholds.</w:t>
            </w:r>
          </w:p>
        </w:tc>
        <w:tc>
          <w:tcPr>
            <w:tcW w:type="dxa" w:w="424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Supports overall risk-ranking assessment.</w:t>
            </w:r>
          </w:p>
        </w:tc>
      </w:tr>
    </w:tbl>
    <w:p>
      <w:pPr>
        <w:spacing w:after="0"/>
      </w:pPr>
    </w:p>
    <w:p>
      <w:pPr>
        <w:keepNext/>
        <w:spacing w:after="80" w:before="180" w:line="259" w:lineRule="auto"/>
      </w:pPr>
      <w:r>
        <w:rPr>
          <w:rFonts w:ascii="Times New Roman" w:hAnsi="Times New Roman" w:eastAsia="Times New Roman"/>
          <w:b/>
          <w:i w:val="0"/>
          <w:color w:val="000000"/>
          <w:sz w:val="24"/>
        </w:rPr>
        <w:t>9.2 Version comparison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151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Metric</w:t>
            </w:r>
          </w:p>
        </w:tc>
        <w:tc>
          <w:tcPr>
            <w:tcW w:type="dxa" w:w="208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Version 1 - Baseline</w:t>
            </w:r>
          </w:p>
        </w:tc>
        <w:tc>
          <w:tcPr>
            <w:tcW w:type="dxa" w:w="223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Version 2 - Candidate</w:t>
            </w:r>
          </w:p>
        </w:tc>
        <w:tc>
          <w:tcPr>
            <w:tcW w:type="dxa" w:w="446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Observation</w:t>
            </w:r>
          </w:p>
        </w:tc>
      </w:tr>
      <w:tr>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Accuracy</w:t>
            </w:r>
          </w:p>
        </w:tc>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0.9313</w:t>
            </w:r>
          </w:p>
        </w:tc>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0.9337</w:t>
            </w:r>
          </w:p>
        </w:tc>
        <w:tc>
          <w:tcPr>
            <w:tcW w:type="dxa" w:w="44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Candidate improves very slightly.</w:t>
            </w:r>
          </w:p>
        </w:tc>
      </w:tr>
      <w:tr>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Precision</w:t>
            </w:r>
          </w:p>
        </w:tc>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0.7222</w:t>
            </w:r>
          </w:p>
        </w:tc>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0.7955</w:t>
            </w:r>
          </w:p>
        </w:tc>
        <w:tc>
          <w:tcPr>
            <w:tcW w:type="dxa" w:w="44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Candidate flags fewer non-churners as likely churn.</w:t>
            </w:r>
          </w:p>
        </w:tc>
      </w:tr>
      <w:tr>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Recall</w:t>
            </w:r>
          </w:p>
        </w:tc>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0.4937</w:t>
            </w:r>
          </w:p>
        </w:tc>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0.4430</w:t>
            </w:r>
          </w:p>
        </w:tc>
        <w:tc>
          <w:tcPr>
            <w:tcW w:type="dxa" w:w="44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Baseline captures more actual churners.</w:t>
            </w:r>
          </w:p>
        </w:tc>
      </w:tr>
      <w:tr>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F1 Score</w:t>
            </w:r>
          </w:p>
        </w:tc>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0.5865</w:t>
            </w:r>
          </w:p>
        </w:tc>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0.5691</w:t>
            </w:r>
          </w:p>
        </w:tc>
        <w:tc>
          <w:tcPr>
            <w:tcW w:type="dxa" w:w="44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Baseline has better precision/recall balance.</w:t>
            </w:r>
          </w:p>
        </w:tc>
      </w:tr>
      <w:tr>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ROC AUC</w:t>
            </w:r>
          </w:p>
        </w:tc>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0.9509</w:t>
            </w:r>
          </w:p>
        </w:tc>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0.9505</w:t>
            </w:r>
          </w:p>
        </w:tc>
        <w:tc>
          <w:tcPr>
            <w:tcW w:type="dxa" w:w="44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Baseline ranks risk slightly better.</w:t>
            </w:r>
          </w:p>
        </w:tc>
      </w:tr>
    </w:tbl>
    <w:p>
      <w:pPr>
        <w:spacing w:after="0"/>
      </w:pPr>
    </w:p>
    <w:p>
      <w:pPr>
        <w:keepNext/>
        <w:spacing w:after="80" w:before="180" w:line="259" w:lineRule="auto"/>
      </w:pPr>
      <w:r>
        <w:rPr>
          <w:rFonts w:ascii="Times New Roman" w:hAnsi="Times New Roman" w:eastAsia="Times New Roman"/>
          <w:b/>
          <w:i w:val="0"/>
          <w:color w:val="000000"/>
          <w:sz w:val="24"/>
        </w:rPr>
        <w:t>9.3 Business interpretation of the decision</w:t>
      </w:r>
    </w:p>
    <w:p>
      <w:pPr>
        <w:spacing w:after="100" w:before="0" w:line="259" w:lineRule="auto"/>
      </w:pPr>
      <w:r>
        <w:rPr>
          <w:rFonts w:ascii="Times New Roman" w:hAnsi="Times New Roman" w:eastAsia="Times New Roman"/>
          <w:b w:val="0"/>
          <w:i w:val="0"/>
          <w:color w:val="000000"/>
          <w:sz w:val="24"/>
        </w:rPr>
        <w:t>Version 2 increases precision, which means retention outreach could be more targeted. However, it reduces recall, meaning that more members who genuinely churn are not detected by the model. Because the stated retention objective is to identify members requiring proactive intervention, the example review gives greater weight to churn capture and balanced performance. Version 1 therefore remains the preferred deployment candidate.</w:t>
      </w:r>
    </w:p>
    <w:tbl>
      <w:tblPr>
        <w:tblW w:type="auto" w:w="0"/>
        <w:jc w:val="center"/>
        <w:tblLayout w:type="autofit"/>
        <w:tblLook w:firstColumn="1" w:firstRow="1" w:lastColumn="0" w:lastRow="0" w:noHBand="0" w:noVBand="1" w:val="04A0"/>
      </w:tblPr>
      <w:tblGrid>
        <w:gridCol w:w="10166"/>
      </w:tblGrid>
      <w:tr>
        <w:tc>
          <w:tcPr>
            <w:tcW w:type="dxa" w:w="10166"/>
            <w:shd w:fill="F2F2F2"/>
            <w:tcBorders>
              <w:top w:sz="6" w:val="single" w:color="808080"/>
              <w:left w:sz="6" w:val="single" w:color="808080"/>
              <w:bottom w:sz="6" w:val="single" w:color="808080"/>
              <w:right w:sz="6" w:val="single" w:color="808080"/>
            </w:tcBorders>
          </w:tcPr>
          <w:p>
            <w:pPr>
              <w:spacing w:after="40"/>
            </w:pPr>
            <w:r>
              <w:rPr>
                <w:rFonts w:ascii="Times New Roman" w:hAnsi="Times New Roman" w:eastAsia="Times New Roman"/>
                <w:b/>
                <w:color w:val="000000"/>
                <w:sz w:val="24"/>
              </w:rPr>
              <w:t xml:space="preserve">Decision outcome: </w:t>
            </w:r>
            <w:r>
              <w:rPr>
                <w:rFonts w:ascii="Times New Roman" w:hAnsi="Times New Roman" w:eastAsia="Times New Roman"/>
                <w:color w:val="000000"/>
                <w:sz w:val="24"/>
              </w:rPr>
              <w:t>Version 1 is selected as Champion for the example deployment. Version 2 is retained as Challenger because its higher precision may be useful in future analysis, but its lower recall does not support the selected retention objective as strongly as Version 1.</w:t>
            </w:r>
          </w:p>
        </w:tc>
      </w:tr>
    </w:tbl>
    <w:p>
      <w:pPr>
        <w:spacing w:after="0"/>
      </w:pP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10. Bias Detection and Fairness Assessment</w:t>
      </w:r>
    </w:p>
    <w:p>
      <w:pPr>
        <w:spacing w:after="100" w:before="0" w:line="259" w:lineRule="auto"/>
      </w:pPr>
      <w:r>
        <w:rPr>
          <w:rFonts w:ascii="Times New Roman" w:hAnsi="Times New Roman" w:eastAsia="Times New Roman"/>
          <w:b w:val="0"/>
          <w:i w:val="0"/>
          <w:color w:val="000000"/>
          <w:sz w:val="24"/>
        </w:rPr>
        <w:t>Predictive performance alone does not demonstrate responsible model behaviour. A retention model can exhibit different selection or error rates across approved groups. This analysis evaluates model behaviour across member age groups as a diagnostic example, not as a final organisational fairness policy.</w:t>
      </w:r>
    </w:p>
    <w:p>
      <w:pPr>
        <w:keepNext/>
        <w:spacing w:after="80" w:before="180" w:line="259" w:lineRule="auto"/>
      </w:pPr>
      <w:r>
        <w:rPr>
          <w:rFonts w:ascii="Times New Roman" w:hAnsi="Times New Roman" w:eastAsia="Times New Roman"/>
          <w:b/>
          <w:i w:val="0"/>
          <w:color w:val="000000"/>
          <w:sz w:val="24"/>
        </w:rPr>
        <w:t>10.1 Why fairness diagnostics are included</w:t>
      </w:r>
    </w:p>
    <w:p>
      <w:pPr>
        <w:pStyle w:val="ListBullet"/>
        <w:spacing w:after="40"/>
        <w:ind w:left="360" w:hanging="259"/>
      </w:pPr>
      <w:r>
        <w:rPr>
          <w:rFonts w:ascii="Times New Roman" w:hAnsi="Times New Roman" w:eastAsia="Times New Roman"/>
          <w:color w:val="000000"/>
          <w:sz w:val="24"/>
        </w:rPr>
        <w:t>To detect whether one reviewed group is systematically flagged more or less frequently.</w:t>
      </w:r>
    </w:p>
    <w:p>
      <w:pPr>
        <w:pStyle w:val="ListBullet"/>
        <w:spacing w:after="40"/>
        <w:ind w:left="360" w:hanging="259"/>
      </w:pPr>
      <w:r>
        <w:rPr>
          <w:rFonts w:ascii="Times New Roman" w:hAnsi="Times New Roman" w:eastAsia="Times New Roman"/>
          <w:color w:val="000000"/>
          <w:sz w:val="24"/>
        </w:rPr>
        <w:t>To understand whether true churners in one group are missed more frequently.</w:t>
      </w:r>
    </w:p>
    <w:p>
      <w:pPr>
        <w:pStyle w:val="ListBullet"/>
        <w:spacing w:after="40"/>
        <w:ind w:left="360" w:hanging="259"/>
      </w:pPr>
      <w:r>
        <w:rPr>
          <w:rFonts w:ascii="Times New Roman" w:hAnsi="Times New Roman" w:eastAsia="Times New Roman"/>
          <w:color w:val="000000"/>
          <w:sz w:val="24"/>
        </w:rPr>
        <w:t>To check whether unnecessary outreach risk is materially different between groups.</w:t>
      </w:r>
    </w:p>
    <w:p>
      <w:pPr>
        <w:pStyle w:val="ListBullet"/>
        <w:spacing w:after="40"/>
        <w:ind w:left="360" w:hanging="259"/>
      </w:pPr>
      <w:r>
        <w:rPr>
          <w:rFonts w:ascii="Times New Roman" w:hAnsi="Times New Roman" w:eastAsia="Times New Roman"/>
          <w:color w:val="000000"/>
          <w:sz w:val="24"/>
        </w:rPr>
        <w:t>To provide evidence for risk, compliance and business review before promotion.</w:t>
      </w:r>
    </w:p>
    <w:p>
      <w:pPr>
        <w:keepNext/>
        <w:spacing w:after="80" w:before="180" w:line="259" w:lineRule="auto"/>
      </w:pPr>
      <w:r>
        <w:rPr>
          <w:rFonts w:ascii="Times New Roman" w:hAnsi="Times New Roman" w:eastAsia="Times New Roman"/>
          <w:b/>
          <w:i w:val="0"/>
          <w:color w:val="000000"/>
          <w:sz w:val="24"/>
        </w:rPr>
        <w:t>10.2 Reviewed age segments and indicators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23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Indicator</w:t>
            </w:r>
          </w:p>
        </w:tc>
        <w:tc>
          <w:tcPr>
            <w:tcW w:type="dxa" w:w="432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Definition</w:t>
            </w:r>
          </w:p>
        </w:tc>
        <w:tc>
          <w:tcPr>
            <w:tcW w:type="dxa" w:w="374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Review purpose</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Selection rate</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Proportion predicted as likely to churn within a group.</w:t>
            </w:r>
          </w:p>
        </w:tc>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Detect significant differences in flagged volumes.</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Recall / true positive rate</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Proportion of actual churners correctly identified in a group.</w:t>
            </w:r>
          </w:p>
        </w:tc>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Check for uneven missed churn risk.</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False positive rate</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Proportion of non-churners incorrectly flagged in a group.</w:t>
            </w:r>
          </w:p>
        </w:tc>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Check for uneven unnecessary intervention risk.</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Disparate impact ratio</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Lowest group selection rate divided by highest group selection rate.</w:t>
            </w:r>
          </w:p>
        </w:tc>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Diagnostic parity measure requiring policy-approved thresholds.</w:t>
            </w:r>
          </w:p>
        </w:tc>
      </w:tr>
      <w:tr>
        <w:tc>
          <w:tcPr>
            <w:tcW w:type="dxa" w:w="223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Recall gap</w:t>
            </w:r>
          </w:p>
        </w:tc>
        <w:tc>
          <w:tcPr>
            <w:tcW w:type="dxa" w:w="43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Highest group recall minus lowest group recall.</w:t>
            </w:r>
          </w:p>
        </w:tc>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Highlights unequal churn capture.</w:t>
            </w:r>
          </w:p>
        </w:tc>
      </w:tr>
    </w:tbl>
    <w:p>
      <w:pPr>
        <w:spacing w:after="0"/>
      </w:pPr>
    </w:p>
    <w:p>
      <w:pPr>
        <w:keepNext/>
        <w:spacing w:after="80" w:before="180" w:line="259" w:lineRule="auto"/>
      </w:pPr>
      <w:r>
        <w:rPr>
          <w:rFonts w:ascii="Times New Roman" w:hAnsi="Times New Roman" w:eastAsia="Times New Roman"/>
          <w:b/>
          <w:i w:val="0"/>
          <w:color w:val="000000"/>
          <w:sz w:val="24"/>
        </w:rPr>
        <w:t>10.3 Recorded fairness diagnostic result</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c>
          <w:tcPr>
            <w:tcW w:type="dxa" w:w="50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7"/>
              </w:rPr>
              <w:t>V</w:t>
            </w:r>
          </w:p>
        </w:tc>
        <w:tc>
          <w:tcPr>
            <w:tcW w:type="dxa" w:w="1325"/>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7"/>
              </w:rPr>
              <w:t>Role</w:t>
            </w:r>
          </w:p>
        </w:tc>
        <w:tc>
          <w:tcPr>
            <w:tcW w:type="dxa" w:w="1325"/>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7"/>
              </w:rPr>
              <w:t>Age group</w:t>
            </w:r>
          </w:p>
        </w:tc>
        <w:tc>
          <w:tcPr>
            <w:tcW w:type="dxa" w:w="79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7"/>
              </w:rPr>
              <w:t>Rows</w:t>
            </w:r>
          </w:p>
        </w:tc>
        <w:tc>
          <w:tcPr>
            <w:tcW w:type="dxa" w:w="151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7"/>
              </w:rPr>
              <w:t>Selection rate</w:t>
            </w:r>
          </w:p>
        </w:tc>
        <w:tc>
          <w:tcPr>
            <w:tcW w:type="dxa" w:w="123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7"/>
              </w:rPr>
              <w:t>Precision</w:t>
            </w:r>
          </w:p>
        </w:tc>
        <w:tc>
          <w:tcPr>
            <w:tcW w:type="dxa" w:w="115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7"/>
              </w:rPr>
              <w:t>Recall</w:t>
            </w:r>
          </w:p>
        </w:tc>
        <w:tc>
          <w:tcPr>
            <w:tcW w:type="dxa" w:w="115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7"/>
              </w:rPr>
              <w:t>FP rate</w:t>
            </w:r>
          </w:p>
        </w:tc>
      </w:tr>
      <w:tr>
        <w:tc>
          <w:tcPr>
            <w:tcW w:type="dxa" w:w="5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1</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Baseline</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Under 35</w:t>
            </w:r>
          </w:p>
        </w:tc>
        <w:tc>
          <w:tcPr>
            <w:tcW w:type="dxa" w:w="7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82</w:t>
            </w:r>
          </w:p>
        </w:tc>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0.0732</w:t>
            </w:r>
          </w:p>
        </w:tc>
        <w:tc>
          <w:tcPr>
            <w:tcW w:type="dxa" w:w="123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0.6667</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0.5714</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0.0267</w:t>
            </w:r>
          </w:p>
        </w:tc>
      </w:tr>
      <w:tr>
        <w:tc>
          <w:tcPr>
            <w:tcW w:type="dxa" w:w="5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1</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Baseline</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35-49</w:t>
            </w:r>
          </w:p>
        </w:tc>
        <w:tc>
          <w:tcPr>
            <w:tcW w:type="dxa" w:w="7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268</w:t>
            </w:r>
          </w:p>
        </w:tc>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0.0672</w:t>
            </w:r>
          </w:p>
        </w:tc>
        <w:tc>
          <w:tcPr>
            <w:tcW w:type="dxa" w:w="123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0.6111</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0.4074</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0.0290</w:t>
            </w:r>
          </w:p>
        </w:tc>
      </w:tr>
      <w:tr>
        <w:tc>
          <w:tcPr>
            <w:tcW w:type="dxa" w:w="5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1</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Baseline</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50-64</w:t>
            </w:r>
          </w:p>
        </w:tc>
        <w:tc>
          <w:tcPr>
            <w:tcW w:type="dxa" w:w="7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281</w:t>
            </w:r>
          </w:p>
        </w:tc>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0.0676</w:t>
            </w:r>
          </w:p>
        </w:tc>
        <w:tc>
          <w:tcPr>
            <w:tcW w:type="dxa" w:w="123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0.8421</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0.5161</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0.0120</w:t>
            </w:r>
          </w:p>
        </w:tc>
      </w:tr>
      <w:tr>
        <w:tc>
          <w:tcPr>
            <w:tcW w:type="dxa" w:w="5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1</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Baseline</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65+</w:t>
            </w:r>
          </w:p>
        </w:tc>
        <w:tc>
          <w:tcPr>
            <w:tcW w:type="dxa" w:w="7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169</w:t>
            </w:r>
          </w:p>
        </w:tc>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0.0651</w:t>
            </w:r>
          </w:p>
        </w:tc>
        <w:tc>
          <w:tcPr>
            <w:tcW w:type="dxa" w:w="123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0.7273</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0.5714</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0.0194</w:t>
            </w:r>
          </w:p>
        </w:tc>
      </w:tr>
      <w:tr>
        <w:tc>
          <w:tcPr>
            <w:tcW w:type="dxa" w:w="5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2</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Candidate</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Under 35</w:t>
            </w:r>
          </w:p>
        </w:tc>
        <w:tc>
          <w:tcPr>
            <w:tcW w:type="dxa" w:w="7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82</w:t>
            </w:r>
          </w:p>
        </w:tc>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0.0610</w:t>
            </w:r>
          </w:p>
        </w:tc>
        <w:tc>
          <w:tcPr>
            <w:tcW w:type="dxa" w:w="123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0.8000</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0.5714</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0.0133</w:t>
            </w:r>
          </w:p>
        </w:tc>
      </w:tr>
      <w:tr>
        <w:tc>
          <w:tcPr>
            <w:tcW w:type="dxa" w:w="5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2</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Candidate</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35-49</w:t>
            </w:r>
          </w:p>
        </w:tc>
        <w:tc>
          <w:tcPr>
            <w:tcW w:type="dxa" w:w="7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268</w:t>
            </w:r>
          </w:p>
        </w:tc>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0.0485</w:t>
            </w:r>
          </w:p>
        </w:tc>
        <w:tc>
          <w:tcPr>
            <w:tcW w:type="dxa" w:w="123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0.6154</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0.2963</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0.0207</w:t>
            </w:r>
          </w:p>
        </w:tc>
      </w:tr>
      <w:tr>
        <w:tc>
          <w:tcPr>
            <w:tcW w:type="dxa" w:w="5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2</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Candidate</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50-64</w:t>
            </w:r>
          </w:p>
        </w:tc>
        <w:tc>
          <w:tcPr>
            <w:tcW w:type="dxa" w:w="7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281</w:t>
            </w:r>
          </w:p>
        </w:tc>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0.0569</w:t>
            </w:r>
          </w:p>
        </w:tc>
        <w:tc>
          <w:tcPr>
            <w:tcW w:type="dxa" w:w="123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0.9375</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0.4839</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0.0040</w:t>
            </w:r>
          </w:p>
        </w:tc>
      </w:tr>
      <w:tr>
        <w:tc>
          <w:tcPr>
            <w:tcW w:type="dxa" w:w="50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2</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Candidate</w:t>
            </w:r>
          </w:p>
        </w:tc>
        <w:tc>
          <w:tcPr>
            <w:tcW w:type="dxa" w:w="1325"/>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65+</w:t>
            </w:r>
          </w:p>
        </w:tc>
        <w:tc>
          <w:tcPr>
            <w:tcW w:type="dxa" w:w="79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169</w:t>
            </w:r>
          </w:p>
        </w:tc>
        <w:tc>
          <w:tcPr>
            <w:tcW w:type="dxa" w:w="151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0.0592</w:t>
            </w:r>
          </w:p>
        </w:tc>
        <w:tc>
          <w:tcPr>
            <w:tcW w:type="dxa" w:w="123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0.8000</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0.5714</w:t>
            </w:r>
          </w:p>
        </w:tc>
        <w:tc>
          <w:tcPr>
            <w:tcW w:type="dxa" w:w="11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7"/>
              </w:rPr>
              <w:t>0.0129</w:t>
            </w:r>
          </w:p>
        </w:tc>
      </w:tr>
    </w:tbl>
    <w:p>
      <w:pPr>
        <w:spacing w:after="0"/>
      </w:pP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c>
          <w:tcPr>
            <w:tcW w:type="dxa" w:w="108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Version</w:t>
            </w:r>
          </w:p>
        </w:tc>
        <w:tc>
          <w:tcPr>
            <w:tcW w:type="dxa" w:w="172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Role</w:t>
            </w:r>
          </w:p>
        </w:tc>
        <w:tc>
          <w:tcPr>
            <w:tcW w:type="dxa" w:w="288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Disparate impact ratio</w:t>
            </w:r>
          </w:p>
        </w:tc>
        <w:tc>
          <w:tcPr>
            <w:tcW w:type="dxa" w:w="216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Recall gap</w:t>
            </w:r>
          </w:p>
        </w:tc>
        <w:tc>
          <w:tcPr>
            <w:tcW w:type="dxa" w:w="244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False positive rate gap</w:t>
            </w:r>
          </w:p>
        </w:tc>
      </w:tr>
      <w:tr>
        <w:tc>
          <w:tcPr>
            <w:tcW w:type="dxa" w:w="108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1</w:t>
            </w:r>
          </w:p>
        </w:tc>
        <w:tc>
          <w:tcPr>
            <w:tcW w:type="dxa" w:w="172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Baseline</w:t>
            </w:r>
          </w:p>
        </w:tc>
        <w:tc>
          <w:tcPr>
            <w:tcW w:type="dxa" w:w="288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0.8895</w:t>
            </w:r>
          </w:p>
        </w:tc>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0.1640</w:t>
            </w:r>
          </w:p>
        </w:tc>
        <w:tc>
          <w:tcPr>
            <w:tcW w:type="dxa" w:w="244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0.0170</w:t>
            </w:r>
          </w:p>
        </w:tc>
      </w:tr>
      <w:tr>
        <w:tc>
          <w:tcPr>
            <w:tcW w:type="dxa" w:w="108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2</w:t>
            </w:r>
          </w:p>
        </w:tc>
        <w:tc>
          <w:tcPr>
            <w:tcW w:type="dxa" w:w="172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Candidate</w:t>
            </w:r>
          </w:p>
        </w:tc>
        <w:tc>
          <w:tcPr>
            <w:tcW w:type="dxa" w:w="288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0.7955</w:t>
            </w:r>
          </w:p>
        </w:tc>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0.2751</w:t>
            </w:r>
          </w:p>
        </w:tc>
        <w:tc>
          <w:tcPr>
            <w:tcW w:type="dxa" w:w="244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0.0167</w:t>
            </w:r>
          </w:p>
        </w:tc>
      </w:tr>
    </w:tbl>
    <w:p>
      <w:pPr>
        <w:spacing w:after="0"/>
      </w:pPr>
    </w:p>
    <w:p>
      <w:pPr>
        <w:keepNext/>
        <w:spacing w:after="80" w:before="180" w:line="259" w:lineRule="auto"/>
      </w:pPr>
      <w:r>
        <w:rPr>
          <w:rFonts w:ascii="Times New Roman" w:hAnsi="Times New Roman" w:eastAsia="Times New Roman"/>
          <w:b/>
          <w:i w:val="0"/>
          <w:color w:val="000000"/>
          <w:sz w:val="24"/>
        </w:rPr>
        <w:t>10.4 Fairness interpretation</w:t>
      </w:r>
    </w:p>
    <w:p>
      <w:pPr>
        <w:spacing w:after="100" w:before="0" w:line="259" w:lineRule="auto"/>
      </w:pPr>
      <w:r>
        <w:rPr>
          <w:rFonts w:ascii="Times New Roman" w:hAnsi="Times New Roman" w:eastAsia="Times New Roman"/>
          <w:b w:val="0"/>
          <w:i w:val="0"/>
          <w:color w:val="000000"/>
          <w:sz w:val="24"/>
        </w:rPr>
        <w:t>In this example, Version 1 has a smaller recall gap than Version 2, which means its ability to detect actual churners is more consistent across the assessed age bands. Version 2 has a lower disparate impact ratio and a wider recall gap. These results reinforce the decision to keep Version 1 as Champion for the documented retention objective.</w:t>
      </w:r>
    </w:p>
    <w:tbl>
      <w:tblPr>
        <w:tblW w:type="auto" w:w="0"/>
        <w:jc w:val="center"/>
        <w:tblLayout w:type="autofit"/>
        <w:tblLook w:firstColumn="1" w:firstRow="1" w:lastColumn="0" w:lastRow="0" w:noHBand="0" w:noVBand="1" w:val="04A0"/>
      </w:tblPr>
      <w:tblGrid>
        <w:gridCol w:w="10166"/>
      </w:tblGrid>
      <w:tr>
        <w:tc>
          <w:tcPr>
            <w:tcW w:type="dxa" w:w="10166"/>
            <w:shd w:fill="F2F2F2"/>
            <w:tcBorders>
              <w:top w:sz="6" w:val="single" w:color="808080"/>
              <w:left w:sz="6" w:val="single" w:color="808080"/>
              <w:bottom w:sz="6" w:val="single" w:color="808080"/>
              <w:right w:sz="6" w:val="single" w:color="808080"/>
            </w:tcBorders>
          </w:tcPr>
          <w:p>
            <w:pPr>
              <w:spacing w:after="40"/>
            </w:pPr>
            <w:r>
              <w:rPr>
                <w:rFonts w:ascii="Times New Roman" w:hAnsi="Times New Roman" w:eastAsia="Times New Roman"/>
                <w:b/>
                <w:color w:val="000000"/>
                <w:sz w:val="24"/>
              </w:rPr>
              <w:t xml:space="preserve">Responsible-use condition: </w:t>
            </w:r>
            <w:r>
              <w:rPr>
                <w:rFonts w:ascii="Times New Roman" w:hAnsi="Times New Roman" w:eastAsia="Times New Roman"/>
                <w:color w:val="000000"/>
                <w:sz w:val="24"/>
              </w:rPr>
              <w:t>Age-band diagnostics in this document illustrate a review method. Production protected or sensitive attribute review, acceptable thresholds, member-impact controls and approval responsibilities must be defined by authorised stakeholders before use in a live process.</w:t>
            </w:r>
          </w:p>
        </w:tc>
      </w:tr>
    </w:tbl>
    <w:p>
      <w:pPr>
        <w:spacing w:after="0"/>
      </w:pPr>
    </w:p>
    <w:p>
      <w:pPr>
        <w:keepNext/>
        <w:spacing w:after="120" w:before="280" w:line="259" w:lineRule="auto"/>
      </w:pPr>
      <w:r>
        <w:rPr>
          <w:rFonts w:ascii="Times New Roman" w:hAnsi="Times New Roman" w:eastAsia="Times New Roman"/>
          <w:b/>
          <w:i w:val="0"/>
          <w:color w:val="000000"/>
          <w:sz w:val="36"/>
        </w:rPr>
        <w:t>11. Champion-Challenger Promotion Strategy</w:t>
      </w:r>
    </w:p>
    <w:p>
      <w:pPr>
        <w:spacing w:after="100" w:before="0" w:line="259" w:lineRule="auto"/>
      </w:pPr>
      <w:r>
        <w:rPr>
          <w:rFonts w:ascii="Times New Roman" w:hAnsi="Times New Roman" w:eastAsia="Times New Roman"/>
          <w:b w:val="0"/>
          <w:i w:val="0"/>
          <w:color w:val="000000"/>
          <w:sz w:val="24"/>
        </w:rPr>
        <w:t>The Champion-Challenger approach separates approval from experimentation. The Champion is the model selected for approved deployment. The Challenger is a viable alternative that remains available for further testing or future promotion after new evidence is obtained.</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0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Alias</w:t>
            </w:r>
          </w:p>
        </w:tc>
        <w:tc>
          <w:tcPr>
            <w:tcW w:type="dxa" w:w="316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Assigned version</w:t>
            </w:r>
          </w:p>
        </w:tc>
        <w:tc>
          <w:tcPr>
            <w:tcW w:type="dxa" w:w="532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Rationale in this example</w:t>
            </w:r>
          </w:p>
        </w:tc>
      </w:tr>
      <w:tr>
        <w:tc>
          <w:tcPr>
            <w:tcW w:type="dxa" w:w="18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Champion</w:t>
            </w:r>
          </w:p>
        </w:tc>
        <w:tc>
          <w:tcPr>
            <w:tcW w:type="dxa" w:w="316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Version 1 - Baseline</w:t>
            </w:r>
          </w:p>
        </w:tc>
        <w:tc>
          <w:tcPr>
            <w:tcW w:type="dxa" w:w="532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Higher recall, F1 Score and ROC AUC with a smaller age-group recall gap.</w:t>
            </w:r>
          </w:p>
        </w:tc>
      </w:tr>
      <w:tr>
        <w:tc>
          <w:tcPr>
            <w:tcW w:type="dxa" w:w="18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Challenger</w:t>
            </w:r>
          </w:p>
        </w:tc>
        <w:tc>
          <w:tcPr>
            <w:tcW w:type="dxa" w:w="316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Version 2 - Candidate</w:t>
            </w:r>
          </w:p>
        </w:tc>
        <w:tc>
          <w:tcPr>
            <w:tcW w:type="dxa" w:w="532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Higher precision, but lower churn capture and a wider recall gap.</w:t>
            </w:r>
          </w:p>
        </w:tc>
      </w:tr>
    </w:tbl>
    <w:p>
      <w:pPr>
        <w:spacing w:after="0"/>
      </w:pPr>
    </w:p>
    <w:p>
      <w:pPr>
        <w:jc w:val="center"/>
      </w:pPr>
      <w:r>
        <w:rPr>
          <w:rFonts w:ascii="Times New Roman" w:hAnsi="Times New Roman" w:eastAsia="Times New Roman"/>
          <w:color w:val="000000"/>
          <w:sz w:val="24"/>
        </w:rPr>
        <w:drawing>
          <wp:inline xmlns:a="http://schemas.openxmlformats.org/drawingml/2006/main" xmlns:pic="http://schemas.openxmlformats.org/drawingml/2006/picture">
            <wp:extent cx="5394960" cy="2733446"/>
            <wp:docPr id="3" name="Picture 3"/>
            <wp:cNvGraphicFramePr>
              <a:graphicFrameLocks noChangeAspect="1"/>
            </wp:cNvGraphicFramePr>
            <a:graphic>
              <a:graphicData uri="http://schemas.openxmlformats.org/drawingml/2006/picture">
                <pic:pic>
                  <pic:nvPicPr>
                    <pic:cNvPr id="0" name="gray_image4.png"/>
                    <pic:cNvPicPr/>
                  </pic:nvPicPr>
                  <pic:blipFill>
                    <a:blip r:embed="rId13"/>
                    <a:stretch>
                      <a:fillRect/>
                    </a:stretch>
                  </pic:blipFill>
                  <pic:spPr>
                    <a:xfrm>
                      <a:off x="0" y="0"/>
                      <a:ext cx="5394960" cy="2733446"/>
                    </a:xfrm>
                    <a:prstGeom prst="rect"/>
                  </pic:spPr>
                </pic:pic>
              </a:graphicData>
            </a:graphic>
          </wp:inline>
        </w:drawing>
      </w:r>
    </w:p>
    <w:p>
      <w:pPr>
        <w:spacing w:after="120" w:before="0" w:line="259" w:lineRule="auto"/>
        <w:jc w:val="center"/>
      </w:pPr>
      <w:r>
        <w:rPr>
          <w:rFonts w:ascii="Times New Roman" w:hAnsi="Times New Roman" w:eastAsia="Times New Roman"/>
          <w:b w:val="0"/>
          <w:i/>
          <w:color w:val="000000"/>
          <w:sz w:val="20"/>
        </w:rPr>
        <w:t>Figure 3. Example validation and promotion decision using the Champion-Challenger pattern.</w:t>
      </w:r>
    </w:p>
    <w:p>
      <w:pPr>
        <w:keepNext/>
        <w:spacing w:after="80" w:before="180" w:line="259" w:lineRule="auto"/>
      </w:pPr>
      <w:r>
        <w:rPr>
          <w:rFonts w:ascii="Times New Roman" w:hAnsi="Times New Roman" w:eastAsia="Times New Roman"/>
          <w:b/>
          <w:i w:val="0"/>
          <w:color w:val="000000"/>
          <w:sz w:val="24"/>
        </w:rPr>
        <w:t>11.1 Alias assignment</w:t>
      </w:r>
    </w:p>
    <w:p>
      <w:pPr>
        <w:spacing w:after="100" w:before="0" w:line="259" w:lineRule="auto"/>
      </w:pPr>
      <w:r>
        <w:rPr>
          <w:rFonts w:ascii="Times New Roman" w:hAnsi="Times New Roman" w:eastAsia="Times New Roman"/>
          <w:b w:val="0"/>
          <w:i w:val="0"/>
          <w:color w:val="000000"/>
          <w:sz w:val="24"/>
        </w:rPr>
        <w:t>Aliases communicate the approved lifecycle role of a registered version without deleting earlier versions. Applying the aliases after documented review creates a transparent link between validation evidence and the deployment decision.</w:t>
      </w:r>
    </w:p>
    <w:p>
      <w:pPr>
        <w:keepNext/>
        <w:spacing w:after="80" w:before="180" w:line="259" w:lineRule="auto"/>
      </w:pPr>
      <w:r>
        <w:rPr>
          <w:rFonts w:ascii="Times New Roman" w:hAnsi="Times New Roman" w:eastAsia="Times New Roman"/>
          <w:b/>
          <w:i w:val="0"/>
          <w:color w:val="000000"/>
          <w:sz w:val="24"/>
        </w:rPr>
        <w:t>Code excerpt - assign Champion and Challenger aliases</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client = MlflowClient()</w:t>
            </w:r>
            <w:r>
              <w:rPr>
                <w:rFonts w:ascii="Times New Roman" w:hAnsi="Times New Roman" w:eastAsia="Times New Roman"/>
                <w:color w:val="000000"/>
                <w:sz w:val="20"/>
              </w:rPr>
              <w:br/>
            </w:r>
            <w:r>
              <w:rPr>
                <w:rFonts w:ascii="Times New Roman" w:hAnsi="Times New Roman" w:eastAsia="Times New Roman"/>
                <w:color w:val="000000"/>
                <w:sz w:val="18"/>
              </w:rPr>
              <w:t>client.set_registered_model_alias(MODEL_NAME, "Champion", "1")</w:t>
            </w:r>
            <w:r>
              <w:rPr>
                <w:rFonts w:ascii="Times New Roman" w:hAnsi="Times New Roman" w:eastAsia="Times New Roman"/>
                <w:color w:val="000000"/>
                <w:sz w:val="20"/>
              </w:rPr>
              <w:br/>
            </w:r>
            <w:r>
              <w:rPr>
                <w:rFonts w:ascii="Times New Roman" w:hAnsi="Times New Roman" w:eastAsia="Times New Roman"/>
                <w:color w:val="000000"/>
                <w:sz w:val="18"/>
              </w:rPr>
              <w:t>client.set_registered_model_alias(MODEL_NAME, "Challenger", "2")</w:t>
            </w:r>
            <w:r>
              <w:rPr>
                <w:rFonts w:ascii="Times New Roman" w:hAnsi="Times New Roman" w:eastAsia="Times New Roman"/>
                <w:color w:val="000000"/>
                <w:sz w:val="20"/>
              </w:rPr>
              <w:br/>
            </w:r>
            <w:r>
              <w:rPr>
                <w:rFonts w:ascii="Times New Roman" w:hAnsi="Times New Roman" w:eastAsia="Times New Roman"/>
                <w:color w:val="000000"/>
                <w:sz w:val="18"/>
              </w:rPr>
              <w:t>champion_model = mlflow.sklearn.load_model(</w:t>
            </w:r>
            <w:r>
              <w:rPr>
                <w:rFonts w:ascii="Times New Roman" w:hAnsi="Times New Roman" w:eastAsia="Times New Roman"/>
                <w:color w:val="000000"/>
                <w:sz w:val="20"/>
              </w:rPr>
              <w:br/>
            </w:r>
            <w:r>
              <w:rPr>
                <w:rFonts w:ascii="Times New Roman" w:hAnsi="Times New Roman" w:eastAsia="Times New Roman"/>
                <w:color w:val="000000"/>
                <w:sz w:val="18"/>
              </w:rPr>
              <w:t xml:space="preserve">    f"models:/{MODEL_NAME}@Champion"</w:t>
            </w:r>
            <w:r>
              <w:rPr>
                <w:rFonts w:ascii="Times New Roman" w:hAnsi="Times New Roman" w:eastAsia="Times New Roman"/>
                <w:color w:val="000000"/>
                <w:sz w:val="20"/>
              </w:rPr>
              <w:br/>
            </w:r>
            <w:r>
              <w:rPr>
                <w:rFonts w:ascii="Times New Roman" w:hAnsi="Times New Roman" w:eastAsia="Times New Roman"/>
                <w:color w:val="000000"/>
                <w:sz w:val="18"/>
              </w:rPr>
              <w:t>)</w:t>
            </w:r>
          </w:p>
        </w:tc>
      </w:tr>
    </w:tbl>
    <w:p>
      <w:pPr>
        <w:spacing w:after="0"/>
      </w:pPr>
    </w:p>
    <w:p>
      <w:pPr>
        <w:keepNext/>
        <w:spacing w:after="80" w:before="180" w:line="259" w:lineRule="auto"/>
      </w:pPr>
      <w:r>
        <w:rPr>
          <w:rFonts w:ascii="Times New Roman" w:hAnsi="Times New Roman" w:eastAsia="Times New Roman"/>
          <w:b/>
          <w:i w:val="0"/>
          <w:color w:val="000000"/>
          <w:sz w:val="24"/>
        </w:rPr>
        <w:t>11.2 Controlled promotion criteria</w:t>
      </w:r>
    </w:p>
    <w:p>
      <w:pPr>
        <w:pStyle w:val="ListBullet"/>
        <w:spacing w:after="40"/>
        <w:ind w:left="360" w:hanging="259"/>
      </w:pPr>
      <w:r>
        <w:rPr>
          <w:rFonts w:ascii="Times New Roman" w:hAnsi="Times New Roman" w:eastAsia="Times New Roman"/>
          <w:color w:val="000000"/>
          <w:sz w:val="24"/>
        </w:rPr>
        <w:t>Candidate is evaluated on the approved test dataset and the same metrics as the current Champion.</w:t>
      </w:r>
    </w:p>
    <w:p>
      <w:pPr>
        <w:pStyle w:val="ListBullet"/>
        <w:spacing w:after="40"/>
        <w:ind w:left="360" w:hanging="259"/>
      </w:pPr>
      <w:r>
        <w:rPr>
          <w:rFonts w:ascii="Times New Roman" w:hAnsi="Times New Roman" w:eastAsia="Times New Roman"/>
          <w:color w:val="000000"/>
          <w:sz w:val="24"/>
        </w:rPr>
        <w:t>Performance and approved fairness diagnostics are recorded and reviewed.</w:t>
      </w:r>
    </w:p>
    <w:p>
      <w:pPr>
        <w:pStyle w:val="ListBullet"/>
        <w:spacing w:after="40"/>
        <w:ind w:left="360" w:hanging="259"/>
      </w:pPr>
      <w:r>
        <w:rPr>
          <w:rFonts w:ascii="Times New Roman" w:hAnsi="Times New Roman" w:eastAsia="Times New Roman"/>
          <w:color w:val="000000"/>
          <w:sz w:val="24"/>
        </w:rPr>
        <w:t>A model owner records the decision rationale and approval outcome.</w:t>
      </w:r>
    </w:p>
    <w:p>
      <w:pPr>
        <w:pStyle w:val="ListBullet"/>
        <w:spacing w:after="40"/>
        <w:ind w:left="360" w:hanging="259"/>
      </w:pPr>
      <w:r>
        <w:rPr>
          <w:rFonts w:ascii="Times New Roman" w:hAnsi="Times New Roman" w:eastAsia="Times New Roman"/>
          <w:color w:val="000000"/>
          <w:sz w:val="24"/>
        </w:rPr>
        <w:t>The endpoint is changed only through a controlled deployment activity.</w:t>
      </w:r>
    </w:p>
    <w:p>
      <w:pPr>
        <w:pStyle w:val="ListBullet"/>
        <w:spacing w:after="40"/>
        <w:ind w:left="360" w:hanging="259"/>
      </w:pPr>
      <w:r>
        <w:rPr>
          <w:rFonts w:ascii="Times New Roman" w:hAnsi="Times New Roman" w:eastAsia="Times New Roman"/>
          <w:color w:val="000000"/>
          <w:sz w:val="24"/>
        </w:rPr>
        <w:t>Rollback remains possible using a previously approved version.</w:t>
      </w:r>
    </w:p>
    <w:p>
      <w:pPr>
        <w:keepNext/>
        <w:spacing w:after="120" w:before="280" w:line="259" w:lineRule="auto"/>
      </w:pPr>
      <w:r>
        <w:rPr>
          <w:rFonts w:ascii="Times New Roman" w:hAnsi="Times New Roman" w:eastAsia="Times New Roman"/>
          <w:b/>
          <w:i w:val="0"/>
          <w:color w:val="000000"/>
          <w:sz w:val="36"/>
        </w:rPr>
        <w:t>12. Unity Catalog Governance</w:t>
      </w:r>
    </w:p>
    <w:p>
      <w:pPr>
        <w:spacing w:after="100" w:before="0" w:line="259" w:lineRule="auto"/>
      </w:pPr>
      <w:r>
        <w:rPr>
          <w:rFonts w:ascii="Times New Roman" w:hAnsi="Times New Roman" w:eastAsia="Times New Roman"/>
          <w:b w:val="0"/>
          <w:i w:val="0"/>
          <w:color w:val="000000"/>
          <w:sz w:val="24"/>
        </w:rPr>
        <w:t>Unity Catalog provides the governance layer for data and AI assets in this solution. The implementation uses catalog and schema organisation for stored datasets, governed Delta tables and registered models. This supports traceability from a model version back to the data and review process that produced it.</w:t>
      </w:r>
    </w:p>
    <w:p>
      <w:pPr>
        <w:keepNext/>
        <w:spacing w:after="80" w:before="180" w:line="259" w:lineRule="auto"/>
      </w:pPr>
      <w:r>
        <w:rPr>
          <w:rFonts w:ascii="Times New Roman" w:hAnsi="Times New Roman" w:eastAsia="Times New Roman"/>
          <w:b/>
          <w:i w:val="0"/>
          <w:color w:val="000000"/>
          <w:sz w:val="24"/>
        </w:rPr>
        <w:t>12.1 Governance areas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94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Governance area</w:t>
            </w:r>
          </w:p>
        </w:tc>
        <w:tc>
          <w:tcPr>
            <w:tcW w:type="dxa" w:w="540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Recommended implementation</w:t>
            </w:r>
          </w:p>
        </w:tc>
        <w:tc>
          <w:tcPr>
            <w:tcW w:type="dxa" w:w="295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Benefit</w:t>
            </w:r>
          </w:p>
        </w:tc>
      </w:tr>
      <w:tr>
        <w:tc>
          <w:tcPr>
            <w:tcW w:type="dxa" w:w="19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Access control</w:t>
            </w:r>
          </w:p>
        </w:tc>
        <w:tc>
          <w:tcPr>
            <w:tcW w:type="dxa" w:w="54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Grant least-privilege access to volumes, tables, models and inference records.</w:t>
            </w:r>
          </w:p>
        </w:tc>
        <w:tc>
          <w:tcPr>
            <w:tcW w:type="dxa" w:w="29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Limits unauthorised data or model use.</w:t>
            </w:r>
          </w:p>
        </w:tc>
      </w:tr>
      <w:tr>
        <w:tc>
          <w:tcPr>
            <w:tcW w:type="dxa" w:w="19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Data lineage</w:t>
            </w:r>
          </w:p>
        </w:tc>
        <w:tc>
          <w:tcPr>
            <w:tcW w:type="dxa" w:w="54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Track approved data transformations and model inputs.</w:t>
            </w:r>
          </w:p>
        </w:tc>
        <w:tc>
          <w:tcPr>
            <w:tcW w:type="dxa" w:w="29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Explains how data contributes to model output.</w:t>
            </w:r>
          </w:p>
        </w:tc>
      </w:tr>
      <w:tr>
        <w:tc>
          <w:tcPr>
            <w:tcW w:type="dxa" w:w="19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Model governance</w:t>
            </w:r>
          </w:p>
        </w:tc>
        <w:tc>
          <w:tcPr>
            <w:tcW w:type="dxa" w:w="54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Register models with versions, aliases, metrics and review evidence.</w:t>
            </w:r>
          </w:p>
        </w:tc>
        <w:tc>
          <w:tcPr>
            <w:tcW w:type="dxa" w:w="29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Creates controlled deployment history.</w:t>
            </w:r>
          </w:p>
        </w:tc>
      </w:tr>
      <w:tr>
        <w:tc>
          <w:tcPr>
            <w:tcW w:type="dxa" w:w="19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Auditability</w:t>
            </w:r>
          </w:p>
        </w:tc>
        <w:tc>
          <w:tcPr>
            <w:tcW w:type="dxa" w:w="54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Retain experiment evidence, approvals and deployment actions.</w:t>
            </w:r>
          </w:p>
        </w:tc>
        <w:tc>
          <w:tcPr>
            <w:tcW w:type="dxa" w:w="29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Supports review and compliance requirements.</w:t>
            </w:r>
          </w:p>
        </w:tc>
      </w:tr>
      <w:tr>
        <w:tc>
          <w:tcPr>
            <w:tcW w:type="dxa" w:w="19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Privacy</w:t>
            </w:r>
          </w:p>
        </w:tc>
        <w:tc>
          <w:tcPr>
            <w:tcW w:type="dxa" w:w="540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Remove or restrict identifiers and sensitive payload fields where not required.</w:t>
            </w:r>
          </w:p>
        </w:tc>
        <w:tc>
          <w:tcPr>
            <w:tcW w:type="dxa" w:w="29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Reduces member data exposure.</w:t>
            </w:r>
          </w:p>
        </w:tc>
      </w:tr>
    </w:tbl>
    <w:p>
      <w:pPr>
        <w:spacing w:after="0"/>
      </w:pPr>
    </w:p>
    <w:p>
      <w:pPr>
        <w:keepNext/>
        <w:spacing w:after="80" w:before="180" w:line="259" w:lineRule="auto"/>
      </w:pPr>
      <w:r>
        <w:rPr>
          <w:rFonts w:ascii="Times New Roman" w:hAnsi="Times New Roman" w:eastAsia="Times New Roman"/>
          <w:b/>
          <w:i w:val="0"/>
          <w:color w:val="000000"/>
          <w:sz w:val="24"/>
        </w:rPr>
        <w:t>12.2 Recommended registered-model naming convention</w:t>
      </w:r>
    </w:p>
    <w:p>
      <w:pPr>
        <w:spacing w:after="100" w:before="0" w:line="259" w:lineRule="auto"/>
      </w:pPr>
      <w:r>
        <w:rPr>
          <w:rFonts w:ascii="Times New Roman" w:hAnsi="Times New Roman" w:eastAsia="Times New Roman"/>
          <w:b w:val="0"/>
          <w:i w:val="0"/>
          <w:color w:val="000000"/>
          <w:sz w:val="24"/>
        </w:rPr>
        <w:t>A three-level Unity Catalog name clearly indicates the governance scope and asset purpose. The model used in the example follows the pattern:</w:t>
      </w:r>
    </w:p>
    <w:p>
      <w:pPr>
        <w:keepNext/>
        <w:spacing w:after="80" w:before="180" w:line="259" w:lineRule="auto"/>
      </w:pPr>
      <w:r>
        <w:rPr>
          <w:rFonts w:ascii="Times New Roman" w:hAnsi="Times New Roman" w:eastAsia="Times New Roman"/>
          <w:b/>
          <w:i w:val="0"/>
          <w:color w:val="000000"/>
          <w:sz w:val="24"/>
        </w:rPr>
        <w:t>Registered model naming pattern</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&lt;catalog_name&gt;.&lt;schema_name&gt;.superannuation_churn_logistic_reg_model</w:t>
            </w:r>
          </w:p>
        </w:tc>
      </w:tr>
    </w:tbl>
    <w:p>
      <w:pPr>
        <w:spacing w:after="0"/>
      </w:pPr>
    </w:p>
    <w:p>
      <w:pPr>
        <w:spacing w:after="100" w:before="0" w:line="259" w:lineRule="auto"/>
      </w:pPr>
      <w:r>
        <w:rPr>
          <w:rFonts w:ascii="Times New Roman" w:hAnsi="Times New Roman" w:eastAsia="Times New Roman"/>
          <w:b w:val="0"/>
          <w:i w:val="0"/>
          <w:color w:val="000000"/>
          <w:sz w:val="24"/>
        </w:rPr>
        <w:t>The catalog identifies the top-level governance boundary, the schema groups related assets, and the model name states its business purpose and algorithm family.</w:t>
      </w:r>
    </w:p>
    <w:p>
      <w:pPr>
        <w:keepNext/>
        <w:spacing w:after="80" w:before="180" w:line="259" w:lineRule="auto"/>
      </w:pPr>
      <w:r>
        <w:rPr>
          <w:rFonts w:ascii="Times New Roman" w:hAnsi="Times New Roman" w:eastAsia="Times New Roman"/>
          <w:b/>
          <w:i w:val="0"/>
          <w:color w:val="000000"/>
          <w:sz w:val="24"/>
        </w:rPr>
        <w:t>12.3 Data and model ownership</w:t>
      </w:r>
    </w:p>
    <w:tbl>
      <w:tblPr>
        <w:tblStyle w:val="TableGrid"/>
        <w:tblW w:type="auto" w:w="0"/>
        <w:jc w:val="center"/>
        <w:tblLayout w:type="fixed"/>
        <w:tblLook w:firstColumn="1" w:firstRow="1" w:lastColumn="0" w:lastRow="0" w:noHBand="0" w:noVBand="1" w:val="04A0"/>
      </w:tblPr>
      <w:tblGrid>
        <w:gridCol w:w="5083"/>
        <w:gridCol w:w="5083"/>
      </w:tblGrid>
      <w:tr>
        <w:tc>
          <w:tcPr>
            <w:tcW w:type="dxa" w:w="252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Role</w:t>
            </w:r>
          </w:p>
        </w:tc>
        <w:tc>
          <w:tcPr>
            <w:tcW w:type="dxa" w:w="777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Primary responsibility</w:t>
            </w:r>
          </w:p>
        </w:tc>
      </w:tr>
      <w:tr>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Data owner</w:t>
            </w:r>
          </w:p>
        </w:tc>
        <w:tc>
          <w:tcPr>
            <w:tcW w:type="dxa" w:w="777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Approve source data, permitted feature use, quality rules and retention policies.</w:t>
            </w:r>
          </w:p>
        </w:tc>
      </w:tr>
      <w:tr>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Model developer</w:t>
            </w:r>
          </w:p>
        </w:tc>
        <w:tc>
          <w:tcPr>
            <w:tcW w:type="dxa" w:w="777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Train, track and document model versions using approved data.</w:t>
            </w:r>
          </w:p>
        </w:tc>
      </w:tr>
      <w:tr>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Model reviewer / validator</w:t>
            </w:r>
          </w:p>
        </w:tc>
        <w:tc>
          <w:tcPr>
            <w:tcW w:type="dxa" w:w="777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Evaluate quality, fairness evidence and deployment readiness.</w:t>
            </w:r>
          </w:p>
        </w:tc>
      </w:tr>
      <w:tr>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Platform owner</w:t>
            </w:r>
          </w:p>
        </w:tc>
        <w:tc>
          <w:tcPr>
            <w:tcW w:type="dxa" w:w="777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Operate permissions, endpoint configuration, monitoring and technical controls.</w:t>
            </w:r>
          </w:p>
        </w:tc>
      </w:tr>
      <w:tr>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Business owner</w:t>
            </w:r>
          </w:p>
        </w:tc>
        <w:tc>
          <w:tcPr>
            <w:tcW w:type="dxa" w:w="777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Approve use of predictions in retention processes and outcome measurement.</w:t>
            </w:r>
          </w:p>
        </w:tc>
      </w:tr>
    </w:tbl>
    <w:p>
      <w:pPr>
        <w:spacing w:after="0"/>
      </w:pP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13. Deployment through Databricks Model Serving</w:t>
      </w:r>
    </w:p>
    <w:p>
      <w:pPr>
        <w:spacing w:after="100" w:before="0" w:line="259" w:lineRule="auto"/>
      </w:pPr>
      <w:r>
        <w:rPr>
          <w:rFonts w:ascii="Times New Roman" w:hAnsi="Times New Roman" w:eastAsia="Times New Roman"/>
          <w:b w:val="0"/>
          <w:i w:val="0"/>
          <w:color w:val="000000"/>
          <w:sz w:val="24"/>
        </w:rPr>
        <w:t>After validation and approval, the Champion model is deployed as a real-time prediction endpoint. Model Serving provides an API contract through which approved feature values are submitted and a model prediction is returned. This allows a downstream retention workflow or application to consume the prediction in a controlled manner.</w:t>
      </w:r>
    </w:p>
    <w:p>
      <w:pPr>
        <w:keepNext/>
        <w:spacing w:after="80" w:before="180" w:line="259" w:lineRule="auto"/>
      </w:pPr>
      <w:r>
        <w:rPr>
          <w:rFonts w:ascii="Times New Roman" w:hAnsi="Times New Roman" w:eastAsia="Times New Roman"/>
          <w:b/>
          <w:i w:val="0"/>
          <w:color w:val="000000"/>
          <w:sz w:val="24"/>
        </w:rPr>
        <w:t>13.1 Deployment readiness requirements</w:t>
      </w:r>
    </w:p>
    <w:p>
      <w:pPr>
        <w:pStyle w:val="ListBullet"/>
        <w:spacing w:after="40"/>
        <w:ind w:left="360" w:hanging="259"/>
      </w:pPr>
      <w:r>
        <w:rPr>
          <w:rFonts w:ascii="Times New Roman" w:hAnsi="Times New Roman" w:eastAsia="Times New Roman"/>
          <w:color w:val="000000"/>
          <w:sz w:val="24"/>
        </w:rPr>
        <w:t>The selected model version has completed performance and responsible-use review.</w:t>
      </w:r>
    </w:p>
    <w:p>
      <w:pPr>
        <w:pStyle w:val="ListBullet"/>
        <w:spacing w:after="40"/>
        <w:ind w:left="360" w:hanging="259"/>
      </w:pPr>
      <w:r>
        <w:rPr>
          <w:rFonts w:ascii="Times New Roman" w:hAnsi="Times New Roman" w:eastAsia="Times New Roman"/>
          <w:color w:val="000000"/>
          <w:sz w:val="24"/>
        </w:rPr>
        <w:t>The model signature and required input fields have been validated.</w:t>
      </w:r>
    </w:p>
    <w:p>
      <w:pPr>
        <w:pStyle w:val="ListBullet"/>
        <w:spacing w:after="40"/>
        <w:ind w:left="360" w:hanging="259"/>
      </w:pPr>
      <w:r>
        <w:rPr>
          <w:rFonts w:ascii="Times New Roman" w:hAnsi="Times New Roman" w:eastAsia="Times New Roman"/>
          <w:color w:val="000000"/>
          <w:sz w:val="24"/>
        </w:rPr>
        <w:t>Endpoint access is restricted to approved principals or applications.</w:t>
      </w:r>
    </w:p>
    <w:p>
      <w:pPr>
        <w:pStyle w:val="ListBullet"/>
        <w:spacing w:after="40"/>
        <w:ind w:left="360" w:hanging="259"/>
      </w:pPr>
      <w:r>
        <w:rPr>
          <w:rFonts w:ascii="Times New Roman" w:hAnsi="Times New Roman" w:eastAsia="Times New Roman"/>
          <w:color w:val="000000"/>
          <w:sz w:val="24"/>
        </w:rPr>
        <w:t>Operational owner, monitoring responsibilities and rollback procedure are defined.</w:t>
      </w:r>
    </w:p>
    <w:p>
      <w:pPr>
        <w:pStyle w:val="ListBullet"/>
        <w:spacing w:after="40"/>
        <w:ind w:left="360" w:hanging="259"/>
      </w:pPr>
      <w:r>
        <w:rPr>
          <w:rFonts w:ascii="Times New Roman" w:hAnsi="Times New Roman" w:eastAsia="Times New Roman"/>
          <w:color w:val="000000"/>
          <w:sz w:val="24"/>
        </w:rPr>
        <w:t>The endpoint is tested with representative and edge-case payloads before release.</w:t>
      </w:r>
    </w:p>
    <w:p>
      <w:pPr>
        <w:jc w:val="center"/>
      </w:pPr>
      <w:r>
        <w:rPr>
          <w:rFonts w:ascii="Times New Roman" w:hAnsi="Times New Roman" w:eastAsia="Times New Roman"/>
          <w:color w:val="000000"/>
          <w:sz w:val="24"/>
        </w:rPr>
        <w:drawing>
          <wp:inline xmlns:a="http://schemas.openxmlformats.org/drawingml/2006/main" xmlns:pic="http://schemas.openxmlformats.org/drawingml/2006/picture">
            <wp:extent cx="5212080" cy="4289445"/>
            <wp:docPr id="4" name="Picture 4"/>
            <wp:cNvGraphicFramePr>
              <a:graphicFrameLocks noChangeAspect="1"/>
            </wp:cNvGraphicFramePr>
            <a:graphic>
              <a:graphicData uri="http://schemas.openxmlformats.org/drawingml/2006/picture">
                <pic:pic>
                  <pic:nvPicPr>
                    <pic:cNvPr id="0" name="gray_image5.png"/>
                    <pic:cNvPicPr/>
                  </pic:nvPicPr>
                  <pic:blipFill>
                    <a:blip r:embed="rId14"/>
                    <a:stretch>
                      <a:fillRect/>
                    </a:stretch>
                  </pic:blipFill>
                  <pic:spPr>
                    <a:xfrm>
                      <a:off x="0" y="0"/>
                      <a:ext cx="5212080" cy="4289445"/>
                    </a:xfrm>
                    <a:prstGeom prst="rect"/>
                  </pic:spPr>
                </pic:pic>
              </a:graphicData>
            </a:graphic>
          </wp:inline>
        </w:drawing>
      </w:r>
    </w:p>
    <w:p>
      <w:pPr>
        <w:spacing w:after="120" w:before="0" w:line="259" w:lineRule="auto"/>
        <w:jc w:val="center"/>
      </w:pPr>
      <w:r>
        <w:rPr>
          <w:rFonts w:ascii="Times New Roman" w:hAnsi="Times New Roman" w:eastAsia="Times New Roman"/>
          <w:b w:val="0"/>
          <w:i/>
          <w:color w:val="000000"/>
          <w:sz w:val="20"/>
        </w:rPr>
        <w:t>Figure 4. Example model-serving endpoint in Ready status; invocation URL removed for publication.</w:t>
      </w:r>
    </w:p>
    <w:p>
      <w:r>
        <w:rPr>
          <w:rFonts w:ascii="Times New Roman" w:hAnsi="Times New Roman" w:eastAsia="Times New Roman"/>
          <w:color w:val="000000"/>
          <w:sz w:val="24"/>
        </w:rPr>
        <w:br w:type="page"/>
      </w:r>
    </w:p>
    <w:p>
      <w:pPr>
        <w:keepNext/>
        <w:spacing w:after="80" w:before="180" w:line="259" w:lineRule="auto"/>
      </w:pPr>
      <w:r>
        <w:rPr>
          <w:rFonts w:ascii="Times New Roman" w:hAnsi="Times New Roman" w:eastAsia="Times New Roman"/>
          <w:b/>
          <w:i w:val="0"/>
          <w:color w:val="000000"/>
          <w:sz w:val="24"/>
        </w:rPr>
        <w:t>13.2 Serving request contract</w:t>
      </w:r>
    </w:p>
    <w:p>
      <w:pPr>
        <w:spacing w:after="100" w:before="0" w:line="259" w:lineRule="auto"/>
      </w:pPr>
      <w:r>
        <w:rPr>
          <w:rFonts w:ascii="Times New Roman" w:hAnsi="Times New Roman" w:eastAsia="Times New Roman"/>
          <w:b w:val="0"/>
          <w:i w:val="0"/>
          <w:color w:val="000000"/>
          <w:sz w:val="24"/>
        </w:rPr>
        <w:t>The deployed model expects a JSON structure matching the MLflow model signature. The following compact example shows the dataframe_records pattern used by the endpoint. In a production integration, required fields and acceptable value ranges should be validated before a request is submitted.</w:t>
      </w:r>
    </w:p>
    <w:p>
      <w:pPr>
        <w:keepNext/>
        <w:spacing w:after="80" w:before="180" w:line="259" w:lineRule="auto"/>
      </w:pPr>
      <w:r>
        <w:rPr>
          <w:rFonts w:ascii="Times New Roman" w:hAnsi="Times New Roman" w:eastAsia="Times New Roman"/>
          <w:b/>
          <w:i w:val="0"/>
          <w:color w:val="000000"/>
          <w:sz w:val="24"/>
        </w:rPr>
        <w:t>Code excerpt - representative JSON scoring request</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payload = {</w:t>
            </w:r>
            <w:r>
              <w:rPr>
                <w:rFonts w:ascii="Times New Roman" w:hAnsi="Times New Roman" w:eastAsia="Times New Roman"/>
                <w:color w:val="000000"/>
                <w:sz w:val="20"/>
              </w:rPr>
              <w:br/>
            </w:r>
            <w:r>
              <w:rPr>
                <w:rFonts w:ascii="Times New Roman" w:hAnsi="Times New Roman" w:eastAsia="Times New Roman"/>
                <w:color w:val="000000"/>
                <w:sz w:val="18"/>
              </w:rPr>
              <w:t xml:space="preserve">    "dataframe_records": [{</w:t>
            </w:r>
            <w:r>
              <w:rPr>
                <w:rFonts w:ascii="Times New Roman" w:hAnsi="Times New Roman" w:eastAsia="Times New Roman"/>
                <w:color w:val="000000"/>
                <w:sz w:val="20"/>
              </w:rPr>
              <w:br/>
            </w:r>
            <w:r>
              <w:rPr>
                <w:rFonts w:ascii="Times New Roman" w:hAnsi="Times New Roman" w:eastAsia="Times New Roman"/>
                <w:color w:val="000000"/>
                <w:sz w:val="18"/>
              </w:rPr>
              <w:t xml:space="preserve">        "member_age": 63,</w:t>
            </w:r>
            <w:r>
              <w:rPr>
                <w:rFonts w:ascii="Times New Roman" w:hAnsi="Times New Roman" w:eastAsia="Times New Roman"/>
                <w:color w:val="000000"/>
                <w:sz w:val="20"/>
              </w:rPr>
              <w:br/>
            </w:r>
            <w:r>
              <w:rPr>
                <w:rFonts w:ascii="Times New Roman" w:hAnsi="Times New Roman" w:eastAsia="Times New Roman"/>
                <w:color w:val="000000"/>
                <w:sz w:val="18"/>
              </w:rPr>
              <w:t xml:space="preserve">        "membership_tenure_years": 4,</w:t>
            </w:r>
            <w:r>
              <w:rPr>
                <w:rFonts w:ascii="Times New Roman" w:hAnsi="Times New Roman" w:eastAsia="Times New Roman"/>
                <w:color w:val="000000"/>
                <w:sz w:val="20"/>
              </w:rPr>
              <w:br/>
            </w:r>
            <w:r>
              <w:rPr>
                <w:rFonts w:ascii="Times New Roman" w:hAnsi="Times New Roman" w:eastAsia="Times New Roman"/>
                <w:color w:val="000000"/>
                <w:sz w:val="18"/>
              </w:rPr>
              <w:t xml:space="preserve">        "annual_contribution_amount": 20019.90,</w:t>
            </w:r>
            <w:r>
              <w:rPr>
                <w:rFonts w:ascii="Times New Roman" w:hAnsi="Times New Roman" w:eastAsia="Times New Roman"/>
                <w:color w:val="000000"/>
                <w:sz w:val="20"/>
              </w:rPr>
              <w:br/>
            </w:r>
            <w:r>
              <w:rPr>
                <w:rFonts w:ascii="Times New Roman" w:hAnsi="Times New Roman" w:eastAsia="Times New Roman"/>
                <w:color w:val="000000"/>
                <w:sz w:val="18"/>
              </w:rPr>
              <w:t xml:space="preserve">        "super_balance": 1666363.52,</w:t>
            </w:r>
            <w:r>
              <w:rPr>
                <w:rFonts w:ascii="Times New Roman" w:hAnsi="Times New Roman" w:eastAsia="Times New Roman"/>
                <w:color w:val="000000"/>
                <w:sz w:val="20"/>
              </w:rPr>
              <w:br/>
            </w:r>
            <w:r>
              <w:rPr>
                <w:rFonts w:ascii="Times New Roman" w:hAnsi="Times New Roman" w:eastAsia="Times New Roman"/>
                <w:color w:val="000000"/>
                <w:sz w:val="18"/>
              </w:rPr>
              <w:t xml:space="preserve">        "investment_plan_type": "High Growth",</w:t>
            </w:r>
            <w:r>
              <w:rPr>
                <w:rFonts w:ascii="Times New Roman" w:hAnsi="Times New Roman" w:eastAsia="Times New Roman"/>
                <w:color w:val="000000"/>
                <w:sz w:val="20"/>
              </w:rPr>
              <w:br/>
            </w:r>
            <w:r>
              <w:rPr>
                <w:rFonts w:ascii="Times New Roman" w:hAnsi="Times New Roman" w:eastAsia="Times New Roman"/>
                <w:color w:val="000000"/>
                <w:sz w:val="18"/>
              </w:rPr>
              <w:t xml:space="preserve">        "risk_profile": "Medium Risk"</w:t>
            </w:r>
            <w:r>
              <w:rPr>
                <w:rFonts w:ascii="Times New Roman" w:hAnsi="Times New Roman" w:eastAsia="Times New Roman"/>
                <w:color w:val="000000"/>
                <w:sz w:val="20"/>
              </w:rPr>
              <w:br/>
            </w:r>
            <w:r>
              <w:rPr>
                <w:rFonts w:ascii="Times New Roman" w:hAnsi="Times New Roman" w:eastAsia="Times New Roman"/>
                <w:color w:val="000000"/>
                <w:sz w:val="18"/>
              </w:rPr>
              <w:t xml:space="preserve">    }]</w:t>
            </w:r>
            <w:r>
              <w:rPr>
                <w:rFonts w:ascii="Times New Roman" w:hAnsi="Times New Roman" w:eastAsia="Times New Roman"/>
                <w:color w:val="000000"/>
                <w:sz w:val="20"/>
              </w:rPr>
              <w:br/>
            </w:r>
            <w:r>
              <w:rPr>
                <w:rFonts w:ascii="Times New Roman" w:hAnsi="Times New Roman" w:eastAsia="Times New Roman"/>
                <w:color w:val="000000"/>
                <w:sz w:val="18"/>
              </w:rPr>
              <w:t>}</w:t>
            </w:r>
          </w:p>
        </w:tc>
      </w:tr>
    </w:tbl>
    <w:p>
      <w:pPr>
        <w:spacing w:after="0"/>
      </w:pPr>
    </w:p>
    <w:p>
      <w:pPr>
        <w:keepNext/>
        <w:spacing w:after="80" w:before="180" w:line="259" w:lineRule="auto"/>
      </w:pPr>
      <w:r>
        <w:rPr>
          <w:rFonts w:ascii="Times New Roman" w:hAnsi="Times New Roman" w:eastAsia="Times New Roman"/>
          <w:b/>
          <w:i w:val="0"/>
          <w:color w:val="000000"/>
          <w:sz w:val="24"/>
        </w:rPr>
        <w:t>13.3 Example endpoint outcome</w:t>
      </w:r>
    </w:p>
    <w:p>
      <w:pPr>
        <w:spacing w:after="100" w:before="0" w:line="259" w:lineRule="auto"/>
      </w:pPr>
      <w:r>
        <w:rPr>
          <w:rFonts w:ascii="Times New Roman" w:hAnsi="Times New Roman" w:eastAsia="Times New Roman"/>
          <w:b w:val="0"/>
          <w:i w:val="0"/>
          <w:color w:val="000000"/>
          <w:sz w:val="24"/>
        </w:rPr>
        <w:t>The documented endpoint test returned a prediction value of 0. In the example binary interpretation, 0 means that the member was not classified as likely to churn by the deployed model, whereas 1 indicates a likely-churn classification for possible retention workflow consideration.</w:t>
      </w:r>
    </w:p>
    <w:p>
      <w:pPr>
        <w:jc w:val="center"/>
      </w:pPr>
      <w:r>
        <w:rPr>
          <w:rFonts w:ascii="Times New Roman" w:hAnsi="Times New Roman" w:eastAsia="Times New Roman"/>
          <w:color w:val="000000"/>
          <w:sz w:val="24"/>
        </w:rPr>
        <w:drawing>
          <wp:inline xmlns:a="http://schemas.openxmlformats.org/drawingml/2006/main" xmlns:pic="http://schemas.openxmlformats.org/drawingml/2006/picture">
            <wp:extent cx="6035040" cy="3627882"/>
            <wp:docPr id="5" name="Picture 5"/>
            <wp:cNvGraphicFramePr>
              <a:graphicFrameLocks noChangeAspect="1"/>
            </wp:cNvGraphicFramePr>
            <a:graphic>
              <a:graphicData uri="http://schemas.openxmlformats.org/drawingml/2006/picture">
                <pic:pic>
                  <pic:nvPicPr>
                    <pic:cNvPr id="0" name="gray_image6.png"/>
                    <pic:cNvPicPr/>
                  </pic:nvPicPr>
                  <pic:blipFill>
                    <a:blip r:embed="rId15"/>
                    <a:stretch>
                      <a:fillRect/>
                    </a:stretch>
                  </pic:blipFill>
                  <pic:spPr>
                    <a:xfrm>
                      <a:off x="0" y="0"/>
                      <a:ext cx="6035040" cy="3627882"/>
                    </a:xfrm>
                    <a:prstGeom prst="rect"/>
                  </pic:spPr>
                </pic:pic>
              </a:graphicData>
            </a:graphic>
          </wp:inline>
        </w:drawing>
      </w:r>
    </w:p>
    <w:p>
      <w:pPr>
        <w:spacing w:after="120" w:before="0" w:line="259" w:lineRule="auto"/>
        <w:jc w:val="center"/>
      </w:pPr>
      <w:r>
        <w:rPr>
          <w:rFonts w:ascii="Times New Roman" w:hAnsi="Times New Roman" w:eastAsia="Times New Roman"/>
          <w:b w:val="0"/>
          <w:i/>
          <w:color w:val="000000"/>
          <w:sz w:val="20"/>
        </w:rPr>
        <w:t>Figure 5. Recorded test query and response from the deployed endpoint.</w:t>
      </w: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14. Monitoring and Observability Strategy</w:t>
      </w:r>
    </w:p>
    <w:p>
      <w:pPr>
        <w:spacing w:after="100" w:before="0" w:line="259" w:lineRule="auto"/>
      </w:pPr>
      <w:r>
        <w:rPr>
          <w:rFonts w:ascii="Times New Roman" w:hAnsi="Times New Roman" w:eastAsia="Times New Roman"/>
          <w:b w:val="0"/>
          <w:i w:val="0"/>
          <w:color w:val="000000"/>
          <w:sz w:val="24"/>
        </w:rPr>
        <w:t>Deployment begins the operational phase of the model lifecycle. Model behaviour can change when input distributions, member activity, product conditions or process usage changes. Monitoring must therefore cover system health, input quality, prediction patterns, measured model quality and responsible-use indicators.</w:t>
      </w:r>
    </w:p>
    <w:p>
      <w:pPr>
        <w:jc w:val="center"/>
      </w:pPr>
      <w:r>
        <w:rPr>
          <w:rFonts w:ascii="Times New Roman" w:hAnsi="Times New Roman" w:eastAsia="Times New Roman"/>
          <w:color w:val="000000"/>
          <w:sz w:val="24"/>
        </w:rPr>
        <w:drawing>
          <wp:inline xmlns:a="http://schemas.openxmlformats.org/drawingml/2006/main" xmlns:pic="http://schemas.openxmlformats.org/drawingml/2006/picture">
            <wp:extent cx="6035040" cy="2860766"/>
            <wp:docPr id="6" name="Picture 6"/>
            <wp:cNvGraphicFramePr>
              <a:graphicFrameLocks noChangeAspect="1"/>
            </wp:cNvGraphicFramePr>
            <a:graphic>
              <a:graphicData uri="http://schemas.openxmlformats.org/drawingml/2006/picture">
                <pic:pic>
                  <pic:nvPicPr>
                    <pic:cNvPr id="0" name="gray_image7.png"/>
                    <pic:cNvPicPr/>
                  </pic:nvPicPr>
                  <pic:blipFill>
                    <a:blip r:embed="rId16"/>
                    <a:stretch>
                      <a:fillRect/>
                    </a:stretch>
                  </pic:blipFill>
                  <pic:spPr>
                    <a:xfrm>
                      <a:off x="0" y="0"/>
                      <a:ext cx="6035040" cy="2860766"/>
                    </a:xfrm>
                    <a:prstGeom prst="rect"/>
                  </pic:spPr>
                </pic:pic>
              </a:graphicData>
            </a:graphic>
          </wp:inline>
        </w:drawing>
      </w:r>
    </w:p>
    <w:p>
      <w:pPr>
        <w:spacing w:after="120" w:before="0" w:line="259" w:lineRule="auto"/>
        <w:jc w:val="center"/>
      </w:pPr>
      <w:r>
        <w:rPr>
          <w:rFonts w:ascii="Times New Roman" w:hAnsi="Times New Roman" w:eastAsia="Times New Roman"/>
          <w:b w:val="0"/>
          <w:i/>
          <w:color w:val="000000"/>
          <w:sz w:val="20"/>
        </w:rPr>
        <w:t>Figure 6. Monitoring flow from serving endpoint through inference records to review and alerting.</w:t>
      </w:r>
    </w:p>
    <w:p>
      <w:pPr>
        <w:keepNext/>
        <w:spacing w:after="80" w:before="180" w:line="259" w:lineRule="auto"/>
      </w:pPr>
      <w:r>
        <w:rPr>
          <w:rFonts w:ascii="Times New Roman" w:hAnsi="Times New Roman" w:eastAsia="Times New Roman"/>
          <w:b/>
          <w:i w:val="0"/>
          <w:color w:val="000000"/>
          <w:sz w:val="24"/>
        </w:rPr>
        <w:t>14.1 Monitoring categories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8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Monitoring category</w:t>
            </w:r>
          </w:p>
        </w:tc>
        <w:tc>
          <w:tcPr>
            <w:tcW w:type="dxa" w:w="468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Examples of observation</w:t>
            </w:r>
          </w:p>
        </w:tc>
        <w:tc>
          <w:tcPr>
            <w:tcW w:type="dxa" w:w="3528"/>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Action if concern is detected</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Endpoint health</w:t>
            </w:r>
          </w:p>
        </w:tc>
        <w:tc>
          <w:tcPr>
            <w:tcW w:type="dxa" w:w="468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Traffic, latency, error rate and availability.</w:t>
            </w:r>
          </w:p>
        </w:tc>
        <w:tc>
          <w:tcPr>
            <w:tcW w:type="dxa" w:w="352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Investigate serving capacity, payload failure or configuration issue.</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Input quality and drift</w:t>
            </w:r>
          </w:p>
        </w:tc>
        <w:tc>
          <w:tcPr>
            <w:tcW w:type="dxa" w:w="468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Missing values, schema change or feature distribution movement.</w:t>
            </w:r>
          </w:p>
        </w:tc>
        <w:tc>
          <w:tcPr>
            <w:tcW w:type="dxa" w:w="352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Validate upstream process and assess retraining need.</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Prediction drift</w:t>
            </w:r>
          </w:p>
        </w:tc>
        <w:tc>
          <w:tcPr>
            <w:tcW w:type="dxa" w:w="468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Change in prediction rate or churn probability distribution.</w:t>
            </w:r>
          </w:p>
        </w:tc>
        <w:tc>
          <w:tcPr>
            <w:tcW w:type="dxa" w:w="352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Review portfolio change, threshold suitability or model degradation.</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Outcome-based quality</w:t>
            </w:r>
          </w:p>
        </w:tc>
        <w:tc>
          <w:tcPr>
            <w:tcW w:type="dxa" w:w="468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Accuracy, precision, recall, F1 Score and ROC AUC after actual outcomes arrive.</w:t>
            </w:r>
          </w:p>
        </w:tc>
        <w:tc>
          <w:tcPr>
            <w:tcW w:type="dxa" w:w="352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Compare against thresholds and consider retraining or rollback.</w:t>
            </w:r>
          </w:p>
        </w:tc>
      </w:tr>
      <w:tr>
        <w:tc>
          <w:tcPr>
            <w:tcW w:type="dxa" w:w="208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Fairness diagnostics</w:t>
            </w:r>
          </w:p>
        </w:tc>
        <w:tc>
          <w:tcPr>
            <w:tcW w:type="dxa" w:w="468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Selection rate, recall gap and false positive rate gap by approved groups.</w:t>
            </w:r>
          </w:p>
        </w:tc>
        <w:tc>
          <w:tcPr>
            <w:tcW w:type="dxa" w:w="3528"/>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Escalate for responsible-use review and remediation.</w:t>
            </w:r>
          </w:p>
        </w:tc>
      </w:tr>
    </w:tbl>
    <w:p>
      <w:pPr>
        <w:spacing w:after="0"/>
      </w:pPr>
    </w:p>
    <w:p>
      <w:r>
        <w:rPr>
          <w:rFonts w:ascii="Times New Roman" w:hAnsi="Times New Roman" w:eastAsia="Times New Roman"/>
          <w:color w:val="000000"/>
          <w:sz w:val="24"/>
        </w:rPr>
        <w:br w:type="page"/>
      </w:r>
    </w:p>
    <w:p>
      <w:pPr>
        <w:keepNext/>
        <w:spacing w:after="80" w:before="180" w:line="259" w:lineRule="auto"/>
      </w:pPr>
      <w:r>
        <w:rPr>
          <w:rFonts w:ascii="Times New Roman" w:hAnsi="Times New Roman" w:eastAsia="Times New Roman"/>
          <w:b/>
          <w:i w:val="0"/>
          <w:color w:val="000000"/>
          <w:sz w:val="24"/>
        </w:rPr>
        <w:t>14.2 Inference request and response logging</w:t>
      </w:r>
    </w:p>
    <w:p>
      <w:pPr>
        <w:spacing w:after="100" w:before="0" w:line="259" w:lineRule="auto"/>
      </w:pPr>
      <w:r>
        <w:rPr>
          <w:rFonts w:ascii="Times New Roman" w:hAnsi="Times New Roman" w:eastAsia="Times New Roman"/>
          <w:b w:val="0"/>
          <w:i w:val="0"/>
          <w:color w:val="000000"/>
          <w:sz w:val="24"/>
        </w:rPr>
        <w:t>Where enabled and permitted by policy, inference logging captures request and response records in a governed Delta table for monitoring, debugging and quality analysis. The endpoint configuration, fields captured and access privileges must be verified in the target Databricks environment before production use.</w:t>
      </w:r>
    </w:p>
    <w:p>
      <w:pPr>
        <w:keepNext/>
        <w:spacing w:after="80" w:before="180" w:line="259" w:lineRule="auto"/>
      </w:pPr>
      <w:r>
        <w:rPr>
          <w:rFonts w:ascii="Times New Roman" w:hAnsi="Times New Roman" w:eastAsia="Times New Roman"/>
          <w:b/>
          <w:i w:val="0"/>
          <w:color w:val="000000"/>
          <w:sz w:val="24"/>
        </w:rPr>
        <w:t>SQL excerpt - initial operational inspection of inference records</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SELECT *</w:t>
            </w:r>
            <w:r>
              <w:rPr>
                <w:rFonts w:ascii="Times New Roman" w:hAnsi="Times New Roman" w:eastAsia="Times New Roman"/>
                <w:color w:val="000000"/>
                <w:sz w:val="20"/>
              </w:rPr>
              <w:br/>
            </w:r>
            <w:r>
              <w:rPr>
                <w:rFonts w:ascii="Times New Roman" w:hAnsi="Times New Roman" w:eastAsia="Times New Roman"/>
                <w:color w:val="000000"/>
                <w:sz w:val="18"/>
              </w:rPr>
              <w:t>FROM &lt;catalog_name&gt;.&lt;schema_name&gt;.&lt;inference_table_name&gt;</w:t>
            </w:r>
            <w:r>
              <w:rPr>
                <w:rFonts w:ascii="Times New Roman" w:hAnsi="Times New Roman" w:eastAsia="Times New Roman"/>
                <w:color w:val="000000"/>
                <w:sz w:val="20"/>
              </w:rPr>
              <w:br/>
            </w:r>
            <w:r>
              <w:rPr>
                <w:rFonts w:ascii="Times New Roman" w:hAnsi="Times New Roman" w:eastAsia="Times New Roman"/>
                <w:color w:val="000000"/>
                <w:sz w:val="18"/>
              </w:rPr>
              <w:t>ORDER BY timestamp_ms DESC</w:t>
            </w:r>
            <w:r>
              <w:rPr>
                <w:rFonts w:ascii="Times New Roman" w:hAnsi="Times New Roman" w:eastAsia="Times New Roman"/>
                <w:color w:val="000000"/>
                <w:sz w:val="20"/>
              </w:rPr>
              <w:br/>
            </w:r>
            <w:r>
              <w:rPr>
                <w:rFonts w:ascii="Times New Roman" w:hAnsi="Times New Roman" w:eastAsia="Times New Roman"/>
                <w:color w:val="000000"/>
                <w:sz w:val="18"/>
              </w:rPr>
              <w:t>LIMIT 20;</w:t>
            </w:r>
            <w:r>
              <w:rPr>
                <w:rFonts w:ascii="Times New Roman" w:hAnsi="Times New Roman" w:eastAsia="Times New Roman"/>
                <w:color w:val="000000"/>
                <w:sz w:val="20"/>
              </w:rPr>
              <w:br/>
            </w:r>
            <w:r>
              <w:rPr>
                <w:rFonts w:ascii="Times New Roman" w:hAnsi="Times New Roman" w:eastAsia="Times New Roman"/>
                <w:color w:val="000000"/>
                <w:sz w:val="18"/>
              </w:rPr>
            </w:r>
            <w:r>
              <w:rPr>
                <w:rFonts w:ascii="Times New Roman" w:hAnsi="Times New Roman" w:eastAsia="Times New Roman"/>
                <w:color w:val="000000"/>
                <w:sz w:val="20"/>
              </w:rPr>
              <w:br/>
            </w:r>
            <w:r>
              <w:rPr>
                <w:rFonts w:ascii="Times New Roman" w:hAnsi="Times New Roman" w:eastAsia="Times New Roman"/>
                <w:color w:val="000000"/>
                <w:sz w:val="18"/>
              </w:rPr>
              <w:t>SELECT date_trunc('DAY', timestamp_ms) AS scoring_day,</w:t>
            </w:r>
            <w:r>
              <w:rPr>
                <w:rFonts w:ascii="Times New Roman" w:hAnsi="Times New Roman" w:eastAsia="Times New Roman"/>
                <w:color w:val="000000"/>
                <w:sz w:val="20"/>
              </w:rPr>
              <w:br/>
            </w:r>
            <w:r>
              <w:rPr>
                <w:rFonts w:ascii="Times New Roman" w:hAnsi="Times New Roman" w:eastAsia="Times New Roman"/>
                <w:color w:val="000000"/>
                <w:sz w:val="18"/>
              </w:rPr>
              <w:t xml:space="preserve">       COUNT(*) AS request_count</w:t>
            </w:r>
            <w:r>
              <w:rPr>
                <w:rFonts w:ascii="Times New Roman" w:hAnsi="Times New Roman" w:eastAsia="Times New Roman"/>
                <w:color w:val="000000"/>
                <w:sz w:val="20"/>
              </w:rPr>
              <w:br/>
            </w:r>
            <w:r>
              <w:rPr>
                <w:rFonts w:ascii="Times New Roman" w:hAnsi="Times New Roman" w:eastAsia="Times New Roman"/>
                <w:color w:val="000000"/>
                <w:sz w:val="18"/>
              </w:rPr>
              <w:t>FROM &lt;catalog_name&gt;.&lt;schema_name&gt;.&lt;inference_table_name&gt;</w:t>
            </w:r>
            <w:r>
              <w:rPr>
                <w:rFonts w:ascii="Times New Roman" w:hAnsi="Times New Roman" w:eastAsia="Times New Roman"/>
                <w:color w:val="000000"/>
                <w:sz w:val="20"/>
              </w:rPr>
              <w:br/>
            </w:r>
            <w:r>
              <w:rPr>
                <w:rFonts w:ascii="Times New Roman" w:hAnsi="Times New Roman" w:eastAsia="Times New Roman"/>
                <w:color w:val="000000"/>
                <w:sz w:val="18"/>
              </w:rPr>
              <w:t>GROUP BY date_trunc('DAY', timestamp_ms)</w:t>
            </w:r>
            <w:r>
              <w:rPr>
                <w:rFonts w:ascii="Times New Roman" w:hAnsi="Times New Roman" w:eastAsia="Times New Roman"/>
                <w:color w:val="000000"/>
                <w:sz w:val="20"/>
              </w:rPr>
              <w:br/>
            </w:r>
            <w:r>
              <w:rPr>
                <w:rFonts w:ascii="Times New Roman" w:hAnsi="Times New Roman" w:eastAsia="Times New Roman"/>
                <w:color w:val="000000"/>
                <w:sz w:val="18"/>
              </w:rPr>
              <w:t>ORDER BY scoring_day DESC;</w:t>
            </w:r>
          </w:p>
        </w:tc>
      </w:tr>
    </w:tbl>
    <w:p>
      <w:pPr>
        <w:spacing w:after="0"/>
      </w:pPr>
    </w:p>
    <w:p>
      <w:pPr>
        <w:keepNext/>
        <w:spacing w:after="80" w:before="180" w:line="259" w:lineRule="auto"/>
      </w:pPr>
      <w:r>
        <w:rPr>
          <w:rFonts w:ascii="Times New Roman" w:hAnsi="Times New Roman" w:eastAsia="Times New Roman"/>
          <w:b/>
          <w:i w:val="0"/>
          <w:color w:val="000000"/>
          <w:sz w:val="24"/>
        </w:rPr>
        <w:t>14.3 Outcome-based quality monitoring loop</w:t>
      </w:r>
    </w:p>
    <w:p>
      <w:pPr>
        <w:pStyle w:val="ListBullet"/>
        <w:spacing w:after="40"/>
        <w:ind w:left="360" w:hanging="259"/>
      </w:pPr>
      <w:r>
        <w:rPr>
          <w:rFonts w:ascii="Times New Roman" w:hAnsi="Times New Roman" w:eastAsia="Times New Roman"/>
          <w:color w:val="000000"/>
          <w:sz w:val="24"/>
        </w:rPr>
        <w:t>Store a permitted prediction reference that can later be matched with observed churn outcome.</w:t>
      </w:r>
    </w:p>
    <w:p>
      <w:pPr>
        <w:pStyle w:val="ListBullet"/>
        <w:spacing w:after="40"/>
        <w:ind w:left="360" w:hanging="259"/>
      </w:pPr>
      <w:r>
        <w:rPr>
          <w:rFonts w:ascii="Times New Roman" w:hAnsi="Times New Roman" w:eastAsia="Times New Roman"/>
          <w:color w:val="000000"/>
          <w:sz w:val="24"/>
        </w:rPr>
        <w:t>After an agreed observation period, join predictions with actual outcomes using a governed data process.</w:t>
      </w:r>
    </w:p>
    <w:p>
      <w:pPr>
        <w:pStyle w:val="ListBullet"/>
        <w:spacing w:after="40"/>
        <w:ind w:left="360" w:hanging="259"/>
      </w:pPr>
      <w:r>
        <w:rPr>
          <w:rFonts w:ascii="Times New Roman" w:hAnsi="Times New Roman" w:eastAsia="Times New Roman"/>
          <w:color w:val="000000"/>
          <w:sz w:val="24"/>
        </w:rPr>
        <w:t>Calculate precision, recall, F1 Score and ROC AUC against labelled outcomes.</w:t>
      </w:r>
    </w:p>
    <w:p>
      <w:pPr>
        <w:pStyle w:val="ListBullet"/>
        <w:spacing w:after="40"/>
        <w:ind w:left="360" w:hanging="259"/>
      </w:pPr>
      <w:r>
        <w:rPr>
          <w:rFonts w:ascii="Times New Roman" w:hAnsi="Times New Roman" w:eastAsia="Times New Roman"/>
          <w:color w:val="000000"/>
          <w:sz w:val="24"/>
        </w:rPr>
        <w:t>Recalculate approved fairness diagnostics and review material differences.</w:t>
      </w:r>
    </w:p>
    <w:p>
      <w:pPr>
        <w:pStyle w:val="ListBullet"/>
        <w:spacing w:after="40"/>
        <w:ind w:left="360" w:hanging="259"/>
      </w:pPr>
      <w:r>
        <w:rPr>
          <w:rFonts w:ascii="Times New Roman" w:hAnsi="Times New Roman" w:eastAsia="Times New Roman"/>
          <w:color w:val="000000"/>
          <w:sz w:val="24"/>
        </w:rPr>
        <w:t>Apply defined thresholds for alerting, retraining, model revalidation or rollback.</w:t>
      </w:r>
    </w:p>
    <w:p>
      <w:pPr>
        <w:keepNext/>
        <w:spacing w:after="80" w:before="180" w:line="259" w:lineRule="auto"/>
      </w:pPr>
      <w:r>
        <w:rPr>
          <w:rFonts w:ascii="Times New Roman" w:hAnsi="Times New Roman" w:eastAsia="Times New Roman"/>
          <w:b/>
          <w:i w:val="0"/>
          <w:color w:val="000000"/>
          <w:sz w:val="24"/>
        </w:rPr>
        <w:t>14.4 Suggested operational thresholds and ownership design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1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Area</w:t>
            </w:r>
          </w:p>
        </w:tc>
        <w:tc>
          <w:tcPr>
            <w:tcW w:type="dxa" w:w="576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Threshold design approach</w:t>
            </w:r>
          </w:p>
        </w:tc>
        <w:tc>
          <w:tcPr>
            <w:tcW w:type="dxa" w:w="252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9"/>
              </w:rPr>
              <w:t>Proposed owner</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Endpoint reliability</w:t>
            </w:r>
          </w:p>
        </w:tc>
        <w:tc>
          <w:tcPr>
            <w:tcW w:type="dxa" w:w="57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Set service-specific latency and error-rate alert limits.</w:t>
            </w:r>
          </w:p>
        </w:tc>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Platform operations.</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Data drift</w:t>
            </w:r>
          </w:p>
        </w:tc>
        <w:tc>
          <w:tcPr>
            <w:tcW w:type="dxa" w:w="57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Establish feature distribution tolerance from baseline data.</w:t>
            </w:r>
          </w:p>
        </w:tc>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Data and model owners.</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Recall decline</w:t>
            </w:r>
          </w:p>
        </w:tc>
        <w:tc>
          <w:tcPr>
            <w:tcW w:type="dxa" w:w="57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Define minimum acceptable churn-capture threshold.</w:t>
            </w:r>
          </w:p>
        </w:tc>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Business and model validator.</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Fairness gap</w:t>
            </w:r>
          </w:p>
        </w:tc>
        <w:tc>
          <w:tcPr>
            <w:tcW w:type="dxa" w:w="57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Use policy-approved thresholds and escalation rules.</w:t>
            </w:r>
          </w:p>
        </w:tc>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Risk / compliance and business owner.</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Retraining cadence</w:t>
            </w:r>
          </w:p>
        </w:tc>
        <w:tc>
          <w:tcPr>
            <w:tcW w:type="dxa" w:w="57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Review periodically or following material drift.</w:t>
            </w:r>
          </w:p>
        </w:tc>
        <w:tc>
          <w:tcPr>
            <w:tcW w:type="dxa" w:w="252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9"/>
              </w:rPr>
              <w:t>Model owner.</w:t>
            </w:r>
          </w:p>
        </w:tc>
      </w:tr>
    </w:tbl>
    <w:p>
      <w:pPr>
        <w:spacing w:after="0"/>
      </w:pP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15. Operational Governance and Rollback Strategy</w:t>
      </w:r>
    </w:p>
    <w:p>
      <w:pPr>
        <w:spacing w:after="100" w:before="0" w:line="259" w:lineRule="auto"/>
      </w:pPr>
      <w:r>
        <w:rPr>
          <w:rFonts w:ascii="Times New Roman" w:hAnsi="Times New Roman" w:eastAsia="Times New Roman"/>
          <w:b w:val="0"/>
          <w:i w:val="0"/>
          <w:color w:val="000000"/>
          <w:sz w:val="24"/>
        </w:rPr>
        <w:t>A model release is controlled only when it can be traced, reviewed and reversed. Governance is therefore required across training evidence, validation results, endpoint configuration changes, monitoring outcomes and rollback activities.</w:t>
      </w:r>
    </w:p>
    <w:p>
      <w:pPr>
        <w:keepNext/>
        <w:spacing w:after="80" w:before="180" w:line="259" w:lineRule="auto"/>
      </w:pPr>
      <w:r>
        <w:rPr>
          <w:rFonts w:ascii="Times New Roman" w:hAnsi="Times New Roman" w:eastAsia="Times New Roman"/>
          <w:b/>
          <w:i w:val="0"/>
          <w:color w:val="000000"/>
          <w:sz w:val="24"/>
        </w:rPr>
        <w:t>15.1 Operational governance controls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1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Control</w:t>
            </w:r>
          </w:p>
        </w:tc>
        <w:tc>
          <w:tcPr>
            <w:tcW w:type="dxa" w:w="554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Required practice</w:t>
            </w:r>
          </w:p>
        </w:tc>
        <w:tc>
          <w:tcPr>
            <w:tcW w:type="dxa" w:w="2736"/>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Evidence retained</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Data access</w:t>
            </w:r>
          </w:p>
        </w:tc>
        <w:tc>
          <w:tcPr>
            <w:tcW w:type="dxa" w:w="55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Apply least-privilege permissions to tables, volumes and inference records.</w:t>
            </w:r>
          </w:p>
        </w:tc>
        <w:tc>
          <w:tcPr>
            <w:tcW w:type="dxa" w:w="27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Permission configuration and audit history.</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Version registration</w:t>
            </w:r>
          </w:p>
        </w:tc>
        <w:tc>
          <w:tcPr>
            <w:tcW w:type="dxa" w:w="55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Register every deployment candidate with signature and metrics.</w:t>
            </w:r>
          </w:p>
        </w:tc>
        <w:tc>
          <w:tcPr>
            <w:tcW w:type="dxa" w:w="27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MLflow run and model version.</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Promotion approval</w:t>
            </w:r>
          </w:p>
        </w:tc>
        <w:tc>
          <w:tcPr>
            <w:tcW w:type="dxa" w:w="55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Approve Champion only after model quality and fairness review.</w:t>
            </w:r>
          </w:p>
        </w:tc>
        <w:tc>
          <w:tcPr>
            <w:tcW w:type="dxa" w:w="27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Recorded decision and reviewer sign-off.</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Deployment release</w:t>
            </w:r>
          </w:p>
        </w:tc>
        <w:tc>
          <w:tcPr>
            <w:tcW w:type="dxa" w:w="55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Update serving endpoints through controlled change.</w:t>
            </w:r>
          </w:p>
        </w:tc>
        <w:tc>
          <w:tcPr>
            <w:tcW w:type="dxa" w:w="27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Endpoint deployment record.</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Monitoring review</w:t>
            </w:r>
          </w:p>
        </w:tc>
        <w:tc>
          <w:tcPr>
            <w:tcW w:type="dxa" w:w="55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Review monitored results and remediation decisions.</w:t>
            </w:r>
          </w:p>
        </w:tc>
        <w:tc>
          <w:tcPr>
            <w:tcW w:type="dxa" w:w="27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Dashboards, alerts and review notes.</w:t>
            </w:r>
          </w:p>
        </w:tc>
      </w:tr>
      <w:tr>
        <w:tc>
          <w:tcPr>
            <w:tcW w:type="dxa" w:w="201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Privacy and retention</w:t>
            </w:r>
          </w:p>
        </w:tc>
        <w:tc>
          <w:tcPr>
            <w:tcW w:type="dxa" w:w="55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Store only permitted fields for approved duration.</w:t>
            </w:r>
          </w:p>
        </w:tc>
        <w:tc>
          <w:tcPr>
            <w:tcW w:type="dxa" w:w="2736"/>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Data retention and access rules.</w:t>
            </w:r>
          </w:p>
        </w:tc>
      </w:tr>
    </w:tbl>
    <w:p>
      <w:pPr>
        <w:spacing w:after="0"/>
      </w:pPr>
    </w:p>
    <w:p>
      <w:pPr>
        <w:keepNext/>
        <w:spacing w:after="80" w:before="180" w:line="259" w:lineRule="auto"/>
      </w:pPr>
      <w:r>
        <w:rPr>
          <w:rFonts w:ascii="Times New Roman" w:hAnsi="Times New Roman" w:eastAsia="Times New Roman"/>
          <w:b/>
          <w:i w:val="0"/>
          <w:color w:val="000000"/>
          <w:sz w:val="24"/>
        </w:rPr>
        <w:t>15.2 Rollback procedure</w:t>
      </w:r>
    </w:p>
    <w:p>
      <w:pPr>
        <w:pStyle w:val="ListNumber"/>
        <w:spacing w:after="40"/>
        <w:ind w:left="360" w:hanging="259"/>
      </w:pPr>
      <w:r>
        <w:rPr>
          <w:rFonts w:ascii="Times New Roman" w:hAnsi="Times New Roman" w:eastAsia="Times New Roman"/>
          <w:color w:val="000000"/>
          <w:sz w:val="24"/>
        </w:rPr>
        <w:t>Confirm the issue using endpoint, monitoring and business-impact evidence.</w:t>
      </w:r>
    </w:p>
    <w:p>
      <w:pPr>
        <w:pStyle w:val="ListNumber"/>
        <w:spacing w:after="40"/>
        <w:ind w:left="360" w:hanging="259"/>
      </w:pPr>
      <w:r>
        <w:rPr>
          <w:rFonts w:ascii="Times New Roman" w:hAnsi="Times New Roman" w:eastAsia="Times New Roman"/>
          <w:color w:val="000000"/>
          <w:sz w:val="24"/>
        </w:rPr>
        <w:t>Identify the previously approved stable model version in Unity Catalog.</w:t>
      </w:r>
    </w:p>
    <w:p>
      <w:pPr>
        <w:pStyle w:val="ListNumber"/>
        <w:spacing w:after="40"/>
        <w:ind w:left="360" w:hanging="259"/>
      </w:pPr>
      <w:r>
        <w:rPr>
          <w:rFonts w:ascii="Times New Roman" w:hAnsi="Times New Roman" w:eastAsia="Times New Roman"/>
          <w:color w:val="000000"/>
          <w:sz w:val="24"/>
        </w:rPr>
        <w:t>Record rollback authorisation and reason for change.</w:t>
      </w:r>
    </w:p>
    <w:p>
      <w:pPr>
        <w:pStyle w:val="ListNumber"/>
        <w:spacing w:after="40"/>
        <w:ind w:left="360" w:hanging="259"/>
      </w:pPr>
      <w:r>
        <w:rPr>
          <w:rFonts w:ascii="Times New Roman" w:hAnsi="Times New Roman" w:eastAsia="Times New Roman"/>
          <w:color w:val="000000"/>
          <w:sz w:val="24"/>
        </w:rPr>
        <w:t>Reassign the Champion alias if required by the lifecycle decision.</w:t>
      </w:r>
    </w:p>
    <w:p>
      <w:pPr>
        <w:pStyle w:val="ListNumber"/>
        <w:spacing w:after="40"/>
        <w:ind w:left="360" w:hanging="259"/>
      </w:pPr>
      <w:r>
        <w:rPr>
          <w:rFonts w:ascii="Times New Roman" w:hAnsi="Times New Roman" w:eastAsia="Times New Roman"/>
          <w:color w:val="000000"/>
          <w:sz w:val="24"/>
        </w:rPr>
        <w:t>Update the serving endpoint to the approved rollback version and validate scoring.</w:t>
      </w:r>
    </w:p>
    <w:p>
      <w:pPr>
        <w:pStyle w:val="ListNumber"/>
        <w:spacing w:after="40"/>
        <w:ind w:left="360" w:hanging="259"/>
      </w:pPr>
      <w:r>
        <w:rPr>
          <w:rFonts w:ascii="Times New Roman" w:hAnsi="Times New Roman" w:eastAsia="Times New Roman"/>
          <w:color w:val="000000"/>
          <w:sz w:val="24"/>
        </w:rPr>
        <w:t>Monitor post-rollback results and document resolution or follow-up analysis.</w:t>
      </w:r>
    </w:p>
    <w:tbl>
      <w:tblPr>
        <w:tblW w:type="auto" w:w="0"/>
        <w:jc w:val="center"/>
        <w:tblLayout w:type="autofit"/>
        <w:tblLook w:firstColumn="1" w:firstRow="1" w:lastColumn="0" w:lastRow="0" w:noHBand="0" w:noVBand="1" w:val="04A0"/>
      </w:tblPr>
      <w:tblGrid>
        <w:gridCol w:w="10166"/>
      </w:tblGrid>
      <w:tr>
        <w:tc>
          <w:tcPr>
            <w:tcW w:type="dxa" w:w="10166"/>
            <w:shd w:fill="F2F2F2"/>
            <w:tcBorders>
              <w:top w:sz="6" w:val="single" w:color="808080"/>
              <w:left w:sz="6" w:val="single" w:color="808080"/>
              <w:bottom w:sz="6" w:val="single" w:color="808080"/>
              <w:right w:sz="6" w:val="single" w:color="808080"/>
            </w:tcBorders>
          </w:tcPr>
          <w:p>
            <w:pPr>
              <w:spacing w:after="40"/>
            </w:pPr>
            <w:r>
              <w:rPr>
                <w:rFonts w:ascii="Times New Roman" w:hAnsi="Times New Roman" w:eastAsia="Times New Roman"/>
                <w:b/>
                <w:color w:val="000000"/>
                <w:sz w:val="24"/>
              </w:rPr>
              <w:t xml:space="preserve">Rollback principle: </w:t>
            </w:r>
            <w:r>
              <w:rPr>
                <w:rFonts w:ascii="Times New Roman" w:hAnsi="Times New Roman" w:eastAsia="Times New Roman"/>
                <w:color w:val="000000"/>
                <w:sz w:val="24"/>
              </w:rPr>
              <w:t>Rollback restores an approved model version; it does not remove the need to investigate data drift, process issues or model limitations that caused the concern.</w:t>
            </w:r>
          </w:p>
        </w:tc>
      </w:tr>
    </w:tbl>
    <w:p>
      <w:pPr>
        <w:spacing w:after="0"/>
      </w:pPr>
    </w:p>
    <w:p>
      <w:pPr>
        <w:keepNext/>
        <w:spacing w:after="120" w:before="280" w:line="259" w:lineRule="auto"/>
      </w:pPr>
      <w:r>
        <w:rPr>
          <w:rFonts w:ascii="Times New Roman" w:hAnsi="Times New Roman" w:eastAsia="Times New Roman"/>
          <w:b/>
          <w:i w:val="0"/>
          <w:color w:val="000000"/>
          <w:sz w:val="36"/>
        </w:rPr>
        <w:t>16. Enterprise Implementation Recommendations</w:t>
      </w:r>
    </w:p>
    <w:p>
      <w:pPr>
        <w:spacing w:after="100" w:before="0" w:line="259" w:lineRule="auto"/>
      </w:pPr>
      <w:r>
        <w:rPr>
          <w:rFonts w:ascii="Times New Roman" w:hAnsi="Times New Roman" w:eastAsia="Times New Roman"/>
          <w:b w:val="0"/>
          <w:i w:val="0"/>
          <w:color w:val="000000"/>
          <w:sz w:val="24"/>
        </w:rPr>
        <w:t>The proof-of-concept lifecycle provides a foundation for an enterprise retention analytics capability. The following recommendations extend the implementation from a successful demonstration into a sustainable operating model.</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160"/>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Recommendation</w:t>
            </w:r>
          </w:p>
        </w:tc>
        <w:tc>
          <w:tcPr>
            <w:tcW w:type="dxa" w:w="547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Enterprise implementation approach</w:t>
            </w:r>
          </w:p>
        </w:tc>
        <w:tc>
          <w:tcPr>
            <w:tcW w:type="dxa" w:w="266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18"/>
              </w:rPr>
              <w:t>Expected benefit</w:t>
            </w:r>
          </w:p>
        </w:tc>
      </w:tr>
      <w:tr>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Approval framework</w:t>
            </w:r>
          </w:p>
        </w:tc>
        <w:tc>
          <w:tcPr>
            <w:tcW w:type="dxa" w:w="54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Create formal promotion criteria, reviewer roles and documented sign-off.</w:t>
            </w:r>
          </w:p>
        </w:tc>
        <w:tc>
          <w:tcPr>
            <w:tcW w:type="dxa" w:w="26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Consistent release decisions.</w:t>
            </w:r>
          </w:p>
        </w:tc>
      </w:tr>
      <w:tr>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Feature governance</w:t>
            </w:r>
          </w:p>
        </w:tc>
        <w:tc>
          <w:tcPr>
            <w:tcW w:type="dxa" w:w="54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Maintain approved feature definitions, lineage and privacy assessment.</w:t>
            </w:r>
          </w:p>
        </w:tc>
        <w:tc>
          <w:tcPr>
            <w:tcW w:type="dxa" w:w="26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Trustworthy and compliant data use.</w:t>
            </w:r>
          </w:p>
        </w:tc>
      </w:tr>
      <w:tr>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Automated pipeline</w:t>
            </w:r>
          </w:p>
        </w:tc>
        <w:tc>
          <w:tcPr>
            <w:tcW w:type="dxa" w:w="54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Schedule training, validation, registration and reporting through controlled jobs.</w:t>
            </w:r>
          </w:p>
        </w:tc>
        <w:tc>
          <w:tcPr>
            <w:tcW w:type="dxa" w:w="26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Repeatable and efficient model lifecycle.</w:t>
            </w:r>
          </w:p>
        </w:tc>
      </w:tr>
      <w:tr>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Monitoring dashboards</w:t>
            </w:r>
          </w:p>
        </w:tc>
        <w:tc>
          <w:tcPr>
            <w:tcW w:type="dxa" w:w="54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Implement operational, data-drift, quality and fairness reporting.</w:t>
            </w:r>
          </w:p>
        </w:tc>
        <w:tc>
          <w:tcPr>
            <w:tcW w:type="dxa" w:w="26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Earlier detection of degradation.</w:t>
            </w:r>
          </w:p>
        </w:tc>
      </w:tr>
      <w:tr>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Threshold management</w:t>
            </w:r>
          </w:p>
        </w:tc>
        <w:tc>
          <w:tcPr>
            <w:tcW w:type="dxa" w:w="54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Define business-approved intervention thresholds separately from model ranking.</w:t>
            </w:r>
          </w:p>
        </w:tc>
        <w:tc>
          <w:tcPr>
            <w:tcW w:type="dxa" w:w="26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Aligns outreach capacity with risk ranking.</w:t>
            </w:r>
          </w:p>
        </w:tc>
      </w:tr>
      <w:tr>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Retraining policy</w:t>
            </w:r>
          </w:p>
        </w:tc>
        <w:tc>
          <w:tcPr>
            <w:tcW w:type="dxa" w:w="54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Retrain on schedule or when drift/performance triggers are met.</w:t>
            </w:r>
          </w:p>
        </w:tc>
        <w:tc>
          <w:tcPr>
            <w:tcW w:type="dxa" w:w="26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Maintains relevance over time.</w:t>
            </w:r>
          </w:p>
        </w:tc>
      </w:tr>
      <w:tr>
        <w:tc>
          <w:tcPr>
            <w:tcW w:type="dxa" w:w="2160"/>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Model comparison expansion</w:t>
            </w:r>
          </w:p>
        </w:tc>
        <w:tc>
          <w:tcPr>
            <w:tcW w:type="dxa" w:w="547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Evaluate alternative algorithms after baseline governance is stable.</w:t>
            </w:r>
          </w:p>
        </w:tc>
        <w:tc>
          <w:tcPr>
            <w:tcW w:type="dxa" w:w="266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18"/>
              </w:rPr>
              <w:t>Potential quality improvement with controlled complexity.</w:t>
            </w:r>
          </w:p>
        </w:tc>
      </w:tr>
    </w:tbl>
    <w:p>
      <w:pPr>
        <w:spacing w:after="0"/>
      </w:pPr>
    </w:p>
    <w:p>
      <w:pPr>
        <w:keepNext/>
        <w:spacing w:after="80" w:before="180" w:line="259" w:lineRule="auto"/>
      </w:pPr>
      <w:r>
        <w:rPr>
          <w:rFonts w:ascii="Times New Roman" w:hAnsi="Times New Roman" w:eastAsia="Times New Roman"/>
          <w:b/>
          <w:i w:val="0"/>
          <w:color w:val="000000"/>
          <w:sz w:val="24"/>
        </w:rPr>
        <w:t>16.1 Future model experimentation opportunities</w:t>
      </w:r>
    </w:p>
    <w:p>
      <w:pPr>
        <w:spacing w:after="100" w:before="0" w:line="259" w:lineRule="auto"/>
      </w:pPr>
      <w:r>
        <w:rPr>
          <w:rFonts w:ascii="Times New Roman" w:hAnsi="Times New Roman" w:eastAsia="Times New Roman"/>
          <w:b w:val="0"/>
          <w:i w:val="0"/>
          <w:color w:val="000000"/>
          <w:sz w:val="24"/>
        </w:rPr>
        <w:t>After baseline governance and monitoring are operational, subsequent analysis may explore tree-based algorithms, calibrated probability thresholds, cost-sensitive decision rules or additional engagement signals. Any new candidate must be compared on the same governed test basis or an approved revised evaluation design, and it must satisfy the same promotion controls.</w:t>
      </w:r>
    </w:p>
    <w:p>
      <w:pPr>
        <w:keepNext/>
        <w:spacing w:after="80" w:before="180" w:line="259" w:lineRule="auto"/>
      </w:pPr>
      <w:r>
        <w:rPr>
          <w:rFonts w:ascii="Times New Roman" w:hAnsi="Times New Roman" w:eastAsia="Times New Roman"/>
          <w:b/>
          <w:i w:val="0"/>
          <w:color w:val="000000"/>
          <w:sz w:val="24"/>
        </w:rPr>
        <w:t>16.2 Documentation deliverables for production readiness</w:t>
      </w:r>
    </w:p>
    <w:p>
      <w:pPr>
        <w:pStyle w:val="ListBullet"/>
        <w:spacing w:after="40"/>
        <w:ind w:left="360" w:hanging="259"/>
      </w:pPr>
      <w:r>
        <w:rPr>
          <w:rFonts w:ascii="Times New Roman" w:hAnsi="Times New Roman" w:eastAsia="Times New Roman"/>
          <w:color w:val="000000"/>
          <w:sz w:val="24"/>
        </w:rPr>
        <w:t>Approved feature catalogue and data-quality rules.</w:t>
      </w:r>
    </w:p>
    <w:p>
      <w:pPr>
        <w:pStyle w:val="ListBullet"/>
        <w:spacing w:after="40"/>
        <w:ind w:left="360" w:hanging="259"/>
      </w:pPr>
      <w:r>
        <w:rPr>
          <w:rFonts w:ascii="Times New Roman" w:hAnsi="Times New Roman" w:eastAsia="Times New Roman"/>
          <w:color w:val="000000"/>
          <w:sz w:val="24"/>
        </w:rPr>
        <w:t>Model card describing intended use, limitations and responsible-use controls.</w:t>
      </w:r>
    </w:p>
    <w:p>
      <w:pPr>
        <w:pStyle w:val="ListBullet"/>
        <w:spacing w:after="40"/>
        <w:ind w:left="360" w:hanging="259"/>
      </w:pPr>
      <w:r>
        <w:rPr>
          <w:rFonts w:ascii="Times New Roman" w:hAnsi="Times New Roman" w:eastAsia="Times New Roman"/>
          <w:color w:val="000000"/>
          <w:sz w:val="24"/>
        </w:rPr>
        <w:t>Validation report containing model comparison and fairness evidence.</w:t>
      </w:r>
    </w:p>
    <w:p>
      <w:pPr>
        <w:pStyle w:val="ListBullet"/>
        <w:spacing w:after="40"/>
        <w:ind w:left="360" w:hanging="259"/>
      </w:pPr>
      <w:r>
        <w:rPr>
          <w:rFonts w:ascii="Times New Roman" w:hAnsi="Times New Roman" w:eastAsia="Times New Roman"/>
          <w:color w:val="000000"/>
          <w:sz w:val="24"/>
        </w:rPr>
        <w:t>Deployment runbook, endpoint access controls and incident response process.</w:t>
      </w:r>
    </w:p>
    <w:p>
      <w:pPr>
        <w:pStyle w:val="ListBullet"/>
        <w:spacing w:after="40"/>
        <w:ind w:left="360" w:hanging="259"/>
      </w:pPr>
      <w:r>
        <w:rPr>
          <w:rFonts w:ascii="Times New Roman" w:hAnsi="Times New Roman" w:eastAsia="Times New Roman"/>
          <w:color w:val="000000"/>
          <w:sz w:val="24"/>
        </w:rPr>
        <w:t>Monitoring dashboard definitions, thresholds and ownership matrix.</w:t>
      </w:r>
    </w:p>
    <w:p>
      <w:pPr>
        <w:pStyle w:val="ListBullet"/>
        <w:spacing w:after="40"/>
        <w:ind w:left="360" w:hanging="259"/>
      </w:pPr>
      <w:r>
        <w:rPr>
          <w:rFonts w:ascii="Times New Roman" w:hAnsi="Times New Roman" w:eastAsia="Times New Roman"/>
          <w:color w:val="000000"/>
          <w:sz w:val="24"/>
        </w:rPr>
        <w:t>Retraining, promotion and rollback policy.</w:t>
      </w:r>
    </w:p>
    <w:p>
      <w:pPr>
        <w:keepNext/>
        <w:spacing w:after="120" w:before="280" w:line="259" w:lineRule="auto"/>
      </w:pPr>
      <w:r>
        <w:rPr>
          <w:rFonts w:ascii="Times New Roman" w:hAnsi="Times New Roman" w:eastAsia="Times New Roman"/>
          <w:b/>
          <w:i w:val="0"/>
          <w:color w:val="000000"/>
          <w:sz w:val="36"/>
        </w:rPr>
        <w:t>17. Conclusion</w:t>
      </w:r>
    </w:p>
    <w:p>
      <w:pPr>
        <w:spacing w:after="100" w:before="0" w:line="259" w:lineRule="auto"/>
      </w:pPr>
      <w:r>
        <w:rPr>
          <w:rFonts w:ascii="Times New Roman" w:hAnsi="Times New Roman" w:eastAsia="Times New Roman"/>
          <w:b w:val="0"/>
          <w:i w:val="0"/>
          <w:color w:val="000000"/>
          <w:sz w:val="24"/>
        </w:rPr>
        <w:t>This document presents a governed MLOps lifecycle for a Databricks-based retention analytics solution. The implementation creates a fixed evaluation foundation, trains and registers a baseline model and tuned candidate, compares predictive quality and fairness diagnostics, selects a Champion using documented evidence, demonstrates real-time serving and defines the monitoring and rollback controls required for operational use.</w:t>
      </w:r>
    </w:p>
    <w:p>
      <w:pPr>
        <w:spacing w:after="100" w:before="0" w:line="259" w:lineRule="auto"/>
      </w:pPr>
      <w:r>
        <w:rPr>
          <w:rFonts w:ascii="Times New Roman" w:hAnsi="Times New Roman" w:eastAsia="Times New Roman"/>
          <w:b w:val="0"/>
          <w:i w:val="0"/>
          <w:color w:val="000000"/>
          <w:sz w:val="24"/>
        </w:rPr>
        <w:t>The example result selects Version 1 as Champion because it provides stronger churn capture and a smaller recall gap across evaluated age bands, despite Version 2 delivering higher precision. This decision illustrates the central purpose of MLOps: deployment should be based on transparent business-aligned evidence, not only on whether a newly trained model produces a single improved metric.</w:t>
      </w:r>
    </w:p>
    <w:p>
      <w:pPr>
        <w:spacing w:after="100" w:before="0" w:line="259" w:lineRule="auto"/>
      </w:pPr>
      <w:r>
        <w:rPr>
          <w:rFonts w:ascii="Times New Roman" w:hAnsi="Times New Roman" w:eastAsia="Times New Roman"/>
          <w:b w:val="0"/>
          <w:i w:val="0"/>
          <w:color w:val="000000"/>
          <w:sz w:val="24"/>
        </w:rPr>
        <w:t>For enterprise adoption, the next priority is to formalise approved feature use, review thresholds, access controls, monitoring ownership and retraining/rollback procedures within organisational governance standards.</w:t>
      </w: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Appendix A. Model Lifecycle Asset Organisation</w:t>
      </w:r>
    </w:p>
    <w:p>
      <w:pPr>
        <w:spacing w:after="100" w:before="0" w:line="259" w:lineRule="auto"/>
      </w:pPr>
      <w:r>
        <w:rPr>
          <w:rFonts w:ascii="Times New Roman" w:hAnsi="Times New Roman" w:eastAsia="Times New Roman"/>
          <w:b w:val="0"/>
          <w:i w:val="0"/>
          <w:color w:val="000000"/>
          <w:sz w:val="24"/>
        </w:rPr>
        <w:t>The following workspace arrangement shows how development assets can be separated by lifecycle responsibility. It is included as a reference organisation, not as a step-by-step execution guide.</w:t>
      </w:r>
    </w:p>
    <w:p>
      <w:pPr>
        <w:jc w:val="center"/>
      </w:pPr>
      <w:r>
        <w:rPr>
          <w:rFonts w:ascii="Times New Roman" w:hAnsi="Times New Roman" w:eastAsia="Times New Roman"/>
          <w:color w:val="000000"/>
          <w:sz w:val="24"/>
        </w:rPr>
        <w:drawing>
          <wp:inline xmlns:a="http://schemas.openxmlformats.org/drawingml/2006/main" xmlns:pic="http://schemas.openxmlformats.org/drawingml/2006/picture">
            <wp:extent cx="5669280" cy="3323371"/>
            <wp:docPr id="7" name="Picture 7"/>
            <wp:cNvGraphicFramePr>
              <a:graphicFrameLocks noChangeAspect="1"/>
            </wp:cNvGraphicFramePr>
            <a:graphic>
              <a:graphicData uri="http://schemas.openxmlformats.org/drawingml/2006/picture">
                <pic:pic>
                  <pic:nvPicPr>
                    <pic:cNvPr id="0" name="gray_image2.png"/>
                    <pic:cNvPicPr/>
                  </pic:nvPicPr>
                  <pic:blipFill>
                    <a:blip r:embed="rId17"/>
                    <a:stretch>
                      <a:fillRect/>
                    </a:stretch>
                  </pic:blipFill>
                  <pic:spPr>
                    <a:xfrm>
                      <a:off x="0" y="0"/>
                      <a:ext cx="5669280" cy="3323371"/>
                    </a:xfrm>
                    <a:prstGeom prst="rect"/>
                  </pic:spPr>
                </pic:pic>
              </a:graphicData>
            </a:graphic>
          </wp:inline>
        </w:drawing>
      </w:r>
    </w:p>
    <w:p>
      <w:pPr>
        <w:spacing w:after="120" w:before="0" w:line="259" w:lineRule="auto"/>
        <w:jc w:val="center"/>
      </w:pPr>
      <w:r>
        <w:rPr>
          <w:rFonts w:ascii="Times New Roman" w:hAnsi="Times New Roman" w:eastAsia="Times New Roman"/>
          <w:b w:val="0"/>
          <w:i/>
          <w:color w:val="000000"/>
          <w:sz w:val="20"/>
        </w:rPr>
        <w:t>Figure 7. Recommended organisation of governed model lifecycle assets.</w:t>
      </w:r>
    </w:p>
    <w:tbl>
      <w:tblPr>
        <w:tblStyle w:val="TableGrid"/>
        <w:tblW w:type="auto" w:w="0"/>
        <w:jc w:val="center"/>
        <w:tblLayout w:type="fixed"/>
        <w:tblLook w:firstColumn="1" w:firstRow="1" w:lastColumn="0" w:lastRow="0" w:noHBand="0" w:noVBand="1" w:val="04A0"/>
      </w:tblPr>
      <w:tblGrid>
        <w:gridCol w:w="5083"/>
        <w:gridCol w:w="5083"/>
      </w:tblGrid>
      <w:tr>
        <w:tc>
          <w:tcPr>
            <w:tcW w:type="dxa" w:w="3744"/>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Lifecycle asset</w:t>
            </w:r>
          </w:p>
        </w:tc>
        <w:tc>
          <w:tcPr>
            <w:tcW w:type="dxa" w:w="6552"/>
            <w:shd w:fill="D9D9D9"/>
            <w:vAlign w:val="center"/>
          </w:tcPr>
          <w:p>
            <w:pPr>
              <w:spacing w:after="0"/>
            </w:pPr>
            <w:r>
              <w:rPr>
                <w:rFonts w:ascii="Times New Roman" w:hAnsi="Times New Roman" w:eastAsia="Times New Roman"/>
                <w:color w:val="000000"/>
                <w:sz w:val="20"/>
              </w:rPr>
            </w:r>
            <w:r>
              <w:rPr>
                <w:rFonts w:ascii="Times New Roman" w:hAnsi="Times New Roman" w:eastAsia="Times New Roman"/>
                <w:b/>
                <w:color w:val="000000"/>
                <w:sz w:val="20"/>
              </w:rPr>
              <w:t>Primary purpose</w:t>
            </w:r>
          </w:p>
        </w:tc>
      </w:tr>
      <w:tr>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Baseline model development asset</w:t>
            </w:r>
          </w:p>
        </w:tc>
        <w:tc>
          <w:tcPr>
            <w:tcW w:type="dxa" w:w="65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Creates governed split and records Version 1 evidence.</w:t>
            </w:r>
          </w:p>
        </w:tc>
      </w:tr>
      <w:tr>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Candidate model development asset</w:t>
            </w:r>
          </w:p>
        </w:tc>
        <w:tc>
          <w:tcPr>
            <w:tcW w:type="dxa" w:w="65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Evaluates tuned configuration and records Version 2 evidence.</w:t>
            </w:r>
          </w:p>
        </w:tc>
      </w:tr>
      <w:tr>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Performance and fairness validation asset</w:t>
            </w:r>
          </w:p>
        </w:tc>
        <w:tc>
          <w:tcPr>
            <w:tcW w:type="dxa" w:w="65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Produces promotion evidence on identical test records.</w:t>
            </w:r>
          </w:p>
        </w:tc>
      </w:tr>
      <w:tr>
        <w:tc>
          <w:tcPr>
            <w:tcW w:type="dxa" w:w="3744"/>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Promotion and endpoint asset</w:t>
            </w:r>
          </w:p>
        </w:tc>
        <w:tc>
          <w:tcPr>
            <w:tcW w:type="dxa" w:w="6552"/>
            <w:vAlign w:val="center"/>
          </w:tcPr>
          <w:p>
            <w:pPr>
              <w:spacing w:after="0"/>
            </w:pPr>
            <w:r>
              <w:rPr>
                <w:rFonts w:ascii="Times New Roman" w:hAnsi="Times New Roman" w:eastAsia="Times New Roman"/>
                <w:color w:val="000000"/>
                <w:sz w:val="20"/>
              </w:rPr>
            </w:r>
            <w:r>
              <w:rPr>
                <w:rFonts w:ascii="Times New Roman" w:hAnsi="Times New Roman" w:eastAsia="Times New Roman"/>
                <w:color w:val="000000"/>
                <w:sz w:val="20"/>
              </w:rPr>
              <w:t>Applies lifecycle aliases and validates deployment contract.</w:t>
            </w:r>
          </w:p>
        </w:tc>
      </w:tr>
    </w:tbl>
    <w:p>
      <w:pPr>
        <w:spacing w:after="0"/>
      </w:pP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Appendix B. Important Code Snippets Reference</w:t>
      </w:r>
    </w:p>
    <w:p>
      <w:pPr>
        <w:spacing w:after="100" w:before="0" w:line="259" w:lineRule="auto"/>
      </w:pPr>
      <w:r>
        <w:rPr>
          <w:rFonts w:ascii="Times New Roman" w:hAnsi="Times New Roman" w:eastAsia="Times New Roman"/>
          <w:b w:val="0"/>
          <w:i w:val="0"/>
          <w:color w:val="000000"/>
          <w:sz w:val="24"/>
        </w:rPr>
        <w:t>These extracts illustrate the most important implementation concepts without duplicating complete notebooks. Actual deployment code should be reviewed, tested and stored in the approved source repository.</w:t>
      </w:r>
    </w:p>
    <w:p>
      <w:pPr>
        <w:keepNext/>
        <w:spacing w:after="80" w:before="180" w:line="259" w:lineRule="auto"/>
      </w:pPr>
      <w:r>
        <w:rPr>
          <w:rFonts w:ascii="Times New Roman" w:hAnsi="Times New Roman" w:eastAsia="Times New Roman"/>
          <w:b/>
          <w:i w:val="0"/>
          <w:color w:val="000000"/>
          <w:sz w:val="24"/>
        </w:rPr>
        <w:t>B.1 Set Unity Catalog as the MLflow registry</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import mlflow</w:t>
            </w:r>
            <w:r>
              <w:rPr>
                <w:rFonts w:ascii="Times New Roman" w:hAnsi="Times New Roman" w:eastAsia="Times New Roman"/>
                <w:color w:val="000000"/>
                <w:sz w:val="20"/>
              </w:rPr>
              <w:br/>
            </w:r>
            <w:r>
              <w:rPr>
                <w:rFonts w:ascii="Times New Roman" w:hAnsi="Times New Roman" w:eastAsia="Times New Roman"/>
                <w:color w:val="000000"/>
                <w:sz w:val="18"/>
              </w:rPr>
              <w:t>from mlflow.tracking import MlflowClient</w:t>
            </w:r>
            <w:r>
              <w:rPr>
                <w:rFonts w:ascii="Times New Roman" w:hAnsi="Times New Roman" w:eastAsia="Times New Roman"/>
                <w:color w:val="000000"/>
                <w:sz w:val="20"/>
              </w:rPr>
              <w:br/>
            </w:r>
            <w:r>
              <w:rPr>
                <w:rFonts w:ascii="Times New Roman" w:hAnsi="Times New Roman" w:eastAsia="Times New Roman"/>
                <w:color w:val="000000"/>
                <w:sz w:val="18"/>
              </w:rPr>
              <w:t>mlflow.set_registry_uri("databricks-uc")</w:t>
            </w:r>
            <w:r>
              <w:rPr>
                <w:rFonts w:ascii="Times New Roman" w:hAnsi="Times New Roman" w:eastAsia="Times New Roman"/>
                <w:color w:val="000000"/>
                <w:sz w:val="20"/>
              </w:rPr>
              <w:br/>
            </w:r>
            <w:r>
              <w:rPr>
                <w:rFonts w:ascii="Times New Roman" w:hAnsi="Times New Roman" w:eastAsia="Times New Roman"/>
                <w:color w:val="000000"/>
                <w:sz w:val="18"/>
              </w:rPr>
              <w:t>client = MlflowClient()</w:t>
            </w:r>
          </w:p>
        </w:tc>
      </w:tr>
    </w:tbl>
    <w:p>
      <w:pPr>
        <w:spacing w:after="0"/>
      </w:pPr>
    </w:p>
    <w:p>
      <w:pPr>
        <w:keepNext/>
        <w:spacing w:after="80" w:before="180" w:line="259" w:lineRule="auto"/>
      </w:pPr>
      <w:r>
        <w:rPr>
          <w:rFonts w:ascii="Times New Roman" w:hAnsi="Times New Roman" w:eastAsia="Times New Roman"/>
          <w:b/>
          <w:i w:val="0"/>
          <w:color w:val="000000"/>
          <w:sz w:val="24"/>
        </w:rPr>
        <w:t>B.2 Load an approved model alias</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champion_model = mlflow.sklearn.load_model(</w:t>
            </w:r>
            <w:r>
              <w:rPr>
                <w:rFonts w:ascii="Times New Roman" w:hAnsi="Times New Roman" w:eastAsia="Times New Roman"/>
                <w:color w:val="000000"/>
                <w:sz w:val="20"/>
              </w:rPr>
              <w:br/>
            </w:r>
            <w:r>
              <w:rPr>
                <w:rFonts w:ascii="Times New Roman" w:hAnsi="Times New Roman" w:eastAsia="Times New Roman"/>
                <w:color w:val="000000"/>
                <w:sz w:val="18"/>
              </w:rPr>
              <w:t xml:space="preserve">    f"models:/{MODEL_NAME}@Champion"</w:t>
            </w:r>
            <w:r>
              <w:rPr>
                <w:rFonts w:ascii="Times New Roman" w:hAnsi="Times New Roman" w:eastAsia="Times New Roman"/>
                <w:color w:val="000000"/>
                <w:sz w:val="20"/>
              </w:rPr>
              <w:br/>
            </w:r>
            <w:r>
              <w:rPr>
                <w:rFonts w:ascii="Times New Roman" w:hAnsi="Times New Roman" w:eastAsia="Times New Roman"/>
                <w:color w:val="000000"/>
                <w:sz w:val="18"/>
              </w:rPr>
              <w:t>)</w:t>
            </w:r>
          </w:p>
        </w:tc>
      </w:tr>
    </w:tbl>
    <w:p>
      <w:pPr>
        <w:spacing w:after="0"/>
      </w:pPr>
    </w:p>
    <w:p>
      <w:pPr>
        <w:keepNext/>
        <w:spacing w:after="80" w:before="180" w:line="259" w:lineRule="auto"/>
      </w:pPr>
      <w:r>
        <w:rPr>
          <w:rFonts w:ascii="Times New Roman" w:hAnsi="Times New Roman" w:eastAsia="Times New Roman"/>
          <w:b/>
          <w:i w:val="0"/>
          <w:color w:val="000000"/>
          <w:sz w:val="24"/>
        </w:rPr>
        <w:t>B.3 Generate a real-time serving request</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import json</w:t>
            </w:r>
            <w:r>
              <w:rPr>
                <w:rFonts w:ascii="Times New Roman" w:hAnsi="Times New Roman" w:eastAsia="Times New Roman"/>
                <w:color w:val="000000"/>
                <w:sz w:val="20"/>
              </w:rPr>
              <w:br/>
            </w:r>
            <w:r>
              <w:rPr>
                <w:rFonts w:ascii="Times New Roman" w:hAnsi="Times New Roman" w:eastAsia="Times New Roman"/>
                <w:color w:val="000000"/>
                <w:sz w:val="18"/>
              </w:rPr>
              <w:t>payload = {</w:t>
            </w:r>
            <w:r>
              <w:rPr>
                <w:rFonts w:ascii="Times New Roman" w:hAnsi="Times New Roman" w:eastAsia="Times New Roman"/>
                <w:color w:val="000000"/>
                <w:sz w:val="20"/>
              </w:rPr>
              <w:br/>
            </w:r>
            <w:r>
              <w:rPr>
                <w:rFonts w:ascii="Times New Roman" w:hAnsi="Times New Roman" w:eastAsia="Times New Roman"/>
                <w:color w:val="000000"/>
                <w:sz w:val="18"/>
              </w:rPr>
              <w:t xml:space="preserve">    "dataframe_records": json.loads(sample_input.to_json(orient="records"))</w:t>
            </w:r>
            <w:r>
              <w:rPr>
                <w:rFonts w:ascii="Times New Roman" w:hAnsi="Times New Roman" w:eastAsia="Times New Roman"/>
                <w:color w:val="000000"/>
                <w:sz w:val="20"/>
              </w:rPr>
              <w:br/>
            </w:r>
            <w:r>
              <w:rPr>
                <w:rFonts w:ascii="Times New Roman" w:hAnsi="Times New Roman" w:eastAsia="Times New Roman"/>
                <w:color w:val="000000"/>
                <w:sz w:val="18"/>
              </w:rPr>
              <w:t>}</w:t>
            </w:r>
          </w:p>
        </w:tc>
      </w:tr>
    </w:tbl>
    <w:p>
      <w:pPr>
        <w:spacing w:after="0"/>
      </w:pPr>
    </w:p>
    <w:p>
      <w:pPr>
        <w:keepNext/>
        <w:spacing w:after="80" w:before="180" w:line="259" w:lineRule="auto"/>
      </w:pPr>
      <w:r>
        <w:rPr>
          <w:rFonts w:ascii="Times New Roman" w:hAnsi="Times New Roman" w:eastAsia="Times New Roman"/>
          <w:b/>
          <w:i w:val="0"/>
          <w:color w:val="000000"/>
          <w:sz w:val="24"/>
        </w:rPr>
        <w:t>B.4 Fairness gap indicator calculation</w:t>
      </w:r>
    </w:p>
    <w:tbl>
      <w:tblPr>
        <w:tblW w:type="auto" w:w="0"/>
        <w:jc w:val="center"/>
        <w:tblLook w:firstColumn="1" w:firstRow="1" w:lastColumn="0" w:lastRow="0" w:noHBand="0" w:noVBand="1" w:val="04A0"/>
      </w:tblPr>
      <w:tblGrid>
        <w:gridCol w:w="10166"/>
      </w:tblGrid>
      <w:tr>
        <w:tc>
          <w:tcPr>
            <w:tcW w:type="dxa" w:w="10166"/>
            <w:shd w:fill="F3F3F3"/>
            <w:tcBorders>
              <w:top w:sz="4" w:val="single" w:color="BFBFBF"/>
              <w:left w:sz="4" w:val="single" w:color="BFBFBF"/>
              <w:bottom w:sz="4" w:val="single" w:color="BFBFBF"/>
              <w:right w:sz="4" w:val="single" w:color="BFBFBF"/>
            </w:tcBorders>
          </w:tcPr>
          <w:p>
            <w:pPr>
              <w:spacing w:after="0" w:line="240" w:lineRule="auto"/>
            </w:pPr>
            <w:r>
              <w:rPr>
                <w:rFonts w:ascii="Times New Roman" w:hAnsi="Times New Roman" w:eastAsia="Times New Roman"/>
                <w:color w:val="000000"/>
                <w:sz w:val="20"/>
              </w:rPr>
            </w:r>
            <w:r>
              <w:rPr>
                <w:rFonts w:ascii="Times New Roman" w:hAnsi="Times New Roman" w:eastAsia="Times New Roman"/>
                <w:color w:val="000000"/>
                <w:sz w:val="18"/>
              </w:rPr>
              <w:t>disparate_impact_ratio = min(selection_rate) / max(selection_rate)</w:t>
            </w:r>
            <w:r>
              <w:rPr>
                <w:rFonts w:ascii="Times New Roman" w:hAnsi="Times New Roman" w:eastAsia="Times New Roman"/>
                <w:color w:val="000000"/>
                <w:sz w:val="20"/>
              </w:rPr>
              <w:br/>
            </w:r>
            <w:r>
              <w:rPr>
                <w:rFonts w:ascii="Times New Roman" w:hAnsi="Times New Roman" w:eastAsia="Times New Roman"/>
                <w:color w:val="000000"/>
                <w:sz w:val="18"/>
              </w:rPr>
              <w:t>recall_gap = max(recall_by_group) - min(recall_by_group)</w:t>
            </w:r>
            <w:r>
              <w:rPr>
                <w:rFonts w:ascii="Times New Roman" w:hAnsi="Times New Roman" w:eastAsia="Times New Roman"/>
                <w:color w:val="000000"/>
                <w:sz w:val="20"/>
              </w:rPr>
              <w:br/>
            </w:r>
            <w:r>
              <w:rPr>
                <w:rFonts w:ascii="Times New Roman" w:hAnsi="Times New Roman" w:eastAsia="Times New Roman"/>
                <w:color w:val="000000"/>
                <w:sz w:val="18"/>
              </w:rPr>
              <w:t>false_positive_rate_gap = max(fp_rate_by_group) - min(fp_rate_by_group)</w:t>
            </w:r>
          </w:p>
        </w:tc>
      </w:tr>
    </w:tbl>
    <w:p>
      <w:pPr>
        <w:spacing w:after="0"/>
      </w:pPr>
    </w:p>
    <w:p>
      <w:r>
        <w:rPr>
          <w:rFonts w:ascii="Times New Roman" w:hAnsi="Times New Roman" w:eastAsia="Times New Roman"/>
          <w:color w:val="000000"/>
          <w:sz w:val="24"/>
        </w:rPr>
        <w:br w:type="page"/>
      </w:r>
    </w:p>
    <w:p>
      <w:pPr>
        <w:keepNext/>
        <w:spacing w:after="120" w:before="280" w:line="259" w:lineRule="auto"/>
      </w:pPr>
      <w:r>
        <w:rPr>
          <w:rFonts w:ascii="Times New Roman" w:hAnsi="Times New Roman" w:eastAsia="Times New Roman"/>
          <w:b/>
          <w:i w:val="0"/>
          <w:color w:val="000000"/>
          <w:sz w:val="36"/>
        </w:rPr>
        <w:t>Appendix C. References</w:t>
      </w:r>
    </w:p>
    <w:p>
      <w:pPr>
        <w:spacing w:after="100" w:before="0" w:line="259" w:lineRule="auto"/>
      </w:pPr>
      <w:r>
        <w:rPr>
          <w:rFonts w:ascii="Times New Roman" w:hAnsi="Times New Roman" w:eastAsia="Times New Roman"/>
          <w:b w:val="0"/>
          <w:i w:val="0"/>
          <w:color w:val="000000"/>
          <w:sz w:val="24"/>
        </w:rPr>
        <w:t>The following official resources should be reviewed against the target cloud and workspace configuration before production implementation. Titles and URLs are written in full for client readability.</w:t>
      </w:r>
    </w:p>
    <w:p>
      <w:pPr>
        <w:pStyle w:val="ListBullet"/>
        <w:spacing w:after="40"/>
        <w:ind w:left="360" w:hanging="259"/>
      </w:pPr>
      <w:r>
        <w:rPr>
          <w:rFonts w:ascii="Times New Roman" w:hAnsi="Times New Roman" w:eastAsia="Times New Roman"/>
          <w:color w:val="000000"/>
          <w:sz w:val="24"/>
        </w:rPr>
        <w:t>Databricks. Manage model lifecycle in Unity Catalog. https://docs.databricks.com/aws/en/machine-learning/manage-model-lifecycle/</w:t>
      </w:r>
    </w:p>
    <w:p>
      <w:pPr>
        <w:pStyle w:val="ListBullet"/>
        <w:spacing w:after="40"/>
        <w:ind w:left="360" w:hanging="259"/>
      </w:pPr>
      <w:r>
        <w:rPr>
          <w:rFonts w:ascii="Times New Roman" w:hAnsi="Times New Roman" w:eastAsia="Times New Roman"/>
          <w:color w:val="000000"/>
          <w:sz w:val="24"/>
        </w:rPr>
        <w:t>Databricks. What is Unity Catalog? https://docs.databricks.com/aws/en/data-governance/unity-catalog/</w:t>
      </w:r>
    </w:p>
    <w:p>
      <w:pPr>
        <w:pStyle w:val="ListBullet"/>
        <w:spacing w:after="40"/>
        <w:ind w:left="360" w:hanging="259"/>
      </w:pPr>
      <w:r>
        <w:rPr>
          <w:rFonts w:ascii="Times New Roman" w:hAnsi="Times New Roman" w:eastAsia="Times New Roman"/>
          <w:color w:val="000000"/>
          <w:sz w:val="24"/>
        </w:rPr>
        <w:t>Databricks. Deploy models using Model Serving. https://docs.databricks.com/aws/en/machine-learning/model-serving/</w:t>
      </w:r>
    </w:p>
    <w:p>
      <w:pPr>
        <w:pStyle w:val="ListBullet"/>
        <w:spacing w:after="40"/>
        <w:ind w:left="360" w:hanging="259"/>
      </w:pPr>
      <w:r>
        <w:rPr>
          <w:rFonts w:ascii="Times New Roman" w:hAnsi="Times New Roman" w:eastAsia="Times New Roman"/>
          <w:color w:val="000000"/>
          <w:sz w:val="24"/>
        </w:rPr>
        <w:t>Databricks. Monitor served models using Unity AI Gateway-enabled inference tables. https://docs.databricks.com/aws/en/ai-gateway/inference-tables</w:t>
      </w:r>
    </w:p>
    <w:p>
      <w:pPr>
        <w:pStyle w:val="ListBullet"/>
        <w:spacing w:after="40"/>
        <w:ind w:left="360" w:hanging="259"/>
      </w:pPr>
      <w:r>
        <w:rPr>
          <w:rFonts w:ascii="Times New Roman" w:hAnsi="Times New Roman" w:eastAsia="Times New Roman"/>
          <w:color w:val="000000"/>
          <w:sz w:val="24"/>
        </w:rPr>
        <w:t>scikit-learn. LogisticRegression documentation. https://scikit-learn.org/stable/modules/generated/sklearn.linear_model.LogisticRegression.html</w:t>
      </w:r>
    </w:p>
    <w:p>
      <w:pPr>
        <w:pStyle w:val="ListBullet"/>
        <w:spacing w:after="40"/>
        <w:ind w:left="360" w:hanging="259"/>
      </w:pPr>
      <w:r>
        <w:rPr>
          <w:rFonts w:ascii="Times New Roman" w:hAnsi="Times New Roman" w:eastAsia="Times New Roman"/>
          <w:color w:val="000000"/>
          <w:sz w:val="24"/>
        </w:rPr>
        <w:t>scikit-learn. GridSearchCV documentation. https://scikit-learn.org/stable/modules/generated/sklearn.model_selection.GridSearchCV.html</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t xml:space="preserve">Mercer Superannuation use case - Research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000000"/>
        <w:sz w:val="18"/>
      </w:rPr>
      <w:t>MLOps for Retention Analytics using Databricks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for Retention Analytics using Databricks</dc:title>
  <dc:subject>Client-ready research documentation for customer churn prediction</dc:subject>
  <dc:creator>Vignesh Vijay</dc:creator>
  <cp:keywords>MLOps, Databricks, MLflow, Unity Catalog, Retention Analytics, Churn Prediction</cp:keywords>
  <dc:description>generated by python-docx</dc:description>
  <cp:lastModifiedBy/>
  <cp:revision>1</cp:revision>
  <dcterms:created xsi:type="dcterms:W3CDTF">2013-12-23T23:15:00Z</dcterms:created>
  <dcterms:modified xsi:type="dcterms:W3CDTF">2013-12-23T23:15:00Z</dcterms:modified>
  <cp:category/>
</cp:coreProperties>
</file>