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4.2 ML INTEGRATION – CUSTOMER RETENTION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sz w:val="22"/>
        </w:rPr>
        <w:t>The solution uses a machine learning pipeline to identify customers who may be at risk of attrition or disengagement. Historical customer data is used to train a predictive model, and the approved model generates retention risk scores for eligible customers.</w:t>
      </w:r>
    </w:p>
    <w:p>
      <w:pPr>
        <w:pStyle w:val="Heading2"/>
        <w:spacing w:after="60" w:line="276" w:lineRule="auto"/>
      </w:pPr>
      <w:r>
        <w:rPr>
          <w:rFonts w:ascii="Times New Roman" w:hAnsi="Times New Roman" w:eastAsia="Times New Roman"/>
          <w:sz w:val="22"/>
        </w:rPr>
        <w:t>Workflow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Setup &amp; Configuration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Configures required ML libraries and MLflow tracking.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Defines model parameters, features and prediction settings.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Data Ingestion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Loads customer data from &lt;source_table_name&gt;.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Loads historical retention outcome data from &lt;outcome_table_name&gt;.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Performs basic data validation and duplicate removal.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Data Preparation &amp; Feature Engineering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Handles missing or invalid values.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Prepares required model input features from &lt;feature_columns&gt;.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Uses &lt;target_column&gt; as the retention/attrition outcome for model training.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Model Training &amp; Evaluation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Trains classification models using historical data.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Evaluates model performance using metrics such as ROC-AUC, Precision, Recall and F1 Score.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Selects the best-performing model for prediction.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MLflow Tracking &amp; Model Registration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Tracks model runs, parameters and evaluation metrics using MLflow.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Registers the approved model as &lt;registered_model_name&gt;.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Maintains model version details for audit and future deployment.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Customer Risk Scoring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Applies the approved model to eligible customer data.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Generates a retention risk score for each customer.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Categorizes customers as &lt;Low Risk&gt;, &lt;Medium Risk&gt; or &lt;High Risk&gt; based on approved thresholds.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Prediction Output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Saves prediction results to &lt;prediction_output_table&gt;.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Output includes &lt;customer_id&gt;, &lt;risk_score&gt;, &lt;risk_category&gt;, &lt;model_version&gt; and &lt;prediction_date&gt;.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/>
          <w:sz w:val="22"/>
        </w:rPr>
        <w:t>Monitoring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Monitors model performance and prediction trends periodically.</w:t>
      </w:r>
    </w:p>
    <w:p>
      <w:pPr>
        <w:pStyle w:val="ListBullet"/>
        <w:spacing w:after="60" w:line="276" w:lineRule="auto"/>
        <w:ind w:left="360"/>
      </w:pPr>
      <w:r>
        <w:rPr>
          <w:rFonts w:ascii="Times New Roman" w:hAnsi="Times New Roman" w:eastAsia="Times New Roman"/>
          <w:sz w:val="22"/>
        </w:rPr>
        <w:t>Supports model retraining when new validated data becomes available.</w:t>
      </w:r>
    </w:p>
    <w:p>
      <w:pPr>
        <w:pStyle w:val="Heading2"/>
        <w:spacing w:after="60" w:line="276" w:lineRule="auto"/>
      </w:pPr>
      <w:r>
        <w:rPr>
          <w:rFonts w:ascii="Times New Roman" w:hAnsi="Times New Roman" w:eastAsia="Times New Roman"/>
          <w:sz w:val="22"/>
        </w:rPr>
        <w:t>Technologies Used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2"/>
        </w:rPr>
        <w:t>Databricks: Data processing and model development.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2"/>
        </w:rPr>
        <w:t>Spark / Delta Lake: Data preparation and storage.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2"/>
        </w:rPr>
        <w:t>Scikit-learn / XGBoost: Machine learning model training.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2"/>
        </w:rPr>
        <w:t>MLflow: Experiment tracking and model versioning.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sz w:val="22"/>
        </w:rPr>
        <w:t>Unity Catalog: Data and model governance.</w:t>
      </w:r>
    </w:p>
    <w:p>
      <w:pPr>
        <w:pStyle w:val="Heading2"/>
        <w:spacing w:after="60" w:line="276" w:lineRule="auto"/>
      </w:pPr>
      <w:r>
        <w:rPr>
          <w:rFonts w:ascii="Times New Roman" w:hAnsi="Times New Roman" w:eastAsia="Times New Roman"/>
          <w:sz w:val="22"/>
        </w:rPr>
        <w:t>High-Level Flow</w:t>
      </w:r>
    </w:p>
    <w:p>
      <w:pPr>
        <w:spacing w:after="60" w:line="276" w:lineRule="auto"/>
        <w:jc w:val="center"/>
      </w:pPr>
      <w:r>
        <w:rPr>
          <w:rFonts w:ascii="Times New Roman" w:hAnsi="Times New Roman" w:eastAsia="Times New Roman"/>
          <w:sz w:val="22"/>
        </w:rPr>
        <w:drawing>
          <wp:inline xmlns:a="http://schemas.openxmlformats.org/drawingml/2006/main" xmlns:pic="http://schemas.openxmlformats.org/drawingml/2006/picture">
            <wp:extent cx="5669280" cy="7795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retention_high_leve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952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