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Churn Definition and Retention Rate</w:t>
      </w:r>
    </w:p>
    <w:p>
      <w:pPr>
        <w:jc w:val="center"/>
      </w:pPr>
      <w:r>
        <w:rPr>
          <w:rFonts w:ascii="Arial" w:hAnsi="Arial"/>
          <w:b/>
          <w:sz w:val="26"/>
        </w:rPr>
        <w:t>ML Data Exploration - Step 1</w:t>
      </w:r>
    </w:p>
    <w:p/>
    <w:p>
      <w:pPr>
        <w:pStyle w:val="Heading1"/>
      </w:pPr>
      <w:r>
        <w:rPr>
          <w:rFonts w:ascii="Arial" w:hAnsi="Arial"/>
        </w:rPr>
        <w:t>1. Purpose of this Document</w:t>
      </w:r>
    </w:p>
    <w:p>
      <w:pPr>
        <w:spacing w:after="120" w:line="259" w:lineRule="auto"/>
      </w:pPr>
      <w:r>
        <w:rPr>
          <w:rFonts w:ascii="Arial" w:hAnsi="Arial"/>
          <w:sz w:val="21"/>
        </w:rPr>
        <w:t>This document captures the initial understanding of churn definition, retention rate, business objective, and why this confirmation is required before finalizing the ML dataset and feature list.</w:t>
      </w:r>
    </w:p>
    <w:p>
      <w:pPr>
        <w:spacing w:after="120" w:line="259" w:lineRule="auto"/>
      </w:pPr>
      <w:r>
        <w:rPr>
          <w:rFonts w:ascii="Arial" w:hAnsi="Arial"/>
          <w:sz w:val="21"/>
        </w:rPr>
        <w:t>This is prepared as part of the SonataODS data exploration activity for the churn prediction / retention modelling use case.</w:t>
      </w:r>
    </w:p>
    <w:p>
      <w:pPr>
        <w:pStyle w:val="Heading1"/>
      </w:pPr>
      <w:r>
        <w:rPr>
          <w:rFonts w:ascii="Arial" w:hAnsi="Arial"/>
        </w:rPr>
        <w:t>2. Churn Definition - Initial Understanding</w:t>
      </w:r>
    </w:p>
    <w:p>
      <w:pPr>
        <w:spacing w:after="120" w:line="259" w:lineRule="auto"/>
      </w:pPr>
      <w:r>
        <w:rPr>
          <w:rFonts w:ascii="Arial" w:hAnsi="Arial"/>
          <w:sz w:val="21"/>
        </w:rPr>
        <w:t>For this ML activity, churn means a member or account is likely to leave, exit, become inactive, or move money/assets out of the fund.</w:t>
      </w:r>
    </w:p>
    <w:p>
      <w:pPr>
        <w:spacing w:after="120" w:line="259" w:lineRule="auto"/>
      </w:pPr>
      <w:r>
        <w:rPr>
          <w:rFonts w:ascii="Arial" w:hAnsi="Arial"/>
          <w:sz w:val="21"/>
        </w:rPr>
        <w:t>Based on the BRS, churn may be identified using one or more retention-related business events such as:</w:t>
      </w:r>
    </w:p>
    <w:p>
      <w:pPr>
        <w:pStyle w:val="ListBullet"/>
        <w:spacing w:after="60"/>
      </w:pPr>
      <w:r>
        <w:rPr>
          <w:rFonts w:ascii="Arial" w:hAnsi="Arial"/>
          <w:sz w:val="21"/>
        </w:rPr>
        <w:t>Member exit or account exit</w:t>
      </w:r>
    </w:p>
    <w:p>
      <w:pPr>
        <w:pStyle w:val="ListBullet"/>
        <w:spacing w:after="60"/>
      </w:pPr>
      <w:r>
        <w:rPr>
          <w:rFonts w:ascii="Arial" w:hAnsi="Arial"/>
          <w:sz w:val="21"/>
        </w:rPr>
        <w:t>Inactivity exit</w:t>
      </w:r>
    </w:p>
    <w:p>
      <w:pPr>
        <w:pStyle w:val="ListBullet"/>
        <w:spacing w:after="60"/>
      </w:pPr>
      <w:r>
        <w:rPr>
          <w:rFonts w:ascii="Arial" w:hAnsi="Arial"/>
          <w:sz w:val="21"/>
        </w:rPr>
        <w:t>Full rollover out of the fund</w:t>
      </w:r>
    </w:p>
    <w:p>
      <w:pPr>
        <w:pStyle w:val="ListBullet"/>
        <w:spacing w:after="60"/>
      </w:pPr>
      <w:r>
        <w:rPr>
          <w:rFonts w:ascii="Arial" w:hAnsi="Arial"/>
          <w:sz w:val="21"/>
        </w:rPr>
        <w:t>High financial outflow from the fund</w:t>
      </w:r>
    </w:p>
    <w:p>
      <w:pPr>
        <w:pStyle w:val="ListBullet"/>
        <w:spacing w:after="60"/>
      </w:pPr>
      <w:r>
        <w:rPr>
          <w:rFonts w:ascii="Arial" w:hAnsi="Arial"/>
          <w:sz w:val="21"/>
        </w:rPr>
        <w:t>Reduction or decline in member/account value</w:t>
      </w:r>
    </w:p>
    <w:p>
      <w:pPr>
        <w:spacing w:after="120" w:line="259" w:lineRule="auto"/>
      </w:pPr>
      <w:r>
        <w:rPr>
          <w:rFonts w:ascii="Arial" w:hAnsi="Arial"/>
          <w:b/>
          <w:sz w:val="21"/>
        </w:rPr>
        <w:t>Important:</w:t>
      </w:r>
      <w:r>
        <w:rPr>
          <w:rFonts w:ascii="Arial" w:hAnsi="Arial"/>
          <w:sz w:val="21"/>
        </w:rPr>
        <w:t xml:space="preserve"> The final churn definition must be confirmed by business before creating the target variable for the ML model.</w:t>
      </w:r>
    </w:p>
    <w:tbl>
      <w:tblPr>
        <w:tblStyle w:val="TableGrid"/>
        <w:tblW w:type="auto" w:w="0"/>
        <w:jc w:val="center"/>
        <w:tblLook w:firstColumn="1" w:firstRow="1" w:lastColumn="0" w:lastRow="0" w:noHBand="0" w:noVBand="1" w:val="04A0"/>
      </w:tblPr>
      <w:tblGrid>
        <w:gridCol w:w="5040"/>
        <w:gridCol w:w="5040"/>
      </w:tblGrid>
      <w:tr>
        <w:tc>
          <w:tcPr>
            <w:tcW w:type="dxa" w:w="3888"/>
            <w:shd w:fill="D9EAF7"/>
            <w:vAlign w:val="center"/>
          </w:tcPr>
          <w:p>
            <w:r/>
            <w:r>
              <w:rPr>
                <w:rFonts w:ascii="Arial" w:hAnsi="Arial"/>
                <w:b/>
                <w:sz w:val="20"/>
              </w:rPr>
              <w:t>Example Scenario</w:t>
            </w:r>
          </w:p>
        </w:tc>
        <w:tc>
          <w:tcPr>
            <w:tcW w:type="dxa" w:w="6048"/>
            <w:shd w:fill="D9EAF7"/>
            <w:vAlign w:val="center"/>
          </w:tcPr>
          <w:p>
            <w:r/>
            <w:r>
              <w:rPr>
                <w:rFonts w:ascii="Arial" w:hAnsi="Arial"/>
                <w:b/>
                <w:sz w:val="20"/>
              </w:rPr>
              <w:t>ML Understanding</w:t>
            </w:r>
          </w:p>
        </w:tc>
      </w:tr>
      <w:tr>
        <w:tc>
          <w:tcPr>
            <w:tcW w:type="dxa" w:w="3888"/>
            <w:vAlign w:val="top"/>
          </w:tcPr>
          <w:p>
            <w:r/>
            <w:r>
              <w:rPr>
                <w:rFonts w:ascii="Arial" w:hAnsi="Arial"/>
                <w:b w:val="0"/>
                <w:sz w:val="20"/>
              </w:rPr>
              <w:t>Account is active and contributions continue</w:t>
            </w:r>
          </w:p>
        </w:tc>
        <w:tc>
          <w:tcPr>
            <w:tcW w:type="dxa" w:w="6048"/>
            <w:vAlign w:val="top"/>
          </w:tcPr>
          <w:p>
            <w:r/>
            <w:r>
              <w:rPr>
                <w:rFonts w:ascii="Arial" w:hAnsi="Arial"/>
                <w:b w:val="0"/>
                <w:sz w:val="20"/>
              </w:rPr>
              <w:t>Retained / Not churned</w:t>
            </w:r>
          </w:p>
        </w:tc>
      </w:tr>
      <w:tr>
        <w:tc>
          <w:tcPr>
            <w:tcW w:type="dxa" w:w="3888"/>
            <w:vAlign w:val="top"/>
          </w:tcPr>
          <w:p>
            <w:r/>
            <w:r>
              <w:rPr>
                <w:rFonts w:ascii="Arial" w:hAnsi="Arial"/>
                <w:b w:val="0"/>
                <w:sz w:val="20"/>
              </w:rPr>
              <w:t>Account is closed or exited</w:t>
            </w:r>
          </w:p>
        </w:tc>
        <w:tc>
          <w:tcPr>
            <w:tcW w:type="dxa" w:w="6048"/>
            <w:vAlign w:val="top"/>
          </w:tcPr>
          <w:p>
            <w:r/>
            <w:r>
              <w:rPr>
                <w:rFonts w:ascii="Arial" w:hAnsi="Arial"/>
                <w:b w:val="0"/>
                <w:sz w:val="20"/>
              </w:rPr>
              <w:t>Possible churn</w:t>
            </w:r>
          </w:p>
        </w:tc>
      </w:tr>
      <w:tr>
        <w:tc>
          <w:tcPr>
            <w:tcW w:type="dxa" w:w="3888"/>
            <w:vAlign w:val="top"/>
          </w:tcPr>
          <w:p>
            <w:r/>
            <w:r>
              <w:rPr>
                <w:rFonts w:ascii="Arial" w:hAnsi="Arial"/>
                <w:b w:val="0"/>
                <w:sz w:val="20"/>
              </w:rPr>
              <w:t>Full balance rolled out to another provider</w:t>
            </w:r>
          </w:p>
        </w:tc>
        <w:tc>
          <w:tcPr>
            <w:tcW w:type="dxa" w:w="6048"/>
            <w:vAlign w:val="top"/>
          </w:tcPr>
          <w:p>
            <w:r/>
            <w:r>
              <w:rPr>
                <w:rFonts w:ascii="Arial" w:hAnsi="Arial"/>
                <w:b w:val="0"/>
                <w:sz w:val="20"/>
              </w:rPr>
              <w:t>Possible churn</w:t>
            </w:r>
          </w:p>
        </w:tc>
      </w:tr>
      <w:tr>
        <w:tc>
          <w:tcPr>
            <w:tcW w:type="dxa" w:w="3888"/>
            <w:vAlign w:val="top"/>
          </w:tcPr>
          <w:p>
            <w:r/>
            <w:r>
              <w:rPr>
                <w:rFonts w:ascii="Arial" w:hAnsi="Arial"/>
                <w:b w:val="0"/>
                <w:sz w:val="20"/>
              </w:rPr>
              <w:t>Partial amount rolled out but account still active</w:t>
            </w:r>
          </w:p>
        </w:tc>
        <w:tc>
          <w:tcPr>
            <w:tcW w:type="dxa" w:w="6048"/>
            <w:vAlign w:val="top"/>
          </w:tcPr>
          <w:p>
            <w:r/>
            <w:r>
              <w:rPr>
                <w:rFonts w:ascii="Arial" w:hAnsi="Arial"/>
                <w:b w:val="0"/>
                <w:sz w:val="20"/>
              </w:rPr>
              <w:t>Churn risk, not necessarily churn</w:t>
            </w:r>
          </w:p>
        </w:tc>
      </w:tr>
      <w:tr>
        <w:tc>
          <w:tcPr>
            <w:tcW w:type="dxa" w:w="3888"/>
            <w:vAlign w:val="top"/>
          </w:tcPr>
          <w:p>
            <w:r/>
            <w:r>
              <w:rPr>
                <w:rFonts w:ascii="Arial" w:hAnsi="Arial"/>
                <w:b w:val="0"/>
                <w:sz w:val="20"/>
              </w:rPr>
              <w:t>No activity for a long period</w:t>
            </w:r>
          </w:p>
        </w:tc>
        <w:tc>
          <w:tcPr>
            <w:tcW w:type="dxa" w:w="6048"/>
            <w:vAlign w:val="top"/>
          </w:tcPr>
          <w:p>
            <w:r/>
            <w:r>
              <w:rPr>
                <w:rFonts w:ascii="Arial" w:hAnsi="Arial"/>
                <w:b w:val="0"/>
                <w:sz w:val="20"/>
              </w:rPr>
              <w:t>Possible inactivity risk; needs business confirmation</w:t>
            </w:r>
          </w:p>
        </w:tc>
      </w:tr>
    </w:tbl>
    <w:p>
      <w:pPr>
        <w:pStyle w:val="Heading1"/>
      </w:pPr>
      <w:r>
        <w:rPr>
          <w:rFonts w:ascii="Arial" w:hAnsi="Arial"/>
        </w:rPr>
        <w:t>3. Retention Rate Reference from BRS</w:t>
      </w:r>
    </w:p>
    <w:p>
      <w:pPr>
        <w:spacing w:after="120" w:line="259" w:lineRule="auto"/>
      </w:pPr>
      <w:r>
        <w:rPr>
          <w:rFonts w:ascii="Arial" w:hAnsi="Arial"/>
          <w:sz w:val="21"/>
        </w:rPr>
        <w:t>As per the BRS, retention rate is a core metric for the retention modelling and analytics use case.</w:t>
      </w:r>
    </w:p>
    <w:tbl>
      <w:tblPr>
        <w:tblStyle w:val="TableGrid"/>
        <w:tblW w:type="auto" w:w="0"/>
        <w:jc w:val="center"/>
        <w:tblLook w:firstColumn="1" w:firstRow="1" w:lastColumn="0" w:lastRow="0" w:noHBand="0" w:noVBand="1" w:val="04A0"/>
      </w:tblPr>
      <w:tblGrid>
        <w:gridCol w:w="5040"/>
        <w:gridCol w:w="5040"/>
      </w:tblGrid>
      <w:tr>
        <w:tc>
          <w:tcPr>
            <w:tcW w:type="dxa" w:w="3744"/>
            <w:shd w:fill="D9EAF7"/>
            <w:vAlign w:val="center"/>
          </w:tcPr>
          <w:p>
            <w:r/>
            <w:r>
              <w:rPr>
                <w:rFonts w:ascii="Arial" w:hAnsi="Arial"/>
                <w:b/>
                <w:sz w:val="20"/>
              </w:rPr>
              <w:t>Metric</w:t>
            </w:r>
          </w:p>
        </w:tc>
        <w:tc>
          <w:tcPr>
            <w:tcW w:type="dxa" w:w="6192"/>
            <w:shd w:fill="D9EAF7"/>
            <w:vAlign w:val="center"/>
          </w:tcPr>
          <w:p>
            <w:r/>
            <w:r>
              <w:rPr>
                <w:rFonts w:ascii="Arial" w:hAnsi="Arial"/>
                <w:b/>
                <w:sz w:val="20"/>
              </w:rPr>
              <w:t>Simple Meaning</w:t>
            </w:r>
          </w:p>
        </w:tc>
      </w:tr>
      <w:tr>
        <w:tc>
          <w:tcPr>
            <w:tcW w:type="dxa" w:w="3744"/>
            <w:vAlign w:val="top"/>
          </w:tcPr>
          <w:p>
            <w:r/>
            <w:r>
              <w:rPr>
                <w:rFonts w:ascii="Arial" w:hAnsi="Arial"/>
                <w:b w:val="0"/>
                <w:sz w:val="20"/>
              </w:rPr>
              <w:t>Retention Rate (Member)</w:t>
            </w:r>
          </w:p>
        </w:tc>
        <w:tc>
          <w:tcPr>
            <w:tcW w:type="dxa" w:w="6192"/>
            <w:vAlign w:val="top"/>
          </w:tcPr>
          <w:p>
            <w:r/>
            <w:r>
              <w:rPr>
                <w:rFonts w:ascii="Arial" w:hAnsi="Arial"/>
                <w:b w:val="0"/>
                <w:sz w:val="20"/>
              </w:rPr>
              <w:t>Percentage of members retained over a rolling 12-month period</w:t>
            </w:r>
          </w:p>
        </w:tc>
      </w:tr>
      <w:tr>
        <w:tc>
          <w:tcPr>
            <w:tcW w:type="dxa" w:w="3744"/>
            <w:vAlign w:val="top"/>
          </w:tcPr>
          <w:p>
            <w:r/>
            <w:r>
              <w:rPr>
                <w:rFonts w:ascii="Arial" w:hAnsi="Arial"/>
                <w:b w:val="0"/>
                <w:sz w:val="20"/>
              </w:rPr>
              <w:t>Retention Rate (FUM)</w:t>
            </w:r>
          </w:p>
        </w:tc>
        <w:tc>
          <w:tcPr>
            <w:tcW w:type="dxa" w:w="6192"/>
            <w:vAlign w:val="top"/>
          </w:tcPr>
          <w:p>
            <w:r/>
            <w:r>
              <w:rPr>
                <w:rFonts w:ascii="Arial" w:hAnsi="Arial"/>
                <w:b w:val="0"/>
                <w:sz w:val="20"/>
              </w:rPr>
              <w:t>Percentage of Funds Under Management retained over a rolling 12-month period</w:t>
            </w:r>
          </w:p>
        </w:tc>
      </w:tr>
    </w:tbl>
    <w:p>
      <w:pPr>
        <w:spacing w:after="120" w:line="259" w:lineRule="auto"/>
      </w:pPr>
      <w:r>
        <w:rPr>
          <w:rFonts w:ascii="Arial" w:hAnsi="Arial"/>
          <w:b/>
          <w:sz w:val="21"/>
        </w:rPr>
        <w:t>Simple interpretation:</w:t>
      </w:r>
      <w:r>
        <w:rPr>
          <w:rFonts w:ascii="Arial" w:hAnsi="Arial"/>
          <w:sz w:val="21"/>
        </w:rPr>
        <w:t xml:space="preserve"> Retention means the member/account continues with the fund. Churn means the member/account is not retained or is at risk of not being retained.</w:t>
      </w:r>
    </w:p>
    <w:p>
      <w:pPr>
        <w:pStyle w:val="Heading1"/>
      </w:pPr>
      <w:r>
        <w:rPr>
          <w:rFonts w:ascii="Arial" w:hAnsi="Arial"/>
        </w:rPr>
        <w:t>4. Business Objective</w:t>
      </w:r>
    </w:p>
    <w:p>
      <w:pPr>
        <w:spacing w:after="120" w:line="259" w:lineRule="auto"/>
      </w:pPr>
      <w:r>
        <w:rPr>
          <w:rFonts w:ascii="Arial" w:hAnsi="Arial"/>
          <w:sz w:val="21"/>
        </w:rPr>
        <w:t>The business objective is to improve member retention and reduce avoidable exits or outflows from the fund.</w:t>
      </w:r>
    </w:p>
    <w:p>
      <w:pPr>
        <w:spacing w:after="120" w:line="259" w:lineRule="auto"/>
      </w:pPr>
      <w:r>
        <w:rPr>
          <w:rFonts w:ascii="Arial" w:hAnsi="Arial"/>
          <w:sz w:val="21"/>
        </w:rPr>
        <w:t>From the ML perspective, the objective is to identify members/accounts that may be at risk of churn so the business can take timely retention actions.</w:t>
      </w:r>
    </w:p>
    <w:p>
      <w:pPr>
        <w:spacing w:after="120" w:line="259" w:lineRule="auto"/>
      </w:pPr>
      <w:r>
        <w:rPr>
          <w:rFonts w:ascii="Arial" w:hAnsi="Arial"/>
          <w:sz w:val="21"/>
        </w:rPr>
        <w:t>The ML model should support the business by helping to:</w:t>
      </w:r>
    </w:p>
    <w:p>
      <w:pPr>
        <w:pStyle w:val="ListBullet"/>
        <w:spacing w:after="60"/>
      </w:pPr>
      <w:r>
        <w:rPr>
          <w:rFonts w:ascii="Arial" w:hAnsi="Arial"/>
          <w:sz w:val="21"/>
        </w:rPr>
        <w:t>Identify possible churn or retention-risk members/accounts</w:t>
      </w:r>
    </w:p>
    <w:p>
      <w:pPr>
        <w:pStyle w:val="ListBullet"/>
        <w:spacing w:after="60"/>
      </w:pPr>
      <w:r>
        <w:rPr>
          <w:rFonts w:ascii="Arial" w:hAnsi="Arial"/>
          <w:sz w:val="21"/>
        </w:rPr>
        <w:t>Understand important churn drivers</w:t>
      </w:r>
    </w:p>
    <w:p>
      <w:pPr>
        <w:pStyle w:val="ListBullet"/>
        <w:spacing w:after="60"/>
      </w:pPr>
      <w:r>
        <w:rPr>
          <w:rFonts w:ascii="Arial" w:hAnsi="Arial"/>
          <w:sz w:val="21"/>
        </w:rPr>
        <w:t>Support retention actions before the member/account exits</w:t>
      </w:r>
    </w:p>
    <w:p>
      <w:pPr>
        <w:pStyle w:val="ListBullet"/>
        <w:spacing w:after="60"/>
      </w:pPr>
      <w:r>
        <w:rPr>
          <w:rFonts w:ascii="Arial" w:hAnsi="Arial"/>
          <w:sz w:val="21"/>
        </w:rPr>
        <w:t>Support reporting and dashboards for retention KPIs</w:t>
      </w:r>
    </w:p>
    <w:p>
      <w:pPr>
        <w:pStyle w:val="ListBullet"/>
        <w:spacing w:after="60"/>
      </w:pPr>
      <w:r>
        <w:rPr>
          <w:rFonts w:ascii="Arial" w:hAnsi="Arial"/>
          <w:sz w:val="21"/>
        </w:rPr>
        <w:t>Improve decision-making for strategy, finance, portfolio, retention, communications, and analytics teams</w:t>
      </w:r>
    </w:p>
    <w:p>
      <w:pPr>
        <w:pStyle w:val="Heading1"/>
      </w:pPr>
      <w:r>
        <w:rPr>
          <w:rFonts w:ascii="Arial" w:hAnsi="Arial"/>
        </w:rPr>
        <w:t>5. Why This Step is Needed</w:t>
      </w:r>
    </w:p>
    <w:p>
      <w:pPr>
        <w:spacing w:after="120" w:line="259" w:lineRule="auto"/>
      </w:pPr>
      <w:r>
        <w:rPr>
          <w:rFonts w:ascii="Arial" w:hAnsi="Arial"/>
          <w:sz w:val="21"/>
        </w:rPr>
        <w:t>This step is required because the churn definition becomes the target variable for the ML model.</w:t>
      </w:r>
    </w:p>
    <w:p>
      <w:pPr>
        <w:spacing w:after="120" w:line="259" w:lineRule="auto"/>
      </w:pPr>
      <w:r>
        <w:rPr>
          <w:rFonts w:ascii="Arial" w:hAnsi="Arial"/>
          <w:sz w:val="21"/>
        </w:rPr>
        <w:t>If churn is not clearly defined, the model may predict the wrong outcome. For example, it may predict inactivity instead of actual account exit, or treat partial rollover as churn even though the account is still active.</w:t>
      </w:r>
    </w:p>
    <w:tbl>
      <w:tblPr>
        <w:tblStyle w:val="TableGrid"/>
        <w:tblW w:type="auto" w:w="0"/>
        <w:jc w:val="center"/>
        <w:tblLook w:firstColumn="1" w:firstRow="1" w:lastColumn="0" w:lastRow="0" w:noHBand="0" w:noVBand="1" w:val="04A0"/>
      </w:tblPr>
      <w:tblGrid>
        <w:gridCol w:w="5040"/>
        <w:gridCol w:w="5040"/>
      </w:tblGrid>
      <w:tr>
        <w:tc>
          <w:tcPr>
            <w:tcW w:type="dxa" w:w="4320"/>
            <w:shd w:fill="D9EAF7"/>
            <w:vAlign w:val="center"/>
          </w:tcPr>
          <w:p>
            <w:r/>
            <w:r>
              <w:rPr>
                <w:rFonts w:ascii="Arial" w:hAnsi="Arial"/>
                <w:b/>
                <w:sz w:val="20"/>
              </w:rPr>
              <w:t>Without Confirmation</w:t>
            </w:r>
          </w:p>
        </w:tc>
        <w:tc>
          <w:tcPr>
            <w:tcW w:type="dxa" w:w="5616"/>
            <w:shd w:fill="D9EAF7"/>
            <w:vAlign w:val="center"/>
          </w:tcPr>
          <w:p>
            <w:r/>
            <w:r>
              <w:rPr>
                <w:rFonts w:ascii="Arial" w:hAnsi="Arial"/>
                <w:b/>
                <w:sz w:val="20"/>
              </w:rPr>
              <w:t>Possible Problem</w:t>
            </w:r>
          </w:p>
        </w:tc>
      </w:tr>
      <w:tr>
        <w:tc>
          <w:tcPr>
            <w:tcW w:type="dxa" w:w="4320"/>
            <w:vAlign w:val="top"/>
          </w:tcPr>
          <w:p>
            <w:r/>
            <w:r>
              <w:rPr>
                <w:rFonts w:ascii="Arial" w:hAnsi="Arial"/>
                <w:b w:val="0"/>
                <w:sz w:val="20"/>
              </w:rPr>
              <w:t>No clear churn definition</w:t>
            </w:r>
          </w:p>
        </w:tc>
        <w:tc>
          <w:tcPr>
            <w:tcW w:type="dxa" w:w="5616"/>
            <w:vAlign w:val="top"/>
          </w:tcPr>
          <w:p>
            <w:r/>
            <w:r>
              <w:rPr>
                <w:rFonts w:ascii="Arial" w:hAnsi="Arial"/>
                <w:b w:val="0"/>
                <w:sz w:val="20"/>
              </w:rPr>
              <w:t>Wrong target variable may be created</w:t>
            </w:r>
          </w:p>
        </w:tc>
      </w:tr>
      <w:tr>
        <w:tc>
          <w:tcPr>
            <w:tcW w:type="dxa" w:w="4320"/>
            <w:vAlign w:val="top"/>
          </w:tcPr>
          <w:p>
            <w:r/>
            <w:r>
              <w:rPr>
                <w:rFonts w:ascii="Arial" w:hAnsi="Arial"/>
                <w:b w:val="0"/>
                <w:sz w:val="20"/>
              </w:rPr>
              <w:t>No member/account level confirmation</w:t>
            </w:r>
          </w:p>
        </w:tc>
        <w:tc>
          <w:tcPr>
            <w:tcW w:type="dxa" w:w="5616"/>
            <w:vAlign w:val="top"/>
          </w:tcPr>
          <w:p>
            <w:r/>
            <w:r>
              <w:rPr>
                <w:rFonts w:ascii="Arial" w:hAnsi="Arial"/>
                <w:b w:val="0"/>
                <w:sz w:val="20"/>
              </w:rPr>
              <w:t>Final dataset grain may be wrong</w:t>
            </w:r>
          </w:p>
        </w:tc>
      </w:tr>
      <w:tr>
        <w:tc>
          <w:tcPr>
            <w:tcW w:type="dxa" w:w="4320"/>
            <w:vAlign w:val="top"/>
          </w:tcPr>
          <w:p>
            <w:r/>
            <w:r>
              <w:rPr>
                <w:rFonts w:ascii="Arial" w:hAnsi="Arial"/>
                <w:b w:val="0"/>
                <w:sz w:val="20"/>
              </w:rPr>
              <w:t>No retention period confirmation</w:t>
            </w:r>
          </w:p>
        </w:tc>
        <w:tc>
          <w:tcPr>
            <w:tcW w:type="dxa" w:w="5616"/>
            <w:vAlign w:val="top"/>
          </w:tcPr>
          <w:p>
            <w:r/>
            <w:r>
              <w:rPr>
                <w:rFonts w:ascii="Arial" w:hAnsi="Arial"/>
                <w:b w:val="0"/>
                <w:sz w:val="20"/>
              </w:rPr>
              <w:t>Retention rate may not match BRS or dashboard logic</w:t>
            </w:r>
          </w:p>
        </w:tc>
      </w:tr>
      <w:tr>
        <w:tc>
          <w:tcPr>
            <w:tcW w:type="dxa" w:w="4320"/>
            <w:vAlign w:val="top"/>
          </w:tcPr>
          <w:p>
            <w:r/>
            <w:r>
              <w:rPr>
                <w:rFonts w:ascii="Arial" w:hAnsi="Arial"/>
                <w:b w:val="0"/>
                <w:sz w:val="20"/>
              </w:rPr>
              <w:t>No churn date confirmation</w:t>
            </w:r>
          </w:p>
        </w:tc>
        <w:tc>
          <w:tcPr>
            <w:tcW w:type="dxa" w:w="5616"/>
            <w:vAlign w:val="top"/>
          </w:tcPr>
          <w:p>
            <w:r/>
            <w:r>
              <w:rPr>
                <w:rFonts w:ascii="Arial" w:hAnsi="Arial"/>
                <w:b w:val="0"/>
                <w:sz w:val="20"/>
              </w:rPr>
              <w:t>Historical training data may be incorrectly labelled</w:t>
            </w:r>
          </w:p>
        </w:tc>
      </w:tr>
      <w:tr>
        <w:tc>
          <w:tcPr>
            <w:tcW w:type="dxa" w:w="4320"/>
            <w:vAlign w:val="top"/>
          </w:tcPr>
          <w:p>
            <w:r/>
            <w:r>
              <w:rPr>
                <w:rFonts w:ascii="Arial" w:hAnsi="Arial"/>
                <w:b w:val="0"/>
                <w:sz w:val="20"/>
              </w:rPr>
              <w:t>No rollover/outflow treatment confirmation</w:t>
            </w:r>
          </w:p>
        </w:tc>
        <w:tc>
          <w:tcPr>
            <w:tcW w:type="dxa" w:w="5616"/>
            <w:vAlign w:val="top"/>
          </w:tcPr>
          <w:p>
            <w:r/>
            <w:r>
              <w:rPr>
                <w:rFonts w:ascii="Arial" w:hAnsi="Arial"/>
                <w:b w:val="0"/>
                <w:sz w:val="20"/>
              </w:rPr>
              <w:t>Model may confuse churn with risk signals</w:t>
            </w:r>
          </w:p>
        </w:tc>
      </w:tr>
    </w:tbl>
    <w:p>
      <w:pPr>
        <w:spacing w:after="120" w:line="259" w:lineRule="auto"/>
      </w:pPr>
      <w:r>
        <w:rPr>
          <w:rFonts w:ascii="Arial" w:hAnsi="Arial"/>
          <w:b/>
          <w:sz w:val="21"/>
        </w:rPr>
        <w:t>Initial data exploration</w:t>
      </w:r>
      <w:r>
        <w:rPr>
          <w:rFonts w:ascii="Arial" w:hAnsi="Arial"/>
          <w:sz w:val="21"/>
        </w:rPr>
        <w:t xml:space="preserve"> can continue using BRS-based assumptions. However, final target variable, final feature list, and model training should be done only after business confirmation.</w:t>
      </w:r>
    </w:p>
    <w:p>
      <w:pPr>
        <w:pStyle w:val="Heading1"/>
      </w:pPr>
      <w:r>
        <w:rPr>
          <w:rFonts w:ascii="Arial" w:hAnsi="Arial"/>
        </w:rPr>
        <w:t>6. Questions to Confirm with Business / BA / Product Owner</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D9EAF7"/>
            <w:vAlign w:val="center"/>
          </w:tcPr>
          <w:p>
            <w:r/>
            <w:r>
              <w:rPr>
                <w:rFonts w:ascii="Arial" w:hAnsi="Arial"/>
                <w:b/>
                <w:sz w:val="20"/>
              </w:rPr>
              <w:t>#</w:t>
            </w:r>
          </w:p>
        </w:tc>
        <w:tc>
          <w:tcPr>
            <w:tcW w:type="dxa" w:w="6048"/>
            <w:shd w:fill="D9EAF7"/>
            <w:vAlign w:val="center"/>
          </w:tcPr>
          <w:p>
            <w:r/>
            <w:r>
              <w:rPr>
                <w:rFonts w:ascii="Arial" w:hAnsi="Arial"/>
                <w:b/>
                <w:sz w:val="20"/>
              </w:rPr>
              <w:t>Question</w:t>
            </w:r>
          </w:p>
        </w:tc>
        <w:tc>
          <w:tcPr>
            <w:tcW w:type="dxa" w:w="3312"/>
            <w:shd w:fill="D9EAF7"/>
            <w:vAlign w:val="center"/>
          </w:tcPr>
          <w:p>
            <w:r/>
            <w:r>
              <w:rPr>
                <w:rFonts w:ascii="Arial" w:hAnsi="Arial"/>
                <w:b/>
                <w:sz w:val="20"/>
              </w:rPr>
              <w:t>Why Needed</w:t>
            </w:r>
          </w:p>
        </w:tc>
      </w:tr>
      <w:tr>
        <w:tc>
          <w:tcPr>
            <w:tcW w:type="dxa" w:w="576"/>
            <w:vAlign w:val="top"/>
          </w:tcPr>
          <w:p>
            <w:r/>
            <w:r>
              <w:rPr>
                <w:rFonts w:ascii="Arial" w:hAnsi="Arial"/>
                <w:b w:val="0"/>
                <w:sz w:val="20"/>
              </w:rPr>
              <w:t>1</w:t>
            </w:r>
          </w:p>
        </w:tc>
        <w:tc>
          <w:tcPr>
            <w:tcW w:type="dxa" w:w="6048"/>
            <w:vAlign w:val="top"/>
          </w:tcPr>
          <w:p>
            <w:r/>
            <w:r>
              <w:rPr>
                <w:rFonts w:ascii="Arial" w:hAnsi="Arial"/>
                <w:b w:val="0"/>
                <w:sz w:val="20"/>
              </w:rPr>
              <w:t>What is the exact churn definition for this ML model?</w:t>
            </w:r>
          </w:p>
        </w:tc>
        <w:tc>
          <w:tcPr>
            <w:tcW w:type="dxa" w:w="3312"/>
            <w:vAlign w:val="top"/>
          </w:tcPr>
          <w:p>
            <w:r/>
            <w:r>
              <w:rPr>
                <w:rFonts w:ascii="Arial" w:hAnsi="Arial"/>
                <w:b w:val="0"/>
                <w:sz w:val="20"/>
              </w:rPr>
              <w:t>To define the target variable.</w:t>
            </w:r>
          </w:p>
        </w:tc>
      </w:tr>
      <w:tr>
        <w:tc>
          <w:tcPr>
            <w:tcW w:type="dxa" w:w="576"/>
            <w:vAlign w:val="top"/>
          </w:tcPr>
          <w:p>
            <w:r/>
            <w:r>
              <w:rPr>
                <w:rFonts w:ascii="Arial" w:hAnsi="Arial"/>
                <w:b w:val="0"/>
                <w:sz w:val="20"/>
              </w:rPr>
              <w:t>2</w:t>
            </w:r>
          </w:p>
        </w:tc>
        <w:tc>
          <w:tcPr>
            <w:tcW w:type="dxa" w:w="6048"/>
            <w:vAlign w:val="top"/>
          </w:tcPr>
          <w:p>
            <w:r/>
            <w:r>
              <w:rPr>
                <w:rFonts w:ascii="Arial" w:hAnsi="Arial"/>
                <w:b w:val="0"/>
                <w:sz w:val="20"/>
              </w:rPr>
              <w:t>Is churn measured at member level, account level, or both?</w:t>
            </w:r>
          </w:p>
        </w:tc>
        <w:tc>
          <w:tcPr>
            <w:tcW w:type="dxa" w:w="3312"/>
            <w:vAlign w:val="top"/>
          </w:tcPr>
          <w:p>
            <w:r/>
            <w:r>
              <w:rPr>
                <w:rFonts w:ascii="Arial" w:hAnsi="Arial"/>
                <w:b w:val="0"/>
                <w:sz w:val="20"/>
              </w:rPr>
              <w:t>To decide the final dataset grain.</w:t>
            </w:r>
          </w:p>
        </w:tc>
      </w:tr>
      <w:tr>
        <w:tc>
          <w:tcPr>
            <w:tcW w:type="dxa" w:w="576"/>
            <w:vAlign w:val="top"/>
          </w:tcPr>
          <w:p>
            <w:r/>
            <w:r>
              <w:rPr>
                <w:rFonts w:ascii="Arial" w:hAnsi="Arial"/>
                <w:b w:val="0"/>
                <w:sz w:val="20"/>
              </w:rPr>
              <w:t>3</w:t>
            </w:r>
          </w:p>
        </w:tc>
        <w:tc>
          <w:tcPr>
            <w:tcW w:type="dxa" w:w="6048"/>
            <w:vAlign w:val="top"/>
          </w:tcPr>
          <w:p>
            <w:r/>
            <w:r>
              <w:rPr>
                <w:rFonts w:ascii="Arial" w:hAnsi="Arial"/>
                <w:b w:val="0"/>
                <w:sz w:val="20"/>
              </w:rPr>
              <w:t>Should churn mean account exit, member exit, inactivity exit, full rollover out, or financial outflow?</w:t>
            </w:r>
          </w:p>
        </w:tc>
        <w:tc>
          <w:tcPr>
            <w:tcW w:type="dxa" w:w="3312"/>
            <w:vAlign w:val="top"/>
          </w:tcPr>
          <w:p>
            <w:r/>
            <w:r>
              <w:rPr>
                <w:rFonts w:ascii="Arial" w:hAnsi="Arial"/>
                <w:b w:val="0"/>
                <w:sz w:val="20"/>
              </w:rPr>
              <w:t>To correctly identify churned records.</w:t>
            </w:r>
          </w:p>
        </w:tc>
      </w:tr>
      <w:tr>
        <w:tc>
          <w:tcPr>
            <w:tcW w:type="dxa" w:w="576"/>
            <w:vAlign w:val="top"/>
          </w:tcPr>
          <w:p>
            <w:r/>
            <w:r>
              <w:rPr>
                <w:rFonts w:ascii="Arial" w:hAnsi="Arial"/>
                <w:b w:val="0"/>
                <w:sz w:val="20"/>
              </w:rPr>
              <w:t>4</w:t>
            </w:r>
          </w:p>
        </w:tc>
        <w:tc>
          <w:tcPr>
            <w:tcW w:type="dxa" w:w="6048"/>
            <w:vAlign w:val="top"/>
          </w:tcPr>
          <w:p>
            <w:r/>
            <w:r>
              <w:rPr>
                <w:rFonts w:ascii="Arial" w:hAnsi="Arial"/>
                <w:b w:val="0"/>
                <w:sz w:val="20"/>
              </w:rPr>
              <w:t>Should full rollover out be treated as churn and partial rollover out as churn risk?</w:t>
            </w:r>
          </w:p>
        </w:tc>
        <w:tc>
          <w:tcPr>
            <w:tcW w:type="dxa" w:w="3312"/>
            <w:vAlign w:val="top"/>
          </w:tcPr>
          <w:p>
            <w:r/>
            <w:r>
              <w:rPr>
                <w:rFonts w:ascii="Arial" w:hAnsi="Arial"/>
                <w:b w:val="0"/>
                <w:sz w:val="20"/>
              </w:rPr>
              <w:t>To separate confirmed churn from early risk signals.</w:t>
            </w:r>
          </w:p>
        </w:tc>
      </w:tr>
      <w:tr>
        <w:tc>
          <w:tcPr>
            <w:tcW w:type="dxa" w:w="576"/>
            <w:vAlign w:val="top"/>
          </w:tcPr>
          <w:p>
            <w:r/>
            <w:r>
              <w:rPr>
                <w:rFonts w:ascii="Arial" w:hAnsi="Arial"/>
                <w:b w:val="0"/>
                <w:sz w:val="20"/>
              </w:rPr>
              <w:t>5</w:t>
            </w:r>
          </w:p>
        </w:tc>
        <w:tc>
          <w:tcPr>
            <w:tcW w:type="dxa" w:w="6048"/>
            <w:vAlign w:val="top"/>
          </w:tcPr>
          <w:p>
            <w:r/>
            <w:r>
              <w:rPr>
                <w:rFonts w:ascii="Arial" w:hAnsi="Arial"/>
                <w:b w:val="0"/>
                <w:sz w:val="20"/>
              </w:rPr>
              <w:t>What retention period should be used? Example: rolling 12 months as mentioned in BRS.</w:t>
            </w:r>
          </w:p>
        </w:tc>
        <w:tc>
          <w:tcPr>
            <w:tcW w:type="dxa" w:w="3312"/>
            <w:vAlign w:val="top"/>
          </w:tcPr>
          <w:p>
            <w:r/>
            <w:r>
              <w:rPr>
                <w:rFonts w:ascii="Arial" w:hAnsi="Arial"/>
                <w:b w:val="0"/>
                <w:sz w:val="20"/>
              </w:rPr>
              <w:t>To align with retention rate calculation.</w:t>
            </w:r>
          </w:p>
        </w:tc>
      </w:tr>
      <w:tr>
        <w:tc>
          <w:tcPr>
            <w:tcW w:type="dxa" w:w="576"/>
            <w:vAlign w:val="top"/>
          </w:tcPr>
          <w:p>
            <w:r/>
            <w:r>
              <w:rPr>
                <w:rFonts w:ascii="Arial" w:hAnsi="Arial"/>
                <w:b w:val="0"/>
                <w:sz w:val="20"/>
              </w:rPr>
              <w:t>6</w:t>
            </w:r>
          </w:p>
        </w:tc>
        <w:tc>
          <w:tcPr>
            <w:tcW w:type="dxa" w:w="6048"/>
            <w:vAlign w:val="top"/>
          </w:tcPr>
          <w:p>
            <w:r/>
            <w:r>
              <w:rPr>
                <w:rFonts w:ascii="Arial" w:hAnsi="Arial"/>
                <w:b w:val="0"/>
                <w:sz w:val="20"/>
              </w:rPr>
              <w:t>Which date should be used as churn date? Example: exit date, rollover date, closed date, or last activity date.</w:t>
            </w:r>
          </w:p>
        </w:tc>
        <w:tc>
          <w:tcPr>
            <w:tcW w:type="dxa" w:w="3312"/>
            <w:vAlign w:val="top"/>
          </w:tcPr>
          <w:p>
            <w:r/>
            <w:r>
              <w:rPr>
                <w:rFonts w:ascii="Arial" w:hAnsi="Arial"/>
                <w:b w:val="0"/>
                <w:sz w:val="20"/>
              </w:rPr>
              <w:t>To create correct historical training labels.</w:t>
            </w:r>
          </w:p>
        </w:tc>
      </w:tr>
    </w:tbl>
    <w:p>
      <w:pPr>
        <w:pStyle w:val="Heading1"/>
      </w:pPr>
      <w:r>
        <w:rPr>
          <w:rFonts w:ascii="Arial" w:hAnsi="Arial"/>
        </w:rPr>
        <w:t>7. Current Assumption for Data Exploration</w:t>
      </w:r>
    </w:p>
    <w:p>
      <w:pPr>
        <w:spacing w:after="120" w:line="259" w:lineRule="auto"/>
      </w:pPr>
      <w:r>
        <w:rPr>
          <w:rFonts w:ascii="Arial" w:hAnsi="Arial"/>
          <w:sz w:val="21"/>
        </w:rPr>
        <w:t>Until the above questions are confirmed, the SonataODS data exploration will continue based on initial BRS understanding. Columns related to account status, exit, inactivity, rollover, transactions, payments, contributions, outflows, and member/account profile will be reviewed and marked as Yes / Maybe / No in the feature tracker.</w:t>
      </w:r>
    </w:p>
    <w:p>
      <w:pPr>
        <w:spacing w:after="120" w:line="259" w:lineRule="auto"/>
      </w:pPr>
      <w:r>
        <w:rPr>
          <w:rFonts w:ascii="Arial" w:hAnsi="Arial"/>
          <w:sz w:val="21"/>
        </w:rPr>
        <w:t>Final feature selection and target creation will be revisited after the business confirms the churn and retention logic.</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Churn Definition and Retention Rate - ML Data Exploration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