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48"/>
        </w:rPr>
        <w:t>MLOps for Retention Analytics using Databricks</w:t>
      </w:r>
    </w:p>
    <w:p>
      <w:r>
        <w:rPr>
          <w:rFonts w:ascii="Times New Roman" w:hAnsi="Times New Roman"/>
          <w:sz w:val="24"/>
        </w:rPr>
        <w:t>Research Documentation for Customer Churn Prediction – Mercer Superannuation Use Case</w:t>
      </w:r>
    </w:p>
    <w:p>
      <w:r>
        <w:rPr>
          <w:rFonts w:ascii="Times New Roman" w:hAnsi="Times New Roman"/>
          <w:b/>
          <w:sz w:val="36"/>
        </w:rPr>
        <w:t>1. Introduction</w:t>
      </w:r>
    </w:p>
    <w:p>
      <w:r>
        <w:rPr>
          <w:rFonts w:ascii="Times New Roman" w:hAnsi="Times New Roman"/>
          <w:sz w:val="24"/>
        </w:rPr>
        <w:t>Retention analytics identifies members likely to discontinue services and enables proactive retention strategies. This document explains the complete MLOps lifecycle implemented in Databricks, including model development, versioning, validation, governance, deployment and monitoring.</w:t>
      </w:r>
    </w:p>
    <w:p>
      <w:r>
        <w:rPr>
          <w:rFonts w:ascii="Times New Roman" w:hAnsi="Times New Roman"/>
          <w:b/>
          <w:sz w:val="36"/>
        </w:rPr>
        <w:t>2. Technology Stack and Dependencies</w:t>
      </w:r>
    </w:p>
    <w:p>
      <w:r>
        <w:rPr>
          <w:rFonts w:ascii="Times New Roman" w:hAnsi="Times New Roman"/>
          <w:sz w:val="24"/>
        </w:rPr>
        <w:t>MLflow (experiment tracking and model registry), Scikit-Learn (machine learning), Hyperopt/GridSearchCV (hyperparameter optimization), Pandas and NumPy (data processing), PySpark, Delta Lake, Unity Catalog and Databricks Model Serving.</w:t>
      </w:r>
    </w:p>
    <w:p>
      <w:r>
        <w:rPr>
          <w:rFonts w:ascii="Times New Roman" w:hAnsi="Times New Roman"/>
          <w:b/>
          <w:sz w:val="36"/>
        </w:rPr>
        <w:t>3. Baseline Model Development (Version 1)</w:t>
      </w:r>
    </w:p>
    <w:p>
      <w:r>
        <w:rPr>
          <w:rFonts w:ascii="Times New Roman" w:hAnsi="Times New Roman"/>
          <w:sz w:val="24"/>
        </w:rPr>
        <w:t>Notebook 1 establishes the baseline model. A governed train/test split is created and stored in Delta Lake to ensure consistent evaluation. Features are prepared, Logistic Regression is trained using default parameters, evaluation metrics are calculated and the model is registered in MLflow as Version 1.</w:t>
      </w:r>
    </w:p>
    <w:p>
      <w:r>
        <w:rPr>
          <w:rFonts w:ascii="Times New Roman" w:hAnsi="Times New Roman"/>
          <w:b/>
          <w:sz w:val="36"/>
        </w:rPr>
        <w:t>4. Candidate Model Development (Version 2)</w:t>
      </w:r>
    </w:p>
    <w:p>
      <w:r>
        <w:rPr>
          <w:rFonts w:ascii="Times New Roman" w:hAnsi="Times New Roman"/>
          <w:sz w:val="24"/>
        </w:rPr>
        <w:t>Notebook 2 creates an improved candidate model using hyperparameter optimization. Regularization parameter C (0.01, 0.1, 1.0, 10.0) and class_weight (None, Balanced) are evaluated using GridSearchCV. ROC-AUC is used as the optimization metric. The best model is registered as Version 2.</w:t>
      </w:r>
    </w:p>
    <w:p>
      <w:r>
        <w:rPr>
          <w:rFonts w:ascii="Times New Roman" w:hAnsi="Times New Roman"/>
          <w:b/>
          <w:sz w:val="36"/>
        </w:rPr>
        <w:t>5. Model Validation and Comparison</w:t>
      </w:r>
    </w:p>
    <w:p>
      <w:r>
        <w:rPr>
          <w:rFonts w:ascii="Times New Roman" w:hAnsi="Times New Roman"/>
          <w:sz w:val="24"/>
        </w:rPr>
        <w:t>Both model versions are evaluated on the same governed test dataset. Accuracy, Precision, Recall, F1 Score and ROC-AUC are compared. Although Version 2 improves precision, Version 1 achieves higher recall and better churn capture, making it the preferred deployment candidate.</w:t>
      </w:r>
    </w:p>
    <w:p>
      <w:r>
        <w:rPr>
          <w:rFonts w:ascii="Times New Roman" w:hAnsi="Times New Roman"/>
          <w:b/>
          <w:sz w:val="36"/>
        </w:rPr>
        <w:t>6. Fairness and Bias Assessment</w:t>
      </w:r>
    </w:p>
    <w:p>
      <w:r>
        <w:rPr>
          <w:rFonts w:ascii="Times New Roman" w:hAnsi="Times New Roman"/>
          <w:sz w:val="24"/>
        </w:rPr>
        <w:t>Prediction behavior is analyzed across age groups (Under 35, 35–49, 50–64 and 65+). Metrics such as selection rate, recall, false positive rate and disparate impact ratio are reviewed to ensure responsible AI practices.</w:t>
      </w:r>
    </w:p>
    <w:p>
      <w:r>
        <w:rPr>
          <w:rFonts w:ascii="Times New Roman" w:hAnsi="Times New Roman"/>
          <w:b/>
          <w:sz w:val="36"/>
        </w:rPr>
        <w:t>7. Champion-Challenger Strategy</w:t>
      </w:r>
    </w:p>
    <w:p>
      <w:r>
        <w:rPr>
          <w:rFonts w:ascii="Times New Roman" w:hAnsi="Times New Roman"/>
          <w:sz w:val="24"/>
        </w:rPr>
        <w:t>Version 1 is designated as Champion and Version 2 as Challenger. This approach supports controlled deployment, experimentation, governance and rapid rollback when required.</w:t>
      </w:r>
    </w:p>
    <w:p>
      <w:r>
        <w:rPr>
          <w:rFonts w:ascii="Times New Roman" w:hAnsi="Times New Roman"/>
          <w:b/>
          <w:sz w:val="36"/>
        </w:rPr>
        <w:t>8. Model Deployment</w:t>
      </w:r>
    </w:p>
    <w:p>
      <w:r>
        <w:rPr>
          <w:rFonts w:ascii="Times New Roman" w:hAnsi="Times New Roman"/>
          <w:sz w:val="24"/>
        </w:rPr>
        <w:t>The approved model is deployed through Databricks Model Serving. Real-time prediction APIs accept JSON payloads and return churn predictions for downstream retention workflows.</w:t>
      </w:r>
    </w:p>
    <w:p>
      <w:r>
        <w:rPr>
          <w:rFonts w:ascii="Times New Roman" w:hAnsi="Times New Roman"/>
          <w:b/>
          <w:sz w:val="36"/>
        </w:rPr>
        <w:t>9. Monitoring and Governance</w:t>
      </w:r>
    </w:p>
    <w:p>
      <w:r>
        <w:rPr>
          <w:rFonts w:ascii="Times New Roman" w:hAnsi="Times New Roman"/>
          <w:sz w:val="24"/>
        </w:rPr>
        <w:t>Operational monitoring includes endpoint latency, availability, input drift, prediction drift, model performance degradation and fairness indicators. Unity Catalog provides lineage, access control and auditability.</w:t>
      </w:r>
    </w:p>
    <w:p>
      <w:r>
        <w:rPr>
          <w:rFonts w:ascii="Times New Roman" w:hAnsi="Times New Roman"/>
          <w:b/>
          <w:sz w:val="36"/>
        </w:rPr>
        <w:t>10. Rollback Strategy</w:t>
      </w:r>
    </w:p>
    <w:p>
      <w:r>
        <w:rPr>
          <w:rFonts w:ascii="Times New Roman" w:hAnsi="Times New Roman"/>
          <w:sz w:val="24"/>
        </w:rPr>
        <w:t>If performance degradation or operational issues are detected, the serving endpoint can be redirected to the previously approved Champion version through controlled governance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