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FRS Section 11.1 - Behavioural Data Parameters</w:t>
      </w:r>
    </w:p>
    <w:p>
      <w:pPr>
        <w:jc w:val="center"/>
      </w:pPr>
      <w:r>
        <w:t>This content can be added as a separate subsection under Section 11.1 Business Prediction Output.</w:t>
      </w:r>
    </w:p>
    <w:p>
      <w:pPr>
        <w:pStyle w:val="Heading2"/>
      </w:pPr>
      <w:r>
        <w:t>11.1.1 Behavioural Data Parameters</w:t>
      </w:r>
    </w:p>
    <w:p>
      <w:r>
        <w:rPr>
          <w:b/>
        </w:rPr>
        <w:t xml:space="preserve">Purpose: </w:t>
      </w:r>
      <w:r>
        <w:t>This section captures behavioural data elements identified during initial DB-level analysis. These parameters may be used as ML input features, churn drivers, and Power BI dashboard segmentation fields for churn risk distribution.</w:t>
      </w:r>
    </w:p>
    <w:p>
      <w:r>
        <w:rPr>
          <w:b/>
        </w:rPr>
        <w:t xml:space="preserve">Important: </w:t>
      </w:r>
      <w:r>
        <w:t>Since the requirement is still in the initial planning phase, the below behavioural parameters are treated as a draft list. Additional behavioural parameters may be added later based on further data exploration, business confirmation, and model design.</w:t>
      </w:r>
    </w:p>
    <w:p>
      <w:pPr>
        <w:pStyle w:val="Heading3"/>
      </w:pPr>
      <w:r>
        <w:t>A. Behavioural Parameters Identified During Initial DB-Level Analysis</w:t>
      </w:r>
    </w:p>
    <w:tbl>
      <w:tblPr>
        <w:tblStyle w:val="TableGrid"/>
        <w:tblW w:type="auto" w:w="0"/>
        <w:jc w:val="center"/>
        <w:tblLayout w:type="autofit"/>
        <w:tblLook w:firstColumn="1" w:firstRow="1" w:lastColumn="0" w:lastRow="0" w:noHBand="0" w:noVBand="1" w:val="04A0"/>
      </w:tblPr>
      <w:tblGrid>
        <w:gridCol w:w="2102"/>
        <w:gridCol w:w="2102"/>
        <w:gridCol w:w="2102"/>
        <w:gridCol w:w="2102"/>
        <w:gridCol w:w="2102"/>
      </w:tblGrid>
      <w:tr>
        <w:tc>
          <w:tcPr>
            <w:tcW w:type="dxa" w:w="2102"/>
            <w:vAlign w:val="center"/>
            <w:shd w:fill="D9EAF7"/>
          </w:tcPr>
          <w:p>
            <w:r/>
            <w:r>
              <w:rPr>
                <w:rFonts w:ascii="Times New Roman" w:hAnsi="Times New Roman" w:eastAsia="Times New Roman"/>
                <w:b/>
                <w:sz w:val="17"/>
              </w:rPr>
              <w:t>Behavioural Parameter</w:t>
            </w:r>
          </w:p>
        </w:tc>
        <w:tc>
          <w:tcPr>
            <w:tcW w:type="dxa" w:w="2102"/>
            <w:vAlign w:val="center"/>
            <w:shd w:fill="D9EAF7"/>
          </w:tcPr>
          <w:p>
            <w:r/>
            <w:r>
              <w:rPr>
                <w:rFonts w:ascii="Times New Roman" w:hAnsi="Times New Roman" w:eastAsia="Times New Roman"/>
                <w:b/>
                <w:sz w:val="17"/>
              </w:rPr>
              <w:t>Members / Coverage</w:t>
            </w:r>
          </w:p>
        </w:tc>
        <w:tc>
          <w:tcPr>
            <w:tcW w:type="dxa" w:w="2102"/>
            <w:vAlign w:val="center"/>
            <w:shd w:fill="D9EAF7"/>
          </w:tcPr>
          <w:p>
            <w:r/>
            <w:r>
              <w:rPr>
                <w:rFonts w:ascii="Times New Roman" w:hAnsi="Times New Roman" w:eastAsia="Times New Roman"/>
                <w:b/>
                <w:sz w:val="17"/>
              </w:rPr>
              <w:t>Retention Impact</w:t>
            </w:r>
          </w:p>
        </w:tc>
        <w:tc>
          <w:tcPr>
            <w:tcW w:type="dxa" w:w="2102"/>
            <w:vAlign w:val="center"/>
            <w:shd w:fill="D9EAF7"/>
          </w:tcPr>
          <w:p>
            <w:r/>
            <w:r>
              <w:rPr>
                <w:rFonts w:ascii="Times New Roman" w:hAnsi="Times New Roman" w:eastAsia="Times New Roman"/>
                <w:b/>
                <w:sz w:val="17"/>
              </w:rPr>
              <w:t>Risk Interpretation</w:t>
            </w:r>
          </w:p>
        </w:tc>
        <w:tc>
          <w:tcPr>
            <w:tcW w:type="dxa" w:w="2102"/>
            <w:vAlign w:val="center"/>
            <w:shd w:fill="D9EAF7"/>
          </w:tcPr>
          <w:p>
            <w:r/>
            <w:r>
              <w:rPr>
                <w:rFonts w:ascii="Times New Roman" w:hAnsi="Times New Roman" w:eastAsia="Times New Roman"/>
                <w:b/>
                <w:sz w:val="17"/>
              </w:rPr>
              <w:t>FRS Notes</w:t>
            </w:r>
          </w:p>
        </w:tc>
      </w:tr>
      <w:tr>
        <w:tc>
          <w:tcPr>
            <w:tcW w:type="dxa" w:w="2102"/>
            <w:vAlign w:val="center"/>
          </w:tcPr>
          <w:p>
            <w:r/>
            <w:r>
              <w:rPr>
                <w:rFonts w:ascii="Times New Roman" w:hAnsi="Times New Roman" w:eastAsia="Times New Roman"/>
                <w:b w:val="0"/>
                <w:sz w:val="17"/>
              </w:rPr>
              <w:t>Monthly Login</w:t>
            </w:r>
          </w:p>
        </w:tc>
        <w:tc>
          <w:tcPr>
            <w:tcW w:type="dxa" w:w="2102"/>
            <w:vAlign w:val="center"/>
          </w:tcPr>
          <w:p>
            <w:r/>
            <w:r>
              <w:rPr>
                <w:rFonts w:ascii="Times New Roman" w:hAnsi="Times New Roman" w:eastAsia="Times New Roman"/>
                <w:b w:val="0"/>
                <w:sz w:val="17"/>
              </w:rPr>
              <w:t>35.80%</w:t>
            </w:r>
          </w:p>
        </w:tc>
        <w:tc>
          <w:tcPr>
            <w:tcW w:type="dxa" w:w="2102"/>
            <w:vAlign w:val="center"/>
          </w:tcPr>
          <w:p>
            <w:r/>
            <w:r>
              <w:rPr>
                <w:rFonts w:ascii="Times New Roman" w:hAnsi="Times New Roman" w:eastAsia="Times New Roman"/>
                <w:b w:val="0"/>
                <w:sz w:val="17"/>
              </w:rPr>
              <w:t>35% Churn</w:t>
            </w:r>
          </w:p>
        </w:tc>
        <w:tc>
          <w:tcPr>
            <w:tcW w:type="dxa" w:w="2102"/>
            <w:vAlign w:val="center"/>
          </w:tcPr>
          <w:p>
            <w:r/>
            <w:r>
              <w:rPr>
                <w:rFonts w:ascii="Times New Roman" w:hAnsi="Times New Roman" w:eastAsia="Times New Roman"/>
                <w:b w:val="0"/>
                <w:sz w:val="17"/>
              </w:rPr>
              <w:t>Low</w:t>
            </w:r>
          </w:p>
        </w:tc>
        <w:tc>
          <w:tcPr>
            <w:tcW w:type="dxa" w:w="2102"/>
            <w:vAlign w:val="center"/>
          </w:tcPr>
          <w:p>
            <w:r/>
            <w:r>
              <w:rPr>
                <w:rFonts w:ascii="Times New Roman" w:hAnsi="Times New Roman" w:eastAsia="Times New Roman"/>
                <w:b w:val="0"/>
                <w:sz w:val="17"/>
              </w:rPr>
              <w:t>Indicates members/accounts with monthly login activity. Can be used to assess digital engagement.</w:t>
            </w:r>
          </w:p>
        </w:tc>
      </w:tr>
      <w:tr>
        <w:tc>
          <w:tcPr>
            <w:tcW w:type="dxa" w:w="2102"/>
            <w:vAlign w:val="center"/>
          </w:tcPr>
          <w:p>
            <w:r/>
            <w:r>
              <w:rPr>
                <w:rFonts w:ascii="Times New Roman" w:hAnsi="Times New Roman" w:eastAsia="Times New Roman"/>
                <w:b w:val="0"/>
                <w:sz w:val="17"/>
              </w:rPr>
              <w:t>Advice Used</w:t>
            </w:r>
          </w:p>
        </w:tc>
        <w:tc>
          <w:tcPr>
            <w:tcW w:type="dxa" w:w="2102"/>
            <w:vAlign w:val="center"/>
          </w:tcPr>
          <w:p>
            <w:r/>
            <w:r>
              <w:rPr>
                <w:rFonts w:ascii="Times New Roman" w:hAnsi="Times New Roman" w:eastAsia="Times New Roman"/>
                <w:b w:val="0"/>
                <w:sz w:val="17"/>
              </w:rPr>
              <w:t>12.70%</w:t>
            </w:r>
          </w:p>
        </w:tc>
        <w:tc>
          <w:tcPr>
            <w:tcW w:type="dxa" w:w="2102"/>
            <w:vAlign w:val="center"/>
          </w:tcPr>
          <w:p>
            <w:r/>
            <w:r>
              <w:rPr>
                <w:rFonts w:ascii="Times New Roman" w:hAnsi="Times New Roman" w:eastAsia="Times New Roman"/>
                <w:b w:val="0"/>
                <w:sz w:val="17"/>
              </w:rPr>
              <w:t>28% Churn</w:t>
            </w:r>
          </w:p>
        </w:tc>
        <w:tc>
          <w:tcPr>
            <w:tcW w:type="dxa" w:w="2102"/>
            <w:vAlign w:val="center"/>
          </w:tcPr>
          <w:p>
            <w:r/>
            <w:r>
              <w:rPr>
                <w:rFonts w:ascii="Times New Roman" w:hAnsi="Times New Roman" w:eastAsia="Times New Roman"/>
                <w:b w:val="0"/>
                <w:sz w:val="17"/>
              </w:rPr>
              <w:t>Medium</w:t>
            </w:r>
          </w:p>
        </w:tc>
        <w:tc>
          <w:tcPr>
            <w:tcW w:type="dxa" w:w="2102"/>
            <w:vAlign w:val="center"/>
          </w:tcPr>
          <w:p>
            <w:r/>
            <w:r>
              <w:rPr>
                <w:rFonts w:ascii="Times New Roman" w:hAnsi="Times New Roman" w:eastAsia="Times New Roman"/>
                <w:b w:val="0"/>
                <w:sz w:val="17"/>
              </w:rPr>
              <w:t>Indicates whether advice service was used. May be used as an engagement/retention behaviour parameter.</w:t>
            </w:r>
          </w:p>
        </w:tc>
      </w:tr>
      <w:tr>
        <w:tc>
          <w:tcPr>
            <w:tcW w:type="dxa" w:w="2102"/>
            <w:vAlign w:val="center"/>
          </w:tcPr>
          <w:p>
            <w:r/>
            <w:r>
              <w:rPr>
                <w:rFonts w:ascii="Times New Roman" w:hAnsi="Times New Roman" w:eastAsia="Times New Roman"/>
                <w:b w:val="0"/>
                <w:sz w:val="17"/>
              </w:rPr>
              <w:t>Insurance Active</w:t>
            </w:r>
          </w:p>
        </w:tc>
        <w:tc>
          <w:tcPr>
            <w:tcW w:type="dxa" w:w="2102"/>
            <w:vAlign w:val="center"/>
          </w:tcPr>
          <w:p>
            <w:r/>
            <w:r>
              <w:rPr>
                <w:rFonts w:ascii="Times New Roman" w:hAnsi="Times New Roman" w:eastAsia="Times New Roman"/>
                <w:b w:val="0"/>
                <w:sz w:val="17"/>
              </w:rPr>
              <w:t>74.20%</w:t>
            </w:r>
          </w:p>
        </w:tc>
        <w:tc>
          <w:tcPr>
            <w:tcW w:type="dxa" w:w="2102"/>
            <w:vAlign w:val="center"/>
          </w:tcPr>
          <w:p>
            <w:r/>
            <w:r>
              <w:rPr>
                <w:rFonts w:ascii="Times New Roman" w:hAnsi="Times New Roman" w:eastAsia="Times New Roman"/>
                <w:b w:val="0"/>
                <w:sz w:val="17"/>
              </w:rPr>
              <w:t>11% Churn</w:t>
            </w:r>
          </w:p>
        </w:tc>
        <w:tc>
          <w:tcPr>
            <w:tcW w:type="dxa" w:w="2102"/>
            <w:vAlign w:val="center"/>
          </w:tcPr>
          <w:p>
            <w:r/>
            <w:r>
              <w:rPr>
                <w:rFonts w:ascii="Times New Roman" w:hAnsi="Times New Roman" w:eastAsia="Times New Roman"/>
                <w:b w:val="0"/>
                <w:sz w:val="17"/>
              </w:rPr>
              <w:t>Medium</w:t>
            </w:r>
          </w:p>
        </w:tc>
        <w:tc>
          <w:tcPr>
            <w:tcW w:type="dxa" w:w="2102"/>
            <w:vAlign w:val="center"/>
          </w:tcPr>
          <w:p>
            <w:r/>
            <w:r>
              <w:rPr>
                <w:rFonts w:ascii="Times New Roman" w:hAnsi="Times New Roman" w:eastAsia="Times New Roman"/>
                <w:b w:val="0"/>
                <w:sz w:val="17"/>
              </w:rPr>
              <w:t>Indicates whether insurance is active. May help understand retention behaviour.</w:t>
            </w:r>
          </w:p>
        </w:tc>
      </w:tr>
      <w:tr>
        <w:tc>
          <w:tcPr>
            <w:tcW w:type="dxa" w:w="2102"/>
            <w:vAlign w:val="center"/>
          </w:tcPr>
          <w:p>
            <w:r/>
            <w:r>
              <w:rPr>
                <w:rFonts w:ascii="Times New Roman" w:hAnsi="Times New Roman" w:eastAsia="Times New Roman"/>
                <w:b w:val="0"/>
                <w:sz w:val="17"/>
              </w:rPr>
              <w:t>Beneficiary Added</w:t>
            </w:r>
          </w:p>
        </w:tc>
        <w:tc>
          <w:tcPr>
            <w:tcW w:type="dxa" w:w="2102"/>
            <w:vAlign w:val="center"/>
          </w:tcPr>
          <w:p>
            <w:r/>
            <w:r>
              <w:rPr>
                <w:rFonts w:ascii="Times New Roman" w:hAnsi="Times New Roman" w:eastAsia="Times New Roman"/>
                <w:b w:val="0"/>
                <w:sz w:val="17"/>
              </w:rPr>
              <w:t>87.80%</w:t>
            </w:r>
          </w:p>
        </w:tc>
        <w:tc>
          <w:tcPr>
            <w:tcW w:type="dxa" w:w="2102"/>
            <w:vAlign w:val="center"/>
          </w:tcPr>
          <w:p>
            <w:r/>
            <w:r>
              <w:rPr>
                <w:rFonts w:ascii="Times New Roman" w:hAnsi="Times New Roman" w:eastAsia="Times New Roman"/>
                <w:b w:val="0"/>
                <w:sz w:val="17"/>
              </w:rPr>
              <w:t>8% Churn</w:t>
            </w:r>
          </w:p>
        </w:tc>
        <w:tc>
          <w:tcPr>
            <w:tcW w:type="dxa" w:w="2102"/>
            <w:vAlign w:val="center"/>
          </w:tcPr>
          <w:p>
            <w:r/>
            <w:r>
              <w:rPr>
                <w:rFonts w:ascii="Times New Roman" w:hAnsi="Times New Roman" w:eastAsia="Times New Roman"/>
                <w:b w:val="0"/>
                <w:sz w:val="17"/>
              </w:rPr>
              <w:t>Medium</w:t>
            </w:r>
          </w:p>
        </w:tc>
        <w:tc>
          <w:tcPr>
            <w:tcW w:type="dxa" w:w="2102"/>
            <w:vAlign w:val="center"/>
          </w:tcPr>
          <w:p>
            <w:r/>
            <w:r>
              <w:rPr>
                <w:rFonts w:ascii="Times New Roman" w:hAnsi="Times New Roman" w:eastAsia="Times New Roman"/>
                <w:b w:val="0"/>
                <w:sz w:val="17"/>
              </w:rPr>
              <w:t>Indicates whether beneficiary details are added. May indicate stronger account setup/completeness.</w:t>
            </w:r>
          </w:p>
        </w:tc>
      </w:tr>
      <w:tr>
        <w:tc>
          <w:tcPr>
            <w:tcW w:type="dxa" w:w="2102"/>
            <w:vAlign w:val="center"/>
          </w:tcPr>
          <w:p>
            <w:r/>
            <w:r>
              <w:rPr>
                <w:rFonts w:ascii="Times New Roman" w:hAnsi="Times New Roman" w:eastAsia="Times New Roman"/>
                <w:b w:val="0"/>
                <w:sz w:val="17"/>
              </w:rPr>
              <w:t>No Activity 90 Days</w:t>
            </w:r>
          </w:p>
        </w:tc>
        <w:tc>
          <w:tcPr>
            <w:tcW w:type="dxa" w:w="2102"/>
            <w:vAlign w:val="center"/>
          </w:tcPr>
          <w:p>
            <w:r/>
            <w:r>
              <w:rPr>
                <w:rFonts w:ascii="Times New Roman" w:hAnsi="Times New Roman" w:eastAsia="Times New Roman"/>
                <w:b w:val="0"/>
                <w:sz w:val="17"/>
              </w:rPr>
              <w:t>9.60%</w:t>
            </w:r>
          </w:p>
        </w:tc>
        <w:tc>
          <w:tcPr>
            <w:tcW w:type="dxa" w:w="2102"/>
            <w:vAlign w:val="center"/>
          </w:tcPr>
          <w:p>
            <w:r/>
            <w:r>
              <w:rPr>
                <w:rFonts w:ascii="Times New Roman" w:hAnsi="Times New Roman" w:eastAsia="Times New Roman"/>
                <w:b w:val="0"/>
                <w:sz w:val="17"/>
              </w:rPr>
              <w:t>45% Churn</w:t>
            </w:r>
          </w:p>
        </w:tc>
        <w:tc>
          <w:tcPr>
            <w:tcW w:type="dxa" w:w="2102"/>
            <w:vAlign w:val="center"/>
          </w:tcPr>
          <w:p>
            <w:r/>
            <w:r>
              <w:rPr>
                <w:rFonts w:ascii="Times New Roman" w:hAnsi="Times New Roman" w:eastAsia="Times New Roman"/>
                <w:b w:val="0"/>
                <w:sz w:val="17"/>
              </w:rPr>
              <w:t>High</w:t>
            </w:r>
          </w:p>
        </w:tc>
        <w:tc>
          <w:tcPr>
            <w:tcW w:type="dxa" w:w="2102"/>
            <w:vAlign w:val="center"/>
          </w:tcPr>
          <w:p>
            <w:r/>
            <w:r>
              <w:rPr>
                <w:rFonts w:ascii="Times New Roman" w:hAnsi="Times New Roman" w:eastAsia="Times New Roman"/>
                <w:b w:val="0"/>
                <w:sz w:val="17"/>
              </w:rPr>
              <w:t>Indicates no recent activity for 90 days. May be a strong churn risk driver.</w:t>
            </w:r>
          </w:p>
        </w:tc>
      </w:tr>
    </w:tbl>
    <w:p>
      <w:pPr>
        <w:pStyle w:val="Heading3"/>
      </w:pPr>
      <w:r>
        <w:t>B. Proposed Additional Output Columns for Behavioural Data</w:t>
      </w:r>
    </w:p>
    <w:p>
      <w:r>
        <w:t>The following structured behavioural columns are proposed to support Power BI churn risk distribution and drill-down analysis.</w:t>
      </w:r>
    </w:p>
    <w:tbl>
      <w:tblPr>
        <w:tblStyle w:val="TableGrid"/>
        <w:tblW w:type="auto" w:w="0"/>
        <w:jc w:val="center"/>
        <w:tblLayout w:type="autofit"/>
        <w:tblLook w:firstColumn="1" w:firstRow="1" w:lastColumn="0" w:lastRow="0" w:noHBand="0" w:noVBand="1" w:val="04A0"/>
      </w:tblPr>
      <w:tblGrid>
        <w:gridCol w:w="2628"/>
        <w:gridCol w:w="2628"/>
        <w:gridCol w:w="2628"/>
        <w:gridCol w:w="2628"/>
      </w:tblGrid>
      <w:tr>
        <w:tc>
          <w:tcPr>
            <w:tcW w:type="dxa" w:w="2628"/>
            <w:vAlign w:val="center"/>
            <w:shd w:fill="D9EAF7"/>
          </w:tcPr>
          <w:p>
            <w:r/>
            <w:r>
              <w:rPr>
                <w:rFonts w:ascii="Times New Roman" w:hAnsi="Times New Roman" w:eastAsia="Times New Roman"/>
                <w:b/>
                <w:sz w:val="16"/>
              </w:rPr>
              <w:t>Output Column</w:t>
            </w:r>
          </w:p>
        </w:tc>
        <w:tc>
          <w:tcPr>
            <w:tcW w:type="dxa" w:w="2628"/>
            <w:vAlign w:val="center"/>
            <w:shd w:fill="D9EAF7"/>
          </w:tcPr>
          <w:p>
            <w:r/>
            <w:r>
              <w:rPr>
                <w:rFonts w:ascii="Times New Roman" w:hAnsi="Times New Roman" w:eastAsia="Times New Roman"/>
                <w:b/>
                <w:sz w:val="16"/>
              </w:rPr>
              <w:t>Description</w:t>
            </w:r>
          </w:p>
        </w:tc>
        <w:tc>
          <w:tcPr>
            <w:tcW w:type="dxa" w:w="2628"/>
            <w:vAlign w:val="center"/>
            <w:shd w:fill="D9EAF7"/>
          </w:tcPr>
          <w:p>
            <w:r/>
            <w:r>
              <w:rPr>
                <w:rFonts w:ascii="Times New Roman" w:hAnsi="Times New Roman" w:eastAsia="Times New Roman"/>
                <w:b/>
                <w:sz w:val="16"/>
              </w:rPr>
              <w:t>Example Value</w:t>
            </w:r>
          </w:p>
        </w:tc>
        <w:tc>
          <w:tcPr>
            <w:tcW w:type="dxa" w:w="2628"/>
            <w:vAlign w:val="center"/>
            <w:shd w:fill="D9EAF7"/>
          </w:tcPr>
          <w:p>
            <w:r/>
            <w:r>
              <w:rPr>
                <w:rFonts w:ascii="Times New Roman" w:hAnsi="Times New Roman" w:eastAsia="Times New Roman"/>
                <w:b/>
                <w:sz w:val="16"/>
              </w:rPr>
              <w:t>Usage in Power BI / ML</w:t>
            </w:r>
          </w:p>
        </w:tc>
      </w:tr>
      <w:tr>
        <w:tc>
          <w:tcPr>
            <w:tcW w:type="dxa" w:w="2628"/>
            <w:vAlign w:val="center"/>
          </w:tcPr>
          <w:p>
            <w:r/>
            <w:r>
              <w:rPr>
                <w:rFonts w:ascii="Times New Roman" w:hAnsi="Times New Roman" w:eastAsia="Times New Roman"/>
                <w:b w:val="0"/>
                <w:sz w:val="16"/>
              </w:rPr>
              <w:t>monthly_login_flag</w:t>
            </w:r>
          </w:p>
        </w:tc>
        <w:tc>
          <w:tcPr>
            <w:tcW w:type="dxa" w:w="2628"/>
            <w:vAlign w:val="center"/>
          </w:tcPr>
          <w:p>
            <w:r/>
            <w:r>
              <w:rPr>
                <w:rFonts w:ascii="Times New Roman" w:hAnsi="Times New Roman" w:eastAsia="Times New Roman"/>
                <w:b w:val="0"/>
                <w:sz w:val="16"/>
              </w:rPr>
              <w:t>Indicates whether monthly login activity is available for the member/account.</w:t>
            </w:r>
          </w:p>
        </w:tc>
        <w:tc>
          <w:tcPr>
            <w:tcW w:type="dxa" w:w="2628"/>
            <w:vAlign w:val="center"/>
          </w:tcPr>
          <w:p>
            <w:r/>
            <w:r>
              <w:rPr>
                <w:rFonts w:ascii="Times New Roman" w:hAnsi="Times New Roman" w:eastAsia="Times New Roman"/>
                <w:b w:val="0"/>
                <w:sz w:val="16"/>
              </w:rPr>
              <w:t>Y / N</w:t>
            </w:r>
          </w:p>
        </w:tc>
        <w:tc>
          <w:tcPr>
            <w:tcW w:type="dxa" w:w="2628"/>
            <w:vAlign w:val="center"/>
          </w:tcPr>
          <w:p>
            <w:r/>
            <w:r>
              <w:rPr>
                <w:rFonts w:ascii="Times New Roman" w:hAnsi="Times New Roman" w:eastAsia="Times New Roman"/>
                <w:b w:val="0"/>
                <w:sz w:val="16"/>
              </w:rPr>
              <w:t>Can be used to group risk distribution by login behaviour.</w:t>
            </w:r>
          </w:p>
        </w:tc>
      </w:tr>
      <w:tr>
        <w:tc>
          <w:tcPr>
            <w:tcW w:type="dxa" w:w="2628"/>
            <w:vAlign w:val="center"/>
          </w:tcPr>
          <w:p>
            <w:r/>
            <w:r>
              <w:rPr>
                <w:rFonts w:ascii="Times New Roman" w:hAnsi="Times New Roman" w:eastAsia="Times New Roman"/>
                <w:b w:val="0"/>
                <w:sz w:val="16"/>
              </w:rPr>
              <w:t>advice_used_flag</w:t>
            </w:r>
          </w:p>
        </w:tc>
        <w:tc>
          <w:tcPr>
            <w:tcW w:type="dxa" w:w="2628"/>
            <w:vAlign w:val="center"/>
          </w:tcPr>
          <w:p>
            <w:r/>
            <w:r>
              <w:rPr>
                <w:rFonts w:ascii="Times New Roman" w:hAnsi="Times New Roman" w:eastAsia="Times New Roman"/>
                <w:b w:val="0"/>
                <w:sz w:val="16"/>
              </w:rPr>
              <w:t>Indicates whether the member/account used advice service.</w:t>
            </w:r>
          </w:p>
        </w:tc>
        <w:tc>
          <w:tcPr>
            <w:tcW w:type="dxa" w:w="2628"/>
            <w:vAlign w:val="center"/>
          </w:tcPr>
          <w:p>
            <w:r/>
            <w:r>
              <w:rPr>
                <w:rFonts w:ascii="Times New Roman" w:hAnsi="Times New Roman" w:eastAsia="Times New Roman"/>
                <w:b w:val="0"/>
                <w:sz w:val="16"/>
              </w:rPr>
              <w:t>Y / N</w:t>
            </w:r>
          </w:p>
        </w:tc>
        <w:tc>
          <w:tcPr>
            <w:tcW w:type="dxa" w:w="2628"/>
            <w:vAlign w:val="center"/>
          </w:tcPr>
          <w:p>
            <w:r/>
            <w:r>
              <w:rPr>
                <w:rFonts w:ascii="Times New Roman" w:hAnsi="Times New Roman" w:eastAsia="Times New Roman"/>
                <w:b w:val="0"/>
                <w:sz w:val="16"/>
              </w:rPr>
              <w:t>Can be used as an engagement behaviour feature/segment.</w:t>
            </w:r>
          </w:p>
        </w:tc>
      </w:tr>
      <w:tr>
        <w:tc>
          <w:tcPr>
            <w:tcW w:type="dxa" w:w="2628"/>
            <w:vAlign w:val="center"/>
          </w:tcPr>
          <w:p>
            <w:r/>
            <w:r>
              <w:rPr>
                <w:rFonts w:ascii="Times New Roman" w:hAnsi="Times New Roman" w:eastAsia="Times New Roman"/>
                <w:b w:val="0"/>
                <w:sz w:val="16"/>
              </w:rPr>
              <w:t>insurance_active_flag</w:t>
            </w:r>
          </w:p>
        </w:tc>
        <w:tc>
          <w:tcPr>
            <w:tcW w:type="dxa" w:w="2628"/>
            <w:vAlign w:val="center"/>
          </w:tcPr>
          <w:p>
            <w:r/>
            <w:r>
              <w:rPr>
                <w:rFonts w:ascii="Times New Roman" w:hAnsi="Times New Roman" w:eastAsia="Times New Roman"/>
                <w:b w:val="0"/>
                <w:sz w:val="16"/>
              </w:rPr>
              <w:t>Indicates whether insurance is active.</w:t>
            </w:r>
          </w:p>
        </w:tc>
        <w:tc>
          <w:tcPr>
            <w:tcW w:type="dxa" w:w="2628"/>
            <w:vAlign w:val="center"/>
          </w:tcPr>
          <w:p>
            <w:r/>
            <w:r>
              <w:rPr>
                <w:rFonts w:ascii="Times New Roman" w:hAnsi="Times New Roman" w:eastAsia="Times New Roman"/>
                <w:b w:val="0"/>
                <w:sz w:val="16"/>
              </w:rPr>
              <w:t>Y / N</w:t>
            </w:r>
          </w:p>
        </w:tc>
        <w:tc>
          <w:tcPr>
            <w:tcW w:type="dxa" w:w="2628"/>
            <w:vAlign w:val="center"/>
          </w:tcPr>
          <w:p>
            <w:r/>
            <w:r>
              <w:rPr>
                <w:rFonts w:ascii="Times New Roman" w:hAnsi="Times New Roman" w:eastAsia="Times New Roman"/>
                <w:b w:val="0"/>
                <w:sz w:val="16"/>
              </w:rPr>
              <w:t>Can be used for behavioural segmentation and retention analysis.</w:t>
            </w:r>
          </w:p>
        </w:tc>
      </w:tr>
      <w:tr>
        <w:tc>
          <w:tcPr>
            <w:tcW w:type="dxa" w:w="2628"/>
            <w:vAlign w:val="center"/>
          </w:tcPr>
          <w:p>
            <w:r/>
            <w:r>
              <w:rPr>
                <w:rFonts w:ascii="Times New Roman" w:hAnsi="Times New Roman" w:eastAsia="Times New Roman"/>
                <w:b w:val="0"/>
                <w:sz w:val="16"/>
              </w:rPr>
              <w:t>beneficiary_added_flag</w:t>
            </w:r>
          </w:p>
        </w:tc>
        <w:tc>
          <w:tcPr>
            <w:tcW w:type="dxa" w:w="2628"/>
            <w:vAlign w:val="center"/>
          </w:tcPr>
          <w:p>
            <w:r/>
            <w:r>
              <w:rPr>
                <w:rFonts w:ascii="Times New Roman" w:hAnsi="Times New Roman" w:eastAsia="Times New Roman"/>
                <w:b w:val="0"/>
                <w:sz w:val="16"/>
              </w:rPr>
              <w:t>Indicates whether beneficiary information has been added.</w:t>
            </w:r>
          </w:p>
        </w:tc>
        <w:tc>
          <w:tcPr>
            <w:tcW w:type="dxa" w:w="2628"/>
            <w:vAlign w:val="center"/>
          </w:tcPr>
          <w:p>
            <w:r/>
            <w:r>
              <w:rPr>
                <w:rFonts w:ascii="Times New Roman" w:hAnsi="Times New Roman" w:eastAsia="Times New Roman"/>
                <w:b w:val="0"/>
                <w:sz w:val="16"/>
              </w:rPr>
              <w:t>Y / N</w:t>
            </w:r>
          </w:p>
        </w:tc>
        <w:tc>
          <w:tcPr>
            <w:tcW w:type="dxa" w:w="2628"/>
            <w:vAlign w:val="center"/>
          </w:tcPr>
          <w:p>
            <w:r/>
            <w:r>
              <w:rPr>
                <w:rFonts w:ascii="Times New Roman" w:hAnsi="Times New Roman" w:eastAsia="Times New Roman"/>
                <w:b w:val="0"/>
                <w:sz w:val="16"/>
              </w:rPr>
              <w:t>Can be used to understand account completion/engagement.</w:t>
            </w:r>
          </w:p>
        </w:tc>
      </w:tr>
      <w:tr>
        <w:tc>
          <w:tcPr>
            <w:tcW w:type="dxa" w:w="2628"/>
            <w:vAlign w:val="center"/>
          </w:tcPr>
          <w:p>
            <w:r/>
            <w:r>
              <w:rPr>
                <w:rFonts w:ascii="Times New Roman" w:hAnsi="Times New Roman" w:eastAsia="Times New Roman"/>
                <w:b w:val="0"/>
                <w:sz w:val="16"/>
              </w:rPr>
              <w:t>no_activity_90_days_flag</w:t>
            </w:r>
          </w:p>
        </w:tc>
        <w:tc>
          <w:tcPr>
            <w:tcW w:type="dxa" w:w="2628"/>
            <w:vAlign w:val="center"/>
          </w:tcPr>
          <w:p>
            <w:r/>
            <w:r>
              <w:rPr>
                <w:rFonts w:ascii="Times New Roman" w:hAnsi="Times New Roman" w:eastAsia="Times New Roman"/>
                <w:b w:val="0"/>
                <w:sz w:val="16"/>
              </w:rPr>
              <w:t>Indicates whether there has been no activity in the last 90 days.</w:t>
            </w:r>
          </w:p>
        </w:tc>
        <w:tc>
          <w:tcPr>
            <w:tcW w:type="dxa" w:w="2628"/>
            <w:vAlign w:val="center"/>
          </w:tcPr>
          <w:p>
            <w:r/>
            <w:r>
              <w:rPr>
                <w:rFonts w:ascii="Times New Roman" w:hAnsi="Times New Roman" w:eastAsia="Times New Roman"/>
                <w:b w:val="0"/>
                <w:sz w:val="16"/>
              </w:rPr>
              <w:t>Y / N</w:t>
            </w:r>
          </w:p>
        </w:tc>
        <w:tc>
          <w:tcPr>
            <w:tcW w:type="dxa" w:w="2628"/>
            <w:vAlign w:val="center"/>
          </w:tcPr>
          <w:p>
            <w:r/>
            <w:r>
              <w:rPr>
                <w:rFonts w:ascii="Times New Roman" w:hAnsi="Times New Roman" w:eastAsia="Times New Roman"/>
                <w:b w:val="0"/>
                <w:sz w:val="16"/>
              </w:rPr>
              <w:t>Can be used as a high-risk behavioural driver.</w:t>
            </w:r>
          </w:p>
        </w:tc>
      </w:tr>
      <w:tr>
        <w:tc>
          <w:tcPr>
            <w:tcW w:type="dxa" w:w="2628"/>
            <w:vAlign w:val="center"/>
          </w:tcPr>
          <w:p>
            <w:r/>
            <w:r>
              <w:rPr>
                <w:rFonts w:ascii="Times New Roman" w:hAnsi="Times New Roman" w:eastAsia="Times New Roman"/>
                <w:b w:val="0"/>
                <w:sz w:val="16"/>
              </w:rPr>
              <w:t>behavioural_segment</w:t>
            </w:r>
          </w:p>
        </w:tc>
        <w:tc>
          <w:tcPr>
            <w:tcW w:type="dxa" w:w="2628"/>
            <w:vAlign w:val="center"/>
          </w:tcPr>
          <w:p>
            <w:r/>
            <w:r>
              <w:rPr>
                <w:rFonts w:ascii="Times New Roman" w:hAnsi="Times New Roman" w:eastAsia="Times New Roman"/>
                <w:b w:val="0"/>
                <w:sz w:val="16"/>
              </w:rPr>
              <w:t>Main behavioural grouping derived from behavioural parameters.</w:t>
            </w:r>
          </w:p>
        </w:tc>
        <w:tc>
          <w:tcPr>
            <w:tcW w:type="dxa" w:w="2628"/>
            <w:vAlign w:val="center"/>
          </w:tcPr>
          <w:p>
            <w:r/>
            <w:r>
              <w:rPr>
                <w:rFonts w:ascii="Times New Roman" w:hAnsi="Times New Roman" w:eastAsia="Times New Roman"/>
                <w:b w:val="0"/>
                <w:sz w:val="16"/>
              </w:rPr>
              <w:t>No Activity 90 Days / Monthly Login / Advice Used</w:t>
            </w:r>
          </w:p>
        </w:tc>
        <w:tc>
          <w:tcPr>
            <w:tcW w:type="dxa" w:w="2628"/>
            <w:vAlign w:val="center"/>
          </w:tcPr>
          <w:p>
            <w:r/>
            <w:r>
              <w:rPr>
                <w:rFonts w:ascii="Times New Roman" w:hAnsi="Times New Roman" w:eastAsia="Times New Roman"/>
                <w:b w:val="0"/>
                <w:sz w:val="16"/>
              </w:rPr>
              <w:t>Power BI can show churn risk distribution by behavioural segment.</w:t>
            </w:r>
          </w:p>
        </w:tc>
      </w:tr>
      <w:tr>
        <w:tc>
          <w:tcPr>
            <w:tcW w:type="dxa" w:w="2628"/>
            <w:vAlign w:val="center"/>
          </w:tcPr>
          <w:p>
            <w:r/>
            <w:r>
              <w:rPr>
                <w:rFonts w:ascii="Times New Roman" w:hAnsi="Times New Roman" w:eastAsia="Times New Roman"/>
                <w:b w:val="0"/>
                <w:sz w:val="16"/>
              </w:rPr>
              <w:t>behavioural_risk_band</w:t>
            </w:r>
          </w:p>
        </w:tc>
        <w:tc>
          <w:tcPr>
            <w:tcW w:type="dxa" w:w="2628"/>
            <w:vAlign w:val="center"/>
          </w:tcPr>
          <w:p>
            <w:r/>
            <w:r>
              <w:rPr>
                <w:rFonts w:ascii="Times New Roman" w:hAnsi="Times New Roman" w:eastAsia="Times New Roman"/>
                <w:b w:val="0"/>
                <w:sz w:val="16"/>
              </w:rPr>
              <w:t>Risk level derived from behavioural parameters.</w:t>
            </w:r>
          </w:p>
        </w:tc>
        <w:tc>
          <w:tcPr>
            <w:tcW w:type="dxa" w:w="2628"/>
            <w:vAlign w:val="center"/>
          </w:tcPr>
          <w:p>
            <w:r/>
            <w:r>
              <w:rPr>
                <w:rFonts w:ascii="Times New Roman" w:hAnsi="Times New Roman" w:eastAsia="Times New Roman"/>
                <w:b w:val="0"/>
                <w:sz w:val="16"/>
              </w:rPr>
              <w:t>Low / Medium / High</w:t>
            </w:r>
          </w:p>
        </w:tc>
        <w:tc>
          <w:tcPr>
            <w:tcW w:type="dxa" w:w="2628"/>
            <w:vAlign w:val="center"/>
          </w:tcPr>
          <w:p>
            <w:r/>
            <w:r>
              <w:rPr>
                <w:rFonts w:ascii="Times New Roman" w:hAnsi="Times New Roman" w:eastAsia="Times New Roman"/>
                <w:b w:val="0"/>
                <w:sz w:val="16"/>
              </w:rPr>
              <w:t>Can be used with risk_band to compare behavioural risk vs model risk.</w:t>
            </w:r>
          </w:p>
        </w:tc>
      </w:tr>
    </w:tbl>
    <w:p>
      <w:pPr>
        <w:pStyle w:val="Heading3"/>
      </w:pPr>
      <w:r>
        <w:t>C. Example Output with Behavioural Fields</w:t>
      </w:r>
    </w:p>
    <w:tbl>
      <w:tblPr>
        <w:tblStyle w:val="TableGrid"/>
        <w:tblW w:type="auto" w:w="0"/>
        <w:jc w:val="center"/>
        <w:tblLayout w:type="autofit"/>
        <w:tblLook w:firstColumn="1" w:firstRow="1" w:lastColumn="0" w:lastRow="0" w:noHBand="0" w:noVBand="1" w:val="04A0"/>
      </w:tblPr>
      <w:tblGrid>
        <w:gridCol w:w="1051"/>
        <w:gridCol w:w="1051"/>
        <w:gridCol w:w="1051"/>
        <w:gridCol w:w="1051"/>
        <w:gridCol w:w="1051"/>
        <w:gridCol w:w="1051"/>
        <w:gridCol w:w="1051"/>
        <w:gridCol w:w="1051"/>
        <w:gridCol w:w="1051"/>
        <w:gridCol w:w="1051"/>
      </w:tblGrid>
      <w:tr>
        <w:tc>
          <w:tcPr>
            <w:tcW w:type="dxa" w:w="1051"/>
            <w:vAlign w:val="center"/>
            <w:shd w:fill="D9EAF7"/>
          </w:tcPr>
          <w:p>
            <w:r/>
            <w:r>
              <w:rPr>
                <w:rFonts w:ascii="Times New Roman" w:hAnsi="Times New Roman" w:eastAsia="Times New Roman"/>
                <w:b/>
                <w:sz w:val="15"/>
              </w:rPr>
              <w:t>member_id</w:t>
            </w:r>
          </w:p>
        </w:tc>
        <w:tc>
          <w:tcPr>
            <w:tcW w:type="dxa" w:w="1051"/>
            <w:vAlign w:val="center"/>
            <w:shd w:fill="D9EAF7"/>
          </w:tcPr>
          <w:p>
            <w:r/>
            <w:r>
              <w:rPr>
                <w:rFonts w:ascii="Times New Roman" w:hAnsi="Times New Roman" w:eastAsia="Times New Roman"/>
                <w:b/>
                <w:sz w:val="15"/>
              </w:rPr>
              <w:t>account_id</w:t>
            </w:r>
          </w:p>
        </w:tc>
        <w:tc>
          <w:tcPr>
            <w:tcW w:type="dxa" w:w="1051"/>
            <w:vAlign w:val="center"/>
            <w:shd w:fill="D9EAF7"/>
          </w:tcPr>
          <w:p>
            <w:r/>
            <w:r>
              <w:rPr>
                <w:rFonts w:ascii="Times New Roman" w:hAnsi="Times New Roman" w:eastAsia="Times New Roman"/>
                <w:b/>
                <w:sz w:val="15"/>
              </w:rPr>
              <w:t>risk_band</w:t>
            </w:r>
          </w:p>
        </w:tc>
        <w:tc>
          <w:tcPr>
            <w:tcW w:type="dxa" w:w="1051"/>
            <w:vAlign w:val="center"/>
            <w:shd w:fill="D9EAF7"/>
          </w:tcPr>
          <w:p>
            <w:r/>
            <w:r>
              <w:rPr>
                <w:rFonts w:ascii="Times New Roman" w:hAnsi="Times New Roman" w:eastAsia="Times New Roman"/>
                <w:b/>
                <w:sz w:val="15"/>
              </w:rPr>
              <w:t>churn_probability</w:t>
            </w:r>
          </w:p>
        </w:tc>
        <w:tc>
          <w:tcPr>
            <w:tcW w:type="dxa" w:w="1051"/>
            <w:vAlign w:val="center"/>
            <w:shd w:fill="D9EAF7"/>
          </w:tcPr>
          <w:p>
            <w:r/>
            <w:r>
              <w:rPr>
                <w:rFonts w:ascii="Times New Roman" w:hAnsi="Times New Roman" w:eastAsia="Times New Roman"/>
                <w:b/>
                <w:sz w:val="15"/>
              </w:rPr>
              <w:t>monthly_login_flag</w:t>
            </w:r>
          </w:p>
        </w:tc>
        <w:tc>
          <w:tcPr>
            <w:tcW w:type="dxa" w:w="1051"/>
            <w:vAlign w:val="center"/>
            <w:shd w:fill="D9EAF7"/>
          </w:tcPr>
          <w:p>
            <w:r/>
            <w:r>
              <w:rPr>
                <w:rFonts w:ascii="Times New Roman" w:hAnsi="Times New Roman" w:eastAsia="Times New Roman"/>
                <w:b/>
                <w:sz w:val="15"/>
              </w:rPr>
              <w:t>advice_used_flag</w:t>
            </w:r>
          </w:p>
        </w:tc>
        <w:tc>
          <w:tcPr>
            <w:tcW w:type="dxa" w:w="1051"/>
            <w:vAlign w:val="center"/>
            <w:shd w:fill="D9EAF7"/>
          </w:tcPr>
          <w:p>
            <w:r/>
            <w:r>
              <w:rPr>
                <w:rFonts w:ascii="Times New Roman" w:hAnsi="Times New Roman" w:eastAsia="Times New Roman"/>
                <w:b/>
                <w:sz w:val="15"/>
              </w:rPr>
              <w:t>insurance_active_flag</w:t>
            </w:r>
          </w:p>
        </w:tc>
        <w:tc>
          <w:tcPr>
            <w:tcW w:type="dxa" w:w="1051"/>
            <w:vAlign w:val="center"/>
            <w:shd w:fill="D9EAF7"/>
          </w:tcPr>
          <w:p>
            <w:r/>
            <w:r>
              <w:rPr>
                <w:rFonts w:ascii="Times New Roman" w:hAnsi="Times New Roman" w:eastAsia="Times New Roman"/>
                <w:b/>
                <w:sz w:val="15"/>
              </w:rPr>
              <w:t>beneficiary_added_flag</w:t>
            </w:r>
          </w:p>
        </w:tc>
        <w:tc>
          <w:tcPr>
            <w:tcW w:type="dxa" w:w="1051"/>
            <w:vAlign w:val="center"/>
            <w:shd w:fill="D9EAF7"/>
          </w:tcPr>
          <w:p>
            <w:r/>
            <w:r>
              <w:rPr>
                <w:rFonts w:ascii="Times New Roman" w:hAnsi="Times New Roman" w:eastAsia="Times New Roman"/>
                <w:b/>
                <w:sz w:val="15"/>
              </w:rPr>
              <w:t>no_activity_90_days_flag</w:t>
            </w:r>
          </w:p>
        </w:tc>
        <w:tc>
          <w:tcPr>
            <w:tcW w:type="dxa" w:w="1051"/>
            <w:vAlign w:val="center"/>
            <w:shd w:fill="D9EAF7"/>
          </w:tcPr>
          <w:p>
            <w:r/>
            <w:r>
              <w:rPr>
                <w:rFonts w:ascii="Times New Roman" w:hAnsi="Times New Roman" w:eastAsia="Times New Roman"/>
                <w:b/>
                <w:sz w:val="15"/>
              </w:rPr>
              <w:t>behavioural_segment</w:t>
            </w:r>
          </w:p>
        </w:tc>
      </w:tr>
      <w:tr>
        <w:tc>
          <w:tcPr>
            <w:tcW w:type="dxa" w:w="1051"/>
            <w:vAlign w:val="center"/>
          </w:tcPr>
          <w:p>
            <w:r/>
            <w:r>
              <w:rPr>
                <w:rFonts w:ascii="Times New Roman" w:hAnsi="Times New Roman" w:eastAsia="Times New Roman"/>
                <w:b w:val="0"/>
                <w:sz w:val="15"/>
              </w:rPr>
              <w:t>M001</w:t>
            </w:r>
          </w:p>
        </w:tc>
        <w:tc>
          <w:tcPr>
            <w:tcW w:type="dxa" w:w="1051"/>
            <w:vAlign w:val="center"/>
          </w:tcPr>
          <w:p>
            <w:r/>
            <w:r>
              <w:rPr>
                <w:rFonts w:ascii="Times New Roman" w:hAnsi="Times New Roman" w:eastAsia="Times New Roman"/>
                <w:b w:val="0"/>
                <w:sz w:val="15"/>
              </w:rPr>
              <w:t>A001</w:t>
            </w:r>
          </w:p>
        </w:tc>
        <w:tc>
          <w:tcPr>
            <w:tcW w:type="dxa" w:w="1051"/>
            <w:vAlign w:val="center"/>
          </w:tcPr>
          <w:p>
            <w:r/>
            <w:r>
              <w:rPr>
                <w:rFonts w:ascii="Times New Roman" w:hAnsi="Times New Roman" w:eastAsia="Times New Roman"/>
                <w:b w:val="0"/>
                <w:sz w:val="15"/>
              </w:rPr>
              <w:t>High</w:t>
            </w:r>
          </w:p>
        </w:tc>
        <w:tc>
          <w:tcPr>
            <w:tcW w:type="dxa" w:w="1051"/>
            <w:vAlign w:val="center"/>
          </w:tcPr>
          <w:p>
            <w:r/>
            <w:r>
              <w:rPr>
                <w:rFonts w:ascii="Times New Roman" w:hAnsi="Times New Roman" w:eastAsia="Times New Roman"/>
                <w:b w:val="0"/>
                <w:sz w:val="15"/>
              </w:rPr>
              <w:t>0.87</w:t>
            </w:r>
          </w:p>
        </w:tc>
        <w:tc>
          <w:tcPr>
            <w:tcW w:type="dxa" w:w="1051"/>
            <w:vAlign w:val="center"/>
          </w:tcPr>
          <w:p>
            <w:r/>
            <w:r>
              <w:rPr>
                <w:rFonts w:ascii="Times New Roman" w:hAnsi="Times New Roman" w:eastAsia="Times New Roman"/>
                <w:b w:val="0"/>
                <w:sz w:val="15"/>
              </w:rPr>
              <w:t>N</w:t>
            </w:r>
          </w:p>
        </w:tc>
        <w:tc>
          <w:tcPr>
            <w:tcW w:type="dxa" w:w="1051"/>
            <w:vAlign w:val="center"/>
          </w:tcPr>
          <w:p>
            <w:r/>
            <w:r>
              <w:rPr>
                <w:rFonts w:ascii="Times New Roman" w:hAnsi="Times New Roman" w:eastAsia="Times New Roman"/>
                <w:b w:val="0"/>
                <w:sz w:val="15"/>
              </w:rPr>
              <w:t>N</w:t>
            </w:r>
          </w:p>
        </w:tc>
        <w:tc>
          <w:tcPr>
            <w:tcW w:type="dxa" w:w="1051"/>
            <w:vAlign w:val="center"/>
          </w:tcPr>
          <w:p>
            <w:r/>
            <w:r>
              <w:rPr>
                <w:rFonts w:ascii="Times New Roman" w:hAnsi="Times New Roman" w:eastAsia="Times New Roman"/>
                <w:b w:val="0"/>
                <w:sz w:val="15"/>
              </w:rPr>
              <w:t>N</w:t>
            </w:r>
          </w:p>
        </w:tc>
        <w:tc>
          <w:tcPr>
            <w:tcW w:type="dxa" w:w="1051"/>
            <w:vAlign w:val="center"/>
          </w:tcPr>
          <w:p>
            <w:r/>
            <w:r>
              <w:rPr>
                <w:rFonts w:ascii="Times New Roman" w:hAnsi="Times New Roman" w:eastAsia="Times New Roman"/>
                <w:b w:val="0"/>
                <w:sz w:val="15"/>
              </w:rPr>
              <w:t>N</w:t>
            </w:r>
          </w:p>
        </w:tc>
        <w:tc>
          <w:tcPr>
            <w:tcW w:type="dxa" w:w="1051"/>
            <w:vAlign w:val="center"/>
          </w:tcPr>
          <w:p>
            <w:r/>
            <w:r>
              <w:rPr>
                <w:rFonts w:ascii="Times New Roman" w:hAnsi="Times New Roman" w:eastAsia="Times New Roman"/>
                <w:b w:val="0"/>
                <w:sz w:val="15"/>
              </w:rPr>
              <w:t>Y</w:t>
            </w:r>
          </w:p>
        </w:tc>
        <w:tc>
          <w:tcPr>
            <w:tcW w:type="dxa" w:w="1051"/>
            <w:vAlign w:val="center"/>
          </w:tcPr>
          <w:p>
            <w:r/>
            <w:r>
              <w:rPr>
                <w:rFonts w:ascii="Times New Roman" w:hAnsi="Times New Roman" w:eastAsia="Times New Roman"/>
                <w:b w:val="0"/>
                <w:sz w:val="15"/>
              </w:rPr>
              <w:t>No Activity 90 Days</w:t>
            </w:r>
          </w:p>
        </w:tc>
      </w:tr>
      <w:tr>
        <w:tc>
          <w:tcPr>
            <w:tcW w:type="dxa" w:w="1051"/>
            <w:vAlign w:val="center"/>
          </w:tcPr>
          <w:p>
            <w:r/>
            <w:r>
              <w:rPr>
                <w:rFonts w:ascii="Times New Roman" w:hAnsi="Times New Roman" w:eastAsia="Times New Roman"/>
                <w:b w:val="0"/>
                <w:sz w:val="15"/>
              </w:rPr>
              <w:t>M002</w:t>
            </w:r>
          </w:p>
        </w:tc>
        <w:tc>
          <w:tcPr>
            <w:tcW w:type="dxa" w:w="1051"/>
            <w:vAlign w:val="center"/>
          </w:tcPr>
          <w:p>
            <w:r/>
            <w:r>
              <w:rPr>
                <w:rFonts w:ascii="Times New Roman" w:hAnsi="Times New Roman" w:eastAsia="Times New Roman"/>
                <w:b w:val="0"/>
                <w:sz w:val="15"/>
              </w:rPr>
              <w:t>A002</w:t>
            </w:r>
          </w:p>
        </w:tc>
        <w:tc>
          <w:tcPr>
            <w:tcW w:type="dxa" w:w="1051"/>
            <w:vAlign w:val="center"/>
          </w:tcPr>
          <w:p>
            <w:r/>
            <w:r>
              <w:rPr>
                <w:rFonts w:ascii="Times New Roman" w:hAnsi="Times New Roman" w:eastAsia="Times New Roman"/>
                <w:b w:val="0"/>
                <w:sz w:val="15"/>
              </w:rPr>
              <w:t>Medium</w:t>
            </w:r>
          </w:p>
        </w:tc>
        <w:tc>
          <w:tcPr>
            <w:tcW w:type="dxa" w:w="1051"/>
            <w:vAlign w:val="center"/>
          </w:tcPr>
          <w:p>
            <w:r/>
            <w:r>
              <w:rPr>
                <w:rFonts w:ascii="Times New Roman" w:hAnsi="Times New Roman" w:eastAsia="Times New Roman"/>
                <w:b w:val="0"/>
                <w:sz w:val="15"/>
              </w:rPr>
              <w:t>0.68</w:t>
            </w:r>
          </w:p>
        </w:tc>
        <w:tc>
          <w:tcPr>
            <w:tcW w:type="dxa" w:w="1051"/>
            <w:vAlign w:val="center"/>
          </w:tcPr>
          <w:p>
            <w:r/>
            <w:r>
              <w:rPr>
                <w:rFonts w:ascii="Times New Roman" w:hAnsi="Times New Roman" w:eastAsia="Times New Roman"/>
                <w:b w:val="0"/>
                <w:sz w:val="15"/>
              </w:rPr>
              <w:t>Y</w:t>
            </w:r>
          </w:p>
        </w:tc>
        <w:tc>
          <w:tcPr>
            <w:tcW w:type="dxa" w:w="1051"/>
            <w:vAlign w:val="center"/>
          </w:tcPr>
          <w:p>
            <w:r/>
            <w:r>
              <w:rPr>
                <w:rFonts w:ascii="Times New Roman" w:hAnsi="Times New Roman" w:eastAsia="Times New Roman"/>
                <w:b w:val="0"/>
                <w:sz w:val="15"/>
              </w:rPr>
              <w:t>N</w:t>
            </w:r>
          </w:p>
        </w:tc>
        <w:tc>
          <w:tcPr>
            <w:tcW w:type="dxa" w:w="1051"/>
            <w:vAlign w:val="center"/>
          </w:tcPr>
          <w:p>
            <w:r/>
            <w:r>
              <w:rPr>
                <w:rFonts w:ascii="Times New Roman" w:hAnsi="Times New Roman" w:eastAsia="Times New Roman"/>
                <w:b w:val="0"/>
                <w:sz w:val="15"/>
              </w:rPr>
              <w:t>Y</w:t>
            </w:r>
          </w:p>
        </w:tc>
        <w:tc>
          <w:tcPr>
            <w:tcW w:type="dxa" w:w="1051"/>
            <w:vAlign w:val="center"/>
          </w:tcPr>
          <w:p>
            <w:r/>
            <w:r>
              <w:rPr>
                <w:rFonts w:ascii="Times New Roman" w:hAnsi="Times New Roman" w:eastAsia="Times New Roman"/>
                <w:b w:val="0"/>
                <w:sz w:val="15"/>
              </w:rPr>
              <w:t>Y</w:t>
            </w:r>
          </w:p>
        </w:tc>
        <w:tc>
          <w:tcPr>
            <w:tcW w:type="dxa" w:w="1051"/>
            <w:vAlign w:val="center"/>
          </w:tcPr>
          <w:p>
            <w:r/>
            <w:r>
              <w:rPr>
                <w:rFonts w:ascii="Times New Roman" w:hAnsi="Times New Roman" w:eastAsia="Times New Roman"/>
                <w:b w:val="0"/>
                <w:sz w:val="15"/>
              </w:rPr>
              <w:t>N</w:t>
            </w:r>
          </w:p>
        </w:tc>
        <w:tc>
          <w:tcPr>
            <w:tcW w:type="dxa" w:w="1051"/>
            <w:vAlign w:val="center"/>
          </w:tcPr>
          <w:p>
            <w:r/>
            <w:r>
              <w:rPr>
                <w:rFonts w:ascii="Times New Roman" w:hAnsi="Times New Roman" w:eastAsia="Times New Roman"/>
                <w:b w:val="0"/>
                <w:sz w:val="15"/>
              </w:rPr>
              <w:t>Advice Not Used</w:t>
            </w:r>
          </w:p>
        </w:tc>
      </w:tr>
      <w:tr>
        <w:tc>
          <w:tcPr>
            <w:tcW w:type="dxa" w:w="1051"/>
            <w:vAlign w:val="center"/>
          </w:tcPr>
          <w:p>
            <w:r/>
            <w:r>
              <w:rPr>
                <w:rFonts w:ascii="Times New Roman" w:hAnsi="Times New Roman" w:eastAsia="Times New Roman"/>
                <w:b w:val="0"/>
                <w:sz w:val="15"/>
              </w:rPr>
              <w:t>M003</w:t>
            </w:r>
          </w:p>
        </w:tc>
        <w:tc>
          <w:tcPr>
            <w:tcW w:type="dxa" w:w="1051"/>
            <w:vAlign w:val="center"/>
          </w:tcPr>
          <w:p>
            <w:r/>
            <w:r>
              <w:rPr>
                <w:rFonts w:ascii="Times New Roman" w:hAnsi="Times New Roman" w:eastAsia="Times New Roman"/>
                <w:b w:val="0"/>
                <w:sz w:val="15"/>
              </w:rPr>
              <w:t>A003</w:t>
            </w:r>
          </w:p>
        </w:tc>
        <w:tc>
          <w:tcPr>
            <w:tcW w:type="dxa" w:w="1051"/>
            <w:vAlign w:val="center"/>
          </w:tcPr>
          <w:p>
            <w:r/>
            <w:r>
              <w:rPr>
                <w:rFonts w:ascii="Times New Roman" w:hAnsi="Times New Roman" w:eastAsia="Times New Roman"/>
                <w:b w:val="0"/>
                <w:sz w:val="15"/>
              </w:rPr>
              <w:t>Low</w:t>
            </w:r>
          </w:p>
        </w:tc>
        <w:tc>
          <w:tcPr>
            <w:tcW w:type="dxa" w:w="1051"/>
            <w:vAlign w:val="center"/>
          </w:tcPr>
          <w:p>
            <w:r/>
            <w:r>
              <w:rPr>
                <w:rFonts w:ascii="Times New Roman" w:hAnsi="Times New Roman" w:eastAsia="Times New Roman"/>
                <w:b w:val="0"/>
                <w:sz w:val="15"/>
              </w:rPr>
              <w:t>0.12</w:t>
            </w:r>
          </w:p>
        </w:tc>
        <w:tc>
          <w:tcPr>
            <w:tcW w:type="dxa" w:w="1051"/>
            <w:vAlign w:val="center"/>
          </w:tcPr>
          <w:p>
            <w:r/>
            <w:r>
              <w:rPr>
                <w:rFonts w:ascii="Times New Roman" w:hAnsi="Times New Roman" w:eastAsia="Times New Roman"/>
                <w:b w:val="0"/>
                <w:sz w:val="15"/>
              </w:rPr>
              <w:t>Y</w:t>
            </w:r>
          </w:p>
        </w:tc>
        <w:tc>
          <w:tcPr>
            <w:tcW w:type="dxa" w:w="1051"/>
            <w:vAlign w:val="center"/>
          </w:tcPr>
          <w:p>
            <w:r/>
            <w:r>
              <w:rPr>
                <w:rFonts w:ascii="Times New Roman" w:hAnsi="Times New Roman" w:eastAsia="Times New Roman"/>
                <w:b w:val="0"/>
                <w:sz w:val="15"/>
              </w:rPr>
              <w:t>Y</w:t>
            </w:r>
          </w:p>
        </w:tc>
        <w:tc>
          <w:tcPr>
            <w:tcW w:type="dxa" w:w="1051"/>
            <w:vAlign w:val="center"/>
          </w:tcPr>
          <w:p>
            <w:r/>
            <w:r>
              <w:rPr>
                <w:rFonts w:ascii="Times New Roman" w:hAnsi="Times New Roman" w:eastAsia="Times New Roman"/>
                <w:b w:val="0"/>
                <w:sz w:val="15"/>
              </w:rPr>
              <w:t>Y</w:t>
            </w:r>
          </w:p>
        </w:tc>
        <w:tc>
          <w:tcPr>
            <w:tcW w:type="dxa" w:w="1051"/>
            <w:vAlign w:val="center"/>
          </w:tcPr>
          <w:p>
            <w:r/>
            <w:r>
              <w:rPr>
                <w:rFonts w:ascii="Times New Roman" w:hAnsi="Times New Roman" w:eastAsia="Times New Roman"/>
                <w:b w:val="0"/>
                <w:sz w:val="15"/>
              </w:rPr>
              <w:t>Y</w:t>
            </w:r>
          </w:p>
        </w:tc>
        <w:tc>
          <w:tcPr>
            <w:tcW w:type="dxa" w:w="1051"/>
            <w:vAlign w:val="center"/>
          </w:tcPr>
          <w:p>
            <w:r/>
            <w:r>
              <w:rPr>
                <w:rFonts w:ascii="Times New Roman" w:hAnsi="Times New Roman" w:eastAsia="Times New Roman"/>
                <w:b w:val="0"/>
                <w:sz w:val="15"/>
              </w:rPr>
              <w:t>N</w:t>
            </w:r>
          </w:p>
        </w:tc>
        <w:tc>
          <w:tcPr>
            <w:tcW w:type="dxa" w:w="1051"/>
            <w:vAlign w:val="center"/>
          </w:tcPr>
          <w:p>
            <w:r/>
            <w:r>
              <w:rPr>
                <w:rFonts w:ascii="Times New Roman" w:hAnsi="Times New Roman" w:eastAsia="Times New Roman"/>
                <w:b w:val="0"/>
                <w:sz w:val="15"/>
              </w:rPr>
              <w:t>Monthly Login Active</w:t>
            </w:r>
          </w:p>
        </w:tc>
      </w:tr>
    </w:tbl>
    <w:p>
      <w:pPr>
        <w:pStyle w:val="Heading3"/>
      </w:pPr>
      <w:r>
        <w:t>D. FRS Assumptions / Notes</w:t>
      </w:r>
    </w:p>
    <w:p>
      <w:pPr>
        <w:ind w:left="288"/>
      </w:pPr>
      <w:r>
        <w:t>• Behavioural parameters listed above are based on initial DB-level analysis and are subject to confirmation from business/BA and data availability.</w:t>
      </w:r>
    </w:p>
    <w:p>
      <w:pPr>
        <w:ind w:left="288"/>
      </w:pPr>
      <w:r>
        <w:t>• Additional behavioural parameters may be added later as data exploration progresses.</w:t>
      </w:r>
    </w:p>
    <w:p>
      <w:pPr>
        <w:ind w:left="288"/>
      </w:pPr>
      <w:r>
        <w:t>• These behavioural fields are not final KPIs by themselves; they are supporting input features, churn drivers, and dashboard segmentation fields.</w:t>
      </w:r>
    </w:p>
    <w:p>
      <w:pPr>
        <w:ind w:left="288"/>
      </w:pPr>
      <w:r>
        <w:t>• Power BI can use these fields along with churn_probability and risk_band to show churn risk distribution by behavioural category.</w:t>
      </w:r>
    </w:p>
    <w:p>
      <w:pPr>
        <w:ind w:left="288"/>
      </w:pPr>
      <w:r>
        <w:t>• If any behavioural source data is not available or not reliable, the field should be marked as unavailable or excluded from the initial model/dashboard scope.</w:t>
      </w:r>
    </w:p>
    <w:p>
      <w:pPr>
        <w:pStyle w:val="Heading3"/>
      </w:pPr>
      <w:r>
        <w:t>Suggested Explanation to Power BI / BA Team</w:t>
      </w:r>
    </w:p>
    <w:p>
      <w:r>
        <w:rPr>
          <w:b/>
        </w:rPr>
        <w:t xml:space="preserve">Suggested wording: </w:t>
      </w:r>
      <w:r>
        <w:t>“We have identified a few behavioural parameters during initial DB-level analysis, such as monthly login, advice used, insurance active, beneficiary added, and no activity for 90 days. Since we are still in the initial requirement phase, this will be treated as a draft behavioural parameter list. More behavioural fields may be added later based on further data exploration and business confirmation. These fields can be used by Power BI along with risk band and churn probability to show churn risk distribution by behavioural category.”</w:t>
      </w:r>
    </w:p>
    <w:sectPr w:rsidR="00FC693F" w:rsidRPr="0006063C" w:rsidSect="00034616">
      <w:footerReference w:type="default" r:id="rId9"/>
      <w:pgSz w:w="12240" w:h="158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FRS Section 11.1 - Behavioural Data Parameters -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