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0"/>
        </w:rPr>
        <w:t>FRS Section 11.2 - ML Output and Member-Level Aggregation</w:t>
      </w:r>
    </w:p>
    <w:p>
      <w:pPr>
        <w:jc w:val="center"/>
      </w:pPr>
      <w:r>
        <w:rPr>
          <w:i/>
          <w:sz w:val="18"/>
        </w:rPr>
        <w:t>Retention Rate / Churn Risk Prediction Output - Draft Content</w:t>
      </w:r>
    </w:p>
    <w:p>
      <w:r>
        <w:t>Use the below content to replace or update section 11.2 in the FRS document.</w:t>
      </w:r>
    </w:p>
    <w:p>
      <w:pPr>
        <w:pStyle w:val="Heading1"/>
      </w:pPr>
      <w:r>
        <w:t>11.2 Example Output Records</w:t>
      </w:r>
    </w:p>
    <w:p>
      <w:r>
        <w:t>The ML prediction output will be generated at account level, since the BRS measurement level for the retention metrics is Account. Each account will have its own churn probability, risk band, retention category, and FUM information.</w:t>
      </w:r>
    </w:p>
    <w:p>
      <w:r>
        <w:t>If a member has multiple accounts, the account-level output will remain unchanged. For member-level dashboard aggregation, the proposed rule is to use the maximum churn probability across all accounts belonging to the same member. This avoids hiding a high-risk account when the same member also has other low-risk accounts.</w:t>
      </w:r>
    </w:p>
    <w:p>
      <w:r>
        <w:t>Average churn probability may be shown as an additional supporting metric if required, but it should not be used as the primary member-level risk classification unless confirmed by business.</w:t>
      </w:r>
    </w:p>
    <w:p>
      <w:pPr>
        <w:sectPr>
          <w:footerReference w:type="default" r:id="rId9"/>
          <w:pgSz w:w="12240" w:h="15840"/>
          <w:pgMar w:top="864" w:right="792" w:bottom="864" w:left="792" w:header="720" w:footer="720" w:gutter="0"/>
          <w:cols w:space="720"/>
          <w:docGrid w:linePitch="360"/>
        </w:sectPr>
      </w:pPr>
    </w:p>
    <w:p>
      <w:pPr>
        <w:pStyle w:val="Heading2"/>
      </w:pPr>
      <w:r>
        <w:t>11.2.1 Account-Level ML Output</w:t>
      </w:r>
    </w:p>
    <w:tbl>
      <w:tblPr>
        <w:tblStyle w:val="TableGrid"/>
        <w:tblW w:type="auto" w:w="0"/>
        <w:jc w:val="center"/>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c>
          <w:tcPr>
            <w:tcW w:type="dxa" w:w="1080"/>
            <w:vAlign w:val="center"/>
            <w:shd w:fill="D9EAF7"/>
          </w:tcPr>
          <w:p>
            <w:r/>
            <w:r>
              <w:rPr>
                <w:rFonts w:ascii="Arial" w:hAnsi="Arial" w:eastAsia="Arial"/>
                <w:b/>
                <w:sz w:val="16"/>
              </w:rPr>
              <w:t>Reporting Period</w:t>
            </w:r>
          </w:p>
        </w:tc>
        <w:tc>
          <w:tcPr>
            <w:tcW w:type="dxa" w:w="864"/>
            <w:vAlign w:val="center"/>
            <w:shd w:fill="D9EAF7"/>
          </w:tcPr>
          <w:p>
            <w:r/>
            <w:r>
              <w:rPr>
                <w:rFonts w:ascii="Arial" w:hAnsi="Arial" w:eastAsia="Arial"/>
                <w:b/>
                <w:sz w:val="16"/>
              </w:rPr>
              <w:t>Member ID</w:t>
            </w:r>
          </w:p>
        </w:tc>
        <w:tc>
          <w:tcPr>
            <w:tcW w:type="dxa" w:w="864"/>
            <w:vAlign w:val="center"/>
            <w:shd w:fill="D9EAF7"/>
          </w:tcPr>
          <w:p>
            <w:r/>
            <w:r>
              <w:rPr>
                <w:rFonts w:ascii="Arial" w:hAnsi="Arial" w:eastAsia="Arial"/>
                <w:b/>
                <w:sz w:val="16"/>
              </w:rPr>
              <w:t>Account ID</w:t>
            </w:r>
          </w:p>
        </w:tc>
        <w:tc>
          <w:tcPr>
            <w:tcW w:type="dxa" w:w="1152"/>
            <w:vAlign w:val="center"/>
            <w:shd w:fill="D9EAF7"/>
          </w:tcPr>
          <w:p>
            <w:r/>
            <w:r>
              <w:rPr>
                <w:rFonts w:ascii="Arial" w:hAnsi="Arial" w:eastAsia="Arial"/>
                <w:b/>
                <w:sz w:val="16"/>
              </w:rPr>
              <w:t>Prediction Label</w:t>
            </w:r>
          </w:p>
        </w:tc>
        <w:tc>
          <w:tcPr>
            <w:tcW w:type="dxa" w:w="1152"/>
            <w:vAlign w:val="center"/>
            <w:shd w:fill="D9EAF7"/>
          </w:tcPr>
          <w:p>
            <w:r/>
            <w:r>
              <w:rPr>
                <w:rFonts w:ascii="Arial" w:hAnsi="Arial" w:eastAsia="Arial"/>
                <w:b/>
                <w:sz w:val="16"/>
              </w:rPr>
              <w:t>Churn Probability</w:t>
            </w:r>
          </w:p>
        </w:tc>
        <w:tc>
          <w:tcPr>
            <w:tcW w:type="dxa" w:w="792"/>
            <w:vAlign w:val="center"/>
            <w:shd w:fill="D9EAF7"/>
          </w:tcPr>
          <w:p>
            <w:r/>
            <w:r>
              <w:rPr>
                <w:rFonts w:ascii="Arial" w:hAnsi="Arial" w:eastAsia="Arial"/>
                <w:b/>
                <w:sz w:val="16"/>
              </w:rPr>
              <w:t>Risk Band</w:t>
            </w:r>
          </w:p>
        </w:tc>
        <w:tc>
          <w:tcPr>
            <w:tcW w:type="dxa" w:w="1512"/>
            <w:vAlign w:val="center"/>
            <w:shd w:fill="D9EAF7"/>
          </w:tcPr>
          <w:p>
            <w:r/>
            <w:r>
              <w:rPr>
                <w:rFonts w:ascii="Arial" w:hAnsi="Arial" w:eastAsia="Arial"/>
                <w:b/>
                <w:sz w:val="16"/>
              </w:rPr>
              <w:t>Retention Category</w:t>
            </w:r>
          </w:p>
        </w:tc>
        <w:tc>
          <w:tcPr>
            <w:tcW w:type="dxa" w:w="936"/>
            <w:vAlign w:val="center"/>
            <w:shd w:fill="D9EAF7"/>
          </w:tcPr>
          <w:p>
            <w:r/>
            <w:r>
              <w:rPr>
                <w:rFonts w:ascii="Arial" w:hAnsi="Arial" w:eastAsia="Arial"/>
                <w:b/>
                <w:sz w:val="16"/>
              </w:rPr>
              <w:t>FUM Start</w:t>
            </w:r>
          </w:p>
        </w:tc>
        <w:tc>
          <w:tcPr>
            <w:tcW w:type="dxa" w:w="936"/>
            <w:vAlign w:val="center"/>
            <w:shd w:fill="D9EAF7"/>
          </w:tcPr>
          <w:p>
            <w:r/>
            <w:r>
              <w:rPr>
                <w:rFonts w:ascii="Arial" w:hAnsi="Arial" w:eastAsia="Arial"/>
                <w:b/>
                <w:sz w:val="16"/>
              </w:rPr>
              <w:t>FUM End</w:t>
            </w:r>
          </w:p>
        </w:tc>
        <w:tc>
          <w:tcPr>
            <w:tcW w:type="dxa" w:w="1368"/>
            <w:vAlign w:val="center"/>
            <w:shd w:fill="D9EAF7"/>
          </w:tcPr>
          <w:p>
            <w:r/>
            <w:r>
              <w:rPr>
                <w:rFonts w:ascii="Arial" w:hAnsi="Arial" w:eastAsia="Arial"/>
                <w:b/>
                <w:sz w:val="16"/>
              </w:rPr>
              <w:t>FUM Lost Indicator</w:t>
            </w:r>
          </w:p>
        </w:tc>
        <w:tc>
          <w:tcPr>
            <w:tcW w:type="dxa" w:w="1728"/>
            <w:vAlign w:val="center"/>
            <w:shd w:fill="D9EAF7"/>
          </w:tcPr>
          <w:p>
            <w:r/>
            <w:r>
              <w:rPr>
                <w:rFonts w:ascii="Arial" w:hAnsi="Arial" w:eastAsia="Arial"/>
                <w:b/>
                <w:sz w:val="16"/>
              </w:rPr>
              <w:t>Primary Churn Driver</w:t>
            </w:r>
          </w:p>
        </w:tc>
        <w:tc>
          <w:tcPr>
            <w:tcW w:type="dxa" w:w="1440"/>
            <w:vAlign w:val="center"/>
            <w:shd w:fill="D9EAF7"/>
          </w:tcPr>
          <w:p>
            <w:r/>
            <w:r>
              <w:rPr>
                <w:rFonts w:ascii="Arial" w:hAnsi="Arial" w:eastAsia="Arial"/>
                <w:b/>
                <w:sz w:val="16"/>
              </w:rPr>
              <w:t>Suggested Action</w:t>
            </w:r>
          </w:p>
        </w:tc>
      </w:tr>
      <w:tr>
        <w:tc>
          <w:tcPr>
            <w:tcW w:type="dxa" w:w="1080"/>
            <w:vAlign w:val="center"/>
          </w:tcPr>
          <w:p>
            <w:r/>
            <w:r>
              <w:rPr>
                <w:rFonts w:ascii="Arial" w:hAnsi="Arial" w:eastAsia="Arial"/>
                <w:b w:val="0"/>
                <w:sz w:val="16"/>
              </w:rPr>
              <w:t>Mar-2026</w:t>
            </w:r>
          </w:p>
        </w:tc>
        <w:tc>
          <w:tcPr>
            <w:tcW w:type="dxa" w:w="864"/>
            <w:vAlign w:val="center"/>
          </w:tcPr>
          <w:p>
            <w:r/>
            <w:r>
              <w:rPr>
                <w:rFonts w:ascii="Arial" w:hAnsi="Arial" w:eastAsia="Arial"/>
                <w:b w:val="0"/>
                <w:sz w:val="16"/>
              </w:rPr>
              <w:t>M001</w:t>
            </w:r>
          </w:p>
        </w:tc>
        <w:tc>
          <w:tcPr>
            <w:tcW w:type="dxa" w:w="864"/>
            <w:vAlign w:val="center"/>
          </w:tcPr>
          <w:p>
            <w:r/>
            <w:r>
              <w:rPr>
                <w:rFonts w:ascii="Arial" w:hAnsi="Arial" w:eastAsia="Arial"/>
                <w:b w:val="0"/>
                <w:sz w:val="16"/>
              </w:rPr>
              <w:t>A001</w:t>
            </w:r>
          </w:p>
        </w:tc>
        <w:tc>
          <w:tcPr>
            <w:tcW w:type="dxa" w:w="1152"/>
            <w:vAlign w:val="center"/>
          </w:tcPr>
          <w:p>
            <w:r/>
            <w:r>
              <w:rPr>
                <w:rFonts w:ascii="Arial" w:hAnsi="Arial" w:eastAsia="Arial"/>
                <w:b w:val="0"/>
                <w:sz w:val="16"/>
              </w:rPr>
              <w:t>Churn</w:t>
            </w:r>
          </w:p>
        </w:tc>
        <w:tc>
          <w:tcPr>
            <w:tcW w:type="dxa" w:w="1152"/>
            <w:vAlign w:val="center"/>
          </w:tcPr>
          <w:p>
            <w:r/>
            <w:r>
              <w:rPr>
                <w:rFonts w:ascii="Arial" w:hAnsi="Arial" w:eastAsia="Arial"/>
                <w:b w:val="0"/>
                <w:sz w:val="16"/>
              </w:rPr>
              <w:t>0.87</w:t>
            </w:r>
          </w:p>
        </w:tc>
        <w:tc>
          <w:tcPr>
            <w:tcW w:type="dxa" w:w="792"/>
            <w:vAlign w:val="center"/>
          </w:tcPr>
          <w:p>
            <w:r/>
            <w:r>
              <w:rPr>
                <w:rFonts w:ascii="Arial" w:hAnsi="Arial" w:eastAsia="Arial"/>
                <w:b w:val="0"/>
                <w:sz w:val="16"/>
              </w:rPr>
              <w:t>High</w:t>
            </w:r>
          </w:p>
        </w:tc>
        <w:tc>
          <w:tcPr>
            <w:tcW w:type="dxa" w:w="1512"/>
            <w:vAlign w:val="center"/>
          </w:tcPr>
          <w:p>
            <w:r/>
            <w:r>
              <w:rPr>
                <w:rFonts w:ascii="Arial" w:hAnsi="Arial" w:eastAsia="Arial"/>
                <w:b w:val="0"/>
                <w:sz w:val="16"/>
              </w:rPr>
              <w:t>Not retained</w:t>
            </w:r>
          </w:p>
        </w:tc>
        <w:tc>
          <w:tcPr>
            <w:tcW w:type="dxa" w:w="936"/>
            <w:vAlign w:val="center"/>
          </w:tcPr>
          <w:p>
            <w:r/>
            <w:r>
              <w:rPr>
                <w:rFonts w:ascii="Arial" w:hAnsi="Arial" w:eastAsia="Arial"/>
                <w:b w:val="0"/>
                <w:sz w:val="16"/>
              </w:rPr>
              <w:t>150,000</w:t>
            </w:r>
          </w:p>
        </w:tc>
        <w:tc>
          <w:tcPr>
            <w:tcW w:type="dxa" w:w="936"/>
            <w:vAlign w:val="center"/>
          </w:tcPr>
          <w:p>
            <w:r/>
            <w:r>
              <w:rPr>
                <w:rFonts w:ascii="Arial" w:hAnsi="Arial" w:eastAsia="Arial"/>
                <w:b w:val="0"/>
                <w:sz w:val="16"/>
              </w:rPr>
              <w:t>0</w:t>
            </w:r>
          </w:p>
        </w:tc>
        <w:tc>
          <w:tcPr>
            <w:tcW w:type="dxa" w:w="1368"/>
            <w:vAlign w:val="center"/>
          </w:tcPr>
          <w:p>
            <w:r/>
            <w:r>
              <w:rPr>
                <w:rFonts w:ascii="Arial" w:hAnsi="Arial" w:eastAsia="Arial"/>
                <w:b w:val="0"/>
                <w:sz w:val="16"/>
              </w:rPr>
              <w:t>Full FUM exited</w:t>
            </w:r>
          </w:p>
        </w:tc>
        <w:tc>
          <w:tcPr>
            <w:tcW w:type="dxa" w:w="1728"/>
            <w:vAlign w:val="center"/>
          </w:tcPr>
          <w:p>
            <w:r/>
            <w:r>
              <w:rPr>
                <w:rFonts w:ascii="Arial" w:hAnsi="Arial" w:eastAsia="Arial"/>
                <w:b w:val="0"/>
                <w:sz w:val="16"/>
              </w:rPr>
              <w:t>Full rollover out</w:t>
            </w:r>
          </w:p>
        </w:tc>
        <w:tc>
          <w:tcPr>
            <w:tcW w:type="dxa" w:w="1440"/>
            <w:vAlign w:val="center"/>
          </w:tcPr>
          <w:p>
            <w:r/>
            <w:r>
              <w:rPr>
                <w:rFonts w:ascii="Arial" w:hAnsi="Arial" w:eastAsia="Arial"/>
                <w:b w:val="0"/>
                <w:sz w:val="16"/>
              </w:rPr>
              <w:t>Retention review</w:t>
            </w:r>
          </w:p>
        </w:tc>
      </w:tr>
      <w:tr>
        <w:tc>
          <w:tcPr>
            <w:tcW w:type="dxa" w:w="1080"/>
            <w:vAlign w:val="center"/>
          </w:tcPr>
          <w:p>
            <w:r/>
            <w:r>
              <w:rPr>
                <w:rFonts w:ascii="Arial" w:hAnsi="Arial" w:eastAsia="Arial"/>
                <w:b w:val="0"/>
                <w:sz w:val="16"/>
              </w:rPr>
              <w:t>Mar-2026</w:t>
            </w:r>
          </w:p>
        </w:tc>
        <w:tc>
          <w:tcPr>
            <w:tcW w:type="dxa" w:w="864"/>
            <w:vAlign w:val="center"/>
          </w:tcPr>
          <w:p>
            <w:r/>
            <w:r>
              <w:rPr>
                <w:rFonts w:ascii="Arial" w:hAnsi="Arial" w:eastAsia="Arial"/>
                <w:b w:val="0"/>
                <w:sz w:val="16"/>
              </w:rPr>
              <w:t>M002</w:t>
            </w:r>
          </w:p>
        </w:tc>
        <w:tc>
          <w:tcPr>
            <w:tcW w:type="dxa" w:w="864"/>
            <w:vAlign w:val="center"/>
          </w:tcPr>
          <w:p>
            <w:r/>
            <w:r>
              <w:rPr>
                <w:rFonts w:ascii="Arial" w:hAnsi="Arial" w:eastAsia="Arial"/>
                <w:b w:val="0"/>
                <w:sz w:val="16"/>
              </w:rPr>
              <w:t>A002</w:t>
            </w:r>
          </w:p>
        </w:tc>
        <w:tc>
          <w:tcPr>
            <w:tcW w:type="dxa" w:w="1152"/>
            <w:vAlign w:val="center"/>
          </w:tcPr>
          <w:p>
            <w:r/>
            <w:r>
              <w:rPr>
                <w:rFonts w:ascii="Arial" w:hAnsi="Arial" w:eastAsia="Arial"/>
                <w:b w:val="0"/>
                <w:sz w:val="16"/>
              </w:rPr>
              <w:t>Churn risk</w:t>
            </w:r>
          </w:p>
        </w:tc>
        <w:tc>
          <w:tcPr>
            <w:tcW w:type="dxa" w:w="1152"/>
            <w:vAlign w:val="center"/>
          </w:tcPr>
          <w:p>
            <w:r/>
            <w:r>
              <w:rPr>
                <w:rFonts w:ascii="Arial" w:hAnsi="Arial" w:eastAsia="Arial"/>
                <w:b w:val="0"/>
                <w:sz w:val="16"/>
              </w:rPr>
              <w:t>0.68</w:t>
            </w:r>
          </w:p>
        </w:tc>
        <w:tc>
          <w:tcPr>
            <w:tcW w:type="dxa" w:w="792"/>
            <w:vAlign w:val="center"/>
          </w:tcPr>
          <w:p>
            <w:r/>
            <w:r>
              <w:rPr>
                <w:rFonts w:ascii="Arial" w:hAnsi="Arial" w:eastAsia="Arial"/>
                <w:b w:val="0"/>
                <w:sz w:val="16"/>
              </w:rPr>
              <w:t>Medium</w:t>
            </w:r>
          </w:p>
        </w:tc>
        <w:tc>
          <w:tcPr>
            <w:tcW w:type="dxa" w:w="1512"/>
            <w:vAlign w:val="center"/>
          </w:tcPr>
          <w:p>
            <w:r/>
            <w:r>
              <w:rPr>
                <w:rFonts w:ascii="Arial" w:hAnsi="Arial" w:eastAsia="Arial"/>
                <w:b w:val="0"/>
                <w:sz w:val="16"/>
              </w:rPr>
              <w:t>Churn risk / FUM leakage</w:t>
            </w:r>
          </w:p>
        </w:tc>
        <w:tc>
          <w:tcPr>
            <w:tcW w:type="dxa" w:w="936"/>
            <w:vAlign w:val="center"/>
          </w:tcPr>
          <w:p>
            <w:r/>
            <w:r>
              <w:rPr>
                <w:rFonts w:ascii="Arial" w:hAnsi="Arial" w:eastAsia="Arial"/>
                <w:b w:val="0"/>
                <w:sz w:val="16"/>
              </w:rPr>
              <w:t>200,000</w:t>
            </w:r>
          </w:p>
        </w:tc>
        <w:tc>
          <w:tcPr>
            <w:tcW w:type="dxa" w:w="936"/>
            <w:vAlign w:val="center"/>
          </w:tcPr>
          <w:p>
            <w:r/>
            <w:r>
              <w:rPr>
                <w:rFonts w:ascii="Arial" w:hAnsi="Arial" w:eastAsia="Arial"/>
                <w:b w:val="0"/>
                <w:sz w:val="16"/>
              </w:rPr>
              <w:t>120,000</w:t>
            </w:r>
          </w:p>
        </w:tc>
        <w:tc>
          <w:tcPr>
            <w:tcW w:type="dxa" w:w="1368"/>
            <w:vAlign w:val="center"/>
          </w:tcPr>
          <w:p>
            <w:r/>
            <w:r>
              <w:rPr>
                <w:rFonts w:ascii="Arial" w:hAnsi="Arial" w:eastAsia="Arial"/>
                <w:b w:val="0"/>
                <w:sz w:val="16"/>
              </w:rPr>
              <w:t>Partial FUM lost</w:t>
            </w:r>
          </w:p>
        </w:tc>
        <w:tc>
          <w:tcPr>
            <w:tcW w:type="dxa" w:w="1728"/>
            <w:vAlign w:val="center"/>
          </w:tcPr>
          <w:p>
            <w:r/>
            <w:r>
              <w:rPr>
                <w:rFonts w:ascii="Arial" w:hAnsi="Arial" w:eastAsia="Arial"/>
                <w:b w:val="0"/>
                <w:sz w:val="16"/>
              </w:rPr>
              <w:t>Partial rollover out</w:t>
            </w:r>
          </w:p>
        </w:tc>
        <w:tc>
          <w:tcPr>
            <w:tcW w:type="dxa" w:w="1440"/>
            <w:vAlign w:val="center"/>
          </w:tcPr>
          <w:p>
            <w:r/>
            <w:r>
              <w:rPr>
                <w:rFonts w:ascii="Arial" w:hAnsi="Arial" w:eastAsia="Arial"/>
                <w:b w:val="0"/>
                <w:sz w:val="16"/>
              </w:rPr>
              <w:t>Review account</w:t>
            </w:r>
          </w:p>
        </w:tc>
      </w:tr>
      <w:tr>
        <w:tc>
          <w:tcPr>
            <w:tcW w:type="dxa" w:w="1080"/>
            <w:vAlign w:val="center"/>
          </w:tcPr>
          <w:p>
            <w:r/>
            <w:r>
              <w:rPr>
                <w:rFonts w:ascii="Arial" w:hAnsi="Arial" w:eastAsia="Arial"/>
                <w:b w:val="0"/>
                <w:sz w:val="16"/>
              </w:rPr>
              <w:t>Mar-2026</w:t>
            </w:r>
          </w:p>
        </w:tc>
        <w:tc>
          <w:tcPr>
            <w:tcW w:type="dxa" w:w="864"/>
            <w:vAlign w:val="center"/>
          </w:tcPr>
          <w:p>
            <w:r/>
            <w:r>
              <w:rPr>
                <w:rFonts w:ascii="Arial" w:hAnsi="Arial" w:eastAsia="Arial"/>
                <w:b w:val="0"/>
                <w:sz w:val="16"/>
              </w:rPr>
              <w:t>M003</w:t>
            </w:r>
          </w:p>
        </w:tc>
        <w:tc>
          <w:tcPr>
            <w:tcW w:type="dxa" w:w="864"/>
            <w:vAlign w:val="center"/>
          </w:tcPr>
          <w:p>
            <w:r/>
            <w:r>
              <w:rPr>
                <w:rFonts w:ascii="Arial" w:hAnsi="Arial" w:eastAsia="Arial"/>
                <w:b w:val="0"/>
                <w:sz w:val="16"/>
              </w:rPr>
              <w:t>A003</w:t>
            </w:r>
          </w:p>
        </w:tc>
        <w:tc>
          <w:tcPr>
            <w:tcW w:type="dxa" w:w="1152"/>
            <w:vAlign w:val="center"/>
          </w:tcPr>
          <w:p>
            <w:r/>
            <w:r>
              <w:rPr>
                <w:rFonts w:ascii="Arial" w:hAnsi="Arial" w:eastAsia="Arial"/>
                <w:b w:val="0"/>
                <w:sz w:val="16"/>
              </w:rPr>
              <w:t>Retained</w:t>
            </w:r>
          </w:p>
        </w:tc>
        <w:tc>
          <w:tcPr>
            <w:tcW w:type="dxa" w:w="1152"/>
            <w:vAlign w:val="center"/>
          </w:tcPr>
          <w:p>
            <w:r/>
            <w:r>
              <w:rPr>
                <w:rFonts w:ascii="Arial" w:hAnsi="Arial" w:eastAsia="Arial"/>
                <w:b w:val="0"/>
                <w:sz w:val="16"/>
              </w:rPr>
              <w:t>0.12</w:t>
            </w:r>
          </w:p>
        </w:tc>
        <w:tc>
          <w:tcPr>
            <w:tcW w:type="dxa" w:w="792"/>
            <w:vAlign w:val="center"/>
          </w:tcPr>
          <w:p>
            <w:r/>
            <w:r>
              <w:rPr>
                <w:rFonts w:ascii="Arial" w:hAnsi="Arial" w:eastAsia="Arial"/>
                <w:b w:val="0"/>
                <w:sz w:val="16"/>
              </w:rPr>
              <w:t>Low</w:t>
            </w:r>
          </w:p>
        </w:tc>
        <w:tc>
          <w:tcPr>
            <w:tcW w:type="dxa" w:w="1512"/>
            <w:vAlign w:val="center"/>
          </w:tcPr>
          <w:p>
            <w:r/>
            <w:r>
              <w:rPr>
                <w:rFonts w:ascii="Arial" w:hAnsi="Arial" w:eastAsia="Arial"/>
                <w:b w:val="0"/>
                <w:sz w:val="16"/>
              </w:rPr>
              <w:t>Retained</w:t>
            </w:r>
          </w:p>
        </w:tc>
        <w:tc>
          <w:tcPr>
            <w:tcW w:type="dxa" w:w="936"/>
            <w:vAlign w:val="center"/>
          </w:tcPr>
          <w:p>
            <w:r/>
            <w:r>
              <w:rPr>
                <w:rFonts w:ascii="Arial" w:hAnsi="Arial" w:eastAsia="Arial"/>
                <w:b w:val="0"/>
                <w:sz w:val="16"/>
              </w:rPr>
              <w:t>90,000</w:t>
            </w:r>
          </w:p>
        </w:tc>
        <w:tc>
          <w:tcPr>
            <w:tcW w:type="dxa" w:w="936"/>
            <w:vAlign w:val="center"/>
          </w:tcPr>
          <w:p>
            <w:r/>
            <w:r>
              <w:rPr>
                <w:rFonts w:ascii="Arial" w:hAnsi="Arial" w:eastAsia="Arial"/>
                <w:b w:val="0"/>
                <w:sz w:val="16"/>
              </w:rPr>
              <w:t>95,000</w:t>
            </w:r>
          </w:p>
        </w:tc>
        <w:tc>
          <w:tcPr>
            <w:tcW w:type="dxa" w:w="1368"/>
            <w:vAlign w:val="center"/>
          </w:tcPr>
          <w:p>
            <w:r/>
            <w:r>
              <w:rPr>
                <w:rFonts w:ascii="Arial" w:hAnsi="Arial" w:eastAsia="Arial"/>
                <w:b w:val="0"/>
                <w:sz w:val="16"/>
              </w:rPr>
              <w:t>No FUM lost</w:t>
            </w:r>
          </w:p>
        </w:tc>
        <w:tc>
          <w:tcPr>
            <w:tcW w:type="dxa" w:w="1728"/>
            <w:vAlign w:val="center"/>
          </w:tcPr>
          <w:p>
            <w:r/>
            <w:r>
              <w:rPr>
                <w:rFonts w:ascii="Arial" w:hAnsi="Arial" w:eastAsia="Arial"/>
                <w:b w:val="0"/>
                <w:sz w:val="16"/>
              </w:rPr>
              <w:t>No major risk driver</w:t>
            </w:r>
          </w:p>
        </w:tc>
        <w:tc>
          <w:tcPr>
            <w:tcW w:type="dxa" w:w="1440"/>
            <w:vAlign w:val="center"/>
          </w:tcPr>
          <w:p>
            <w:r/>
            <w:r>
              <w:rPr>
                <w:rFonts w:ascii="Arial" w:hAnsi="Arial" w:eastAsia="Arial"/>
                <w:b w:val="0"/>
                <w:sz w:val="16"/>
              </w:rPr>
              <w:t>No action</w:t>
            </w:r>
          </w:p>
        </w:tc>
      </w:tr>
      <w:tr>
        <w:tc>
          <w:tcPr>
            <w:tcW w:type="dxa" w:w="1080"/>
            <w:vAlign w:val="center"/>
          </w:tcPr>
          <w:p>
            <w:r/>
            <w:r>
              <w:rPr>
                <w:rFonts w:ascii="Arial" w:hAnsi="Arial" w:eastAsia="Arial"/>
                <w:b w:val="0"/>
                <w:sz w:val="16"/>
              </w:rPr>
              <w:t>Mar-2026</w:t>
            </w:r>
          </w:p>
        </w:tc>
        <w:tc>
          <w:tcPr>
            <w:tcW w:type="dxa" w:w="864"/>
            <w:vAlign w:val="center"/>
          </w:tcPr>
          <w:p>
            <w:r/>
            <w:r>
              <w:rPr>
                <w:rFonts w:ascii="Arial" w:hAnsi="Arial" w:eastAsia="Arial"/>
                <w:b w:val="0"/>
                <w:sz w:val="16"/>
              </w:rPr>
              <w:t>M004</w:t>
            </w:r>
          </w:p>
        </w:tc>
        <w:tc>
          <w:tcPr>
            <w:tcW w:type="dxa" w:w="864"/>
            <w:vAlign w:val="center"/>
          </w:tcPr>
          <w:p>
            <w:r/>
            <w:r>
              <w:rPr>
                <w:rFonts w:ascii="Arial" w:hAnsi="Arial" w:eastAsia="Arial"/>
                <w:b w:val="0"/>
                <w:sz w:val="16"/>
              </w:rPr>
              <w:t>A004</w:t>
            </w:r>
          </w:p>
        </w:tc>
        <w:tc>
          <w:tcPr>
            <w:tcW w:type="dxa" w:w="1152"/>
            <w:vAlign w:val="center"/>
          </w:tcPr>
          <w:p>
            <w:r/>
            <w:r>
              <w:rPr>
                <w:rFonts w:ascii="Arial" w:hAnsi="Arial" w:eastAsia="Arial"/>
                <w:b w:val="0"/>
                <w:sz w:val="16"/>
              </w:rPr>
              <w:t>Churn risk</w:t>
            </w:r>
          </w:p>
        </w:tc>
        <w:tc>
          <w:tcPr>
            <w:tcW w:type="dxa" w:w="1152"/>
            <w:vAlign w:val="center"/>
          </w:tcPr>
          <w:p>
            <w:r/>
            <w:r>
              <w:rPr>
                <w:rFonts w:ascii="Arial" w:hAnsi="Arial" w:eastAsia="Arial"/>
                <w:b w:val="0"/>
                <w:sz w:val="16"/>
              </w:rPr>
              <w:t>0.82</w:t>
            </w:r>
          </w:p>
        </w:tc>
        <w:tc>
          <w:tcPr>
            <w:tcW w:type="dxa" w:w="792"/>
            <w:vAlign w:val="center"/>
          </w:tcPr>
          <w:p>
            <w:r/>
            <w:r>
              <w:rPr>
                <w:rFonts w:ascii="Arial" w:hAnsi="Arial" w:eastAsia="Arial"/>
                <w:b w:val="0"/>
                <w:sz w:val="16"/>
              </w:rPr>
              <w:t>High</w:t>
            </w:r>
          </w:p>
        </w:tc>
        <w:tc>
          <w:tcPr>
            <w:tcW w:type="dxa" w:w="1512"/>
            <w:vAlign w:val="center"/>
          </w:tcPr>
          <w:p>
            <w:r/>
            <w:r>
              <w:rPr>
                <w:rFonts w:ascii="Arial" w:hAnsi="Arial" w:eastAsia="Arial"/>
                <w:b w:val="0"/>
                <w:sz w:val="16"/>
              </w:rPr>
              <w:t>Churn risk / FUM leakage</w:t>
            </w:r>
          </w:p>
        </w:tc>
        <w:tc>
          <w:tcPr>
            <w:tcW w:type="dxa" w:w="936"/>
            <w:vAlign w:val="center"/>
          </w:tcPr>
          <w:p>
            <w:r/>
            <w:r>
              <w:rPr>
                <w:rFonts w:ascii="Arial" w:hAnsi="Arial" w:eastAsia="Arial"/>
                <w:b w:val="0"/>
                <w:sz w:val="16"/>
              </w:rPr>
              <w:t>300,000</w:t>
            </w:r>
          </w:p>
        </w:tc>
        <w:tc>
          <w:tcPr>
            <w:tcW w:type="dxa" w:w="936"/>
            <w:vAlign w:val="center"/>
          </w:tcPr>
          <w:p>
            <w:r/>
            <w:r>
              <w:rPr>
                <w:rFonts w:ascii="Arial" w:hAnsi="Arial" w:eastAsia="Arial"/>
                <w:b w:val="0"/>
                <w:sz w:val="16"/>
              </w:rPr>
              <w:t>250,000</w:t>
            </w:r>
          </w:p>
        </w:tc>
        <w:tc>
          <w:tcPr>
            <w:tcW w:type="dxa" w:w="1368"/>
            <w:vAlign w:val="center"/>
          </w:tcPr>
          <w:p>
            <w:r/>
            <w:r>
              <w:rPr>
                <w:rFonts w:ascii="Arial" w:hAnsi="Arial" w:eastAsia="Arial"/>
                <w:b w:val="0"/>
                <w:sz w:val="16"/>
              </w:rPr>
              <w:t>Partial FUM lost</w:t>
            </w:r>
          </w:p>
        </w:tc>
        <w:tc>
          <w:tcPr>
            <w:tcW w:type="dxa" w:w="1728"/>
            <w:vAlign w:val="center"/>
          </w:tcPr>
          <w:p>
            <w:r/>
            <w:r>
              <w:rPr>
                <w:rFonts w:ascii="Arial" w:hAnsi="Arial" w:eastAsia="Arial"/>
                <w:b w:val="0"/>
                <w:sz w:val="16"/>
              </w:rPr>
              <w:t>No login &gt; 90 days</w:t>
            </w:r>
          </w:p>
        </w:tc>
        <w:tc>
          <w:tcPr>
            <w:tcW w:type="dxa" w:w="1440"/>
            <w:vAlign w:val="center"/>
          </w:tcPr>
          <w:p>
            <w:r/>
            <w:r>
              <w:rPr>
                <w:rFonts w:ascii="Arial" w:hAnsi="Arial" w:eastAsia="Arial"/>
                <w:b w:val="0"/>
                <w:sz w:val="16"/>
              </w:rPr>
              <w:t>Retention follow-up</w:t>
            </w:r>
          </w:p>
        </w:tc>
      </w:tr>
      <w:tr>
        <w:tc>
          <w:tcPr>
            <w:tcW w:type="dxa" w:w="1080"/>
            <w:vAlign w:val="center"/>
          </w:tcPr>
          <w:p>
            <w:r/>
            <w:r>
              <w:rPr>
                <w:rFonts w:ascii="Arial" w:hAnsi="Arial" w:eastAsia="Arial"/>
                <w:b w:val="0"/>
                <w:sz w:val="16"/>
              </w:rPr>
              <w:t>Mar-2026</w:t>
            </w:r>
          </w:p>
        </w:tc>
        <w:tc>
          <w:tcPr>
            <w:tcW w:type="dxa" w:w="864"/>
            <w:vAlign w:val="center"/>
          </w:tcPr>
          <w:p>
            <w:r/>
            <w:r>
              <w:rPr>
                <w:rFonts w:ascii="Arial" w:hAnsi="Arial" w:eastAsia="Arial"/>
                <w:b w:val="0"/>
                <w:sz w:val="16"/>
              </w:rPr>
              <w:t>M004</w:t>
            </w:r>
          </w:p>
        </w:tc>
        <w:tc>
          <w:tcPr>
            <w:tcW w:type="dxa" w:w="864"/>
            <w:vAlign w:val="center"/>
          </w:tcPr>
          <w:p>
            <w:r/>
            <w:r>
              <w:rPr>
                <w:rFonts w:ascii="Arial" w:hAnsi="Arial" w:eastAsia="Arial"/>
                <w:b w:val="0"/>
                <w:sz w:val="16"/>
              </w:rPr>
              <w:t>A005</w:t>
            </w:r>
          </w:p>
        </w:tc>
        <w:tc>
          <w:tcPr>
            <w:tcW w:type="dxa" w:w="1152"/>
            <w:vAlign w:val="center"/>
          </w:tcPr>
          <w:p>
            <w:r/>
            <w:r>
              <w:rPr>
                <w:rFonts w:ascii="Arial" w:hAnsi="Arial" w:eastAsia="Arial"/>
                <w:b w:val="0"/>
                <w:sz w:val="16"/>
              </w:rPr>
              <w:t>Retained</w:t>
            </w:r>
          </w:p>
        </w:tc>
        <w:tc>
          <w:tcPr>
            <w:tcW w:type="dxa" w:w="1152"/>
            <w:vAlign w:val="center"/>
          </w:tcPr>
          <w:p>
            <w:r/>
            <w:r>
              <w:rPr>
                <w:rFonts w:ascii="Arial" w:hAnsi="Arial" w:eastAsia="Arial"/>
                <w:b w:val="0"/>
                <w:sz w:val="16"/>
              </w:rPr>
              <w:t>0.25</w:t>
            </w:r>
          </w:p>
        </w:tc>
        <w:tc>
          <w:tcPr>
            <w:tcW w:type="dxa" w:w="792"/>
            <w:vAlign w:val="center"/>
          </w:tcPr>
          <w:p>
            <w:r/>
            <w:r>
              <w:rPr>
                <w:rFonts w:ascii="Arial" w:hAnsi="Arial" w:eastAsia="Arial"/>
                <w:b w:val="0"/>
                <w:sz w:val="16"/>
              </w:rPr>
              <w:t>Low</w:t>
            </w:r>
          </w:p>
        </w:tc>
        <w:tc>
          <w:tcPr>
            <w:tcW w:type="dxa" w:w="1512"/>
            <w:vAlign w:val="center"/>
          </w:tcPr>
          <w:p>
            <w:r/>
            <w:r>
              <w:rPr>
                <w:rFonts w:ascii="Arial" w:hAnsi="Arial" w:eastAsia="Arial"/>
                <w:b w:val="0"/>
                <w:sz w:val="16"/>
              </w:rPr>
              <w:t>Retained</w:t>
            </w:r>
          </w:p>
        </w:tc>
        <w:tc>
          <w:tcPr>
            <w:tcW w:type="dxa" w:w="936"/>
            <w:vAlign w:val="center"/>
          </w:tcPr>
          <w:p>
            <w:r/>
            <w:r>
              <w:rPr>
                <w:rFonts w:ascii="Arial" w:hAnsi="Arial" w:eastAsia="Arial"/>
                <w:b w:val="0"/>
                <w:sz w:val="16"/>
              </w:rPr>
              <w:t>100,000</w:t>
            </w:r>
          </w:p>
        </w:tc>
        <w:tc>
          <w:tcPr>
            <w:tcW w:type="dxa" w:w="936"/>
            <w:vAlign w:val="center"/>
          </w:tcPr>
          <w:p>
            <w:r/>
            <w:r>
              <w:rPr>
                <w:rFonts w:ascii="Arial" w:hAnsi="Arial" w:eastAsia="Arial"/>
                <w:b w:val="0"/>
                <w:sz w:val="16"/>
              </w:rPr>
              <w:t>105,000</w:t>
            </w:r>
          </w:p>
        </w:tc>
        <w:tc>
          <w:tcPr>
            <w:tcW w:type="dxa" w:w="1368"/>
            <w:vAlign w:val="center"/>
          </w:tcPr>
          <w:p>
            <w:r/>
            <w:r>
              <w:rPr>
                <w:rFonts w:ascii="Arial" w:hAnsi="Arial" w:eastAsia="Arial"/>
                <w:b w:val="0"/>
                <w:sz w:val="16"/>
              </w:rPr>
              <w:t>No FUM lost</w:t>
            </w:r>
          </w:p>
        </w:tc>
        <w:tc>
          <w:tcPr>
            <w:tcW w:type="dxa" w:w="1728"/>
            <w:vAlign w:val="center"/>
          </w:tcPr>
          <w:p>
            <w:r/>
            <w:r>
              <w:rPr>
                <w:rFonts w:ascii="Arial" w:hAnsi="Arial" w:eastAsia="Arial"/>
                <w:b w:val="0"/>
                <w:sz w:val="16"/>
              </w:rPr>
              <w:t>No major risk driver</w:t>
            </w:r>
          </w:p>
        </w:tc>
        <w:tc>
          <w:tcPr>
            <w:tcW w:type="dxa" w:w="1440"/>
            <w:vAlign w:val="center"/>
          </w:tcPr>
          <w:p>
            <w:r/>
            <w:r>
              <w:rPr>
                <w:rFonts w:ascii="Arial" w:hAnsi="Arial" w:eastAsia="Arial"/>
                <w:b w:val="0"/>
                <w:sz w:val="16"/>
              </w:rPr>
              <w:t>No action</w:t>
            </w:r>
          </w:p>
        </w:tc>
      </w:tr>
    </w:tbl>
    <w:p/>
    <w:p>
      <w:pPr>
        <w:pStyle w:val="Heading2"/>
      </w:pPr>
      <w:r>
        <w:t>11.2.2 Member-Level Aggregated Output for Dashboard</w:t>
      </w:r>
    </w:p>
    <w:p>
      <w:r>
        <w:t>The following aggregation logic is proposed when one member has multiple accounts.</w:t>
      </w:r>
    </w:p>
    <w:tbl>
      <w:tblPr>
        <w:tblStyle w:val="TableGrid"/>
        <w:tblW w:type="auto" w:w="0"/>
        <w:jc w:val="center"/>
        <w:tblLook w:firstColumn="1" w:firstRow="1" w:lastColumn="0" w:lastRow="0" w:noHBand="0" w:noVBand="1" w:val="04A0"/>
      </w:tblPr>
      <w:tblGrid>
        <w:gridCol w:w="7272"/>
        <w:gridCol w:w="7272"/>
      </w:tblGrid>
      <w:tr>
        <w:tc>
          <w:tcPr>
            <w:tcW w:type="dxa" w:w="2880"/>
            <w:vAlign w:val="center"/>
            <w:shd w:fill="D9EAF7"/>
          </w:tcPr>
          <w:p>
            <w:r/>
            <w:r>
              <w:rPr>
                <w:rFonts w:ascii="Arial" w:hAnsi="Arial" w:eastAsia="Arial"/>
                <w:b/>
                <w:sz w:val="16"/>
              </w:rPr>
              <w:t>Aggregated Field</w:t>
            </w:r>
          </w:p>
        </w:tc>
        <w:tc>
          <w:tcPr>
            <w:tcW w:type="dxa" w:w="10080"/>
            <w:vAlign w:val="center"/>
            <w:shd w:fill="D9EAF7"/>
          </w:tcPr>
          <w:p>
            <w:r/>
            <w:r>
              <w:rPr>
                <w:rFonts w:ascii="Arial" w:hAnsi="Arial" w:eastAsia="Arial"/>
                <w:b/>
                <w:sz w:val="16"/>
              </w:rPr>
              <w:t>Logic</w:t>
            </w:r>
          </w:p>
        </w:tc>
      </w:tr>
      <w:tr>
        <w:tc>
          <w:tcPr>
            <w:tcW w:type="dxa" w:w="2880"/>
            <w:vAlign w:val="center"/>
          </w:tcPr>
          <w:p>
            <w:r/>
            <w:r>
              <w:rPr>
                <w:rFonts w:ascii="Arial" w:hAnsi="Arial" w:eastAsia="Arial"/>
                <w:b w:val="0"/>
                <w:sz w:val="16"/>
              </w:rPr>
              <w:t>Member Churn Probability</w:t>
            </w:r>
          </w:p>
        </w:tc>
        <w:tc>
          <w:tcPr>
            <w:tcW w:type="dxa" w:w="10080"/>
            <w:vAlign w:val="center"/>
          </w:tcPr>
          <w:p>
            <w:r/>
            <w:r>
              <w:rPr>
                <w:rFonts w:ascii="Arial" w:hAnsi="Arial" w:eastAsia="Arial"/>
                <w:b w:val="0"/>
                <w:sz w:val="16"/>
              </w:rPr>
              <w:t>Maximum churn probability across all accounts of the member</w:t>
            </w:r>
          </w:p>
        </w:tc>
      </w:tr>
      <w:tr>
        <w:tc>
          <w:tcPr>
            <w:tcW w:type="dxa" w:w="2880"/>
            <w:vAlign w:val="center"/>
          </w:tcPr>
          <w:p>
            <w:r/>
            <w:r>
              <w:rPr>
                <w:rFonts w:ascii="Arial" w:hAnsi="Arial" w:eastAsia="Arial"/>
                <w:b w:val="0"/>
                <w:sz w:val="16"/>
              </w:rPr>
              <w:t>Member Risk Band</w:t>
            </w:r>
          </w:p>
        </w:tc>
        <w:tc>
          <w:tcPr>
            <w:tcW w:type="dxa" w:w="10080"/>
            <w:vAlign w:val="center"/>
          </w:tcPr>
          <w:p>
            <w:r/>
            <w:r>
              <w:rPr>
                <w:rFonts w:ascii="Arial" w:hAnsi="Arial" w:eastAsia="Arial"/>
                <w:b w:val="0"/>
                <w:sz w:val="16"/>
              </w:rPr>
              <w:t>Derived from the maximum churn probability</w:t>
            </w:r>
          </w:p>
        </w:tc>
      </w:tr>
      <w:tr>
        <w:tc>
          <w:tcPr>
            <w:tcW w:type="dxa" w:w="2880"/>
            <w:vAlign w:val="center"/>
          </w:tcPr>
          <w:p>
            <w:r/>
            <w:r>
              <w:rPr>
                <w:rFonts w:ascii="Arial" w:hAnsi="Arial" w:eastAsia="Arial"/>
                <w:b w:val="0"/>
                <w:sz w:val="16"/>
              </w:rPr>
              <w:t>Total FUM Start</w:t>
            </w:r>
          </w:p>
        </w:tc>
        <w:tc>
          <w:tcPr>
            <w:tcW w:type="dxa" w:w="10080"/>
            <w:vAlign w:val="center"/>
          </w:tcPr>
          <w:p>
            <w:r/>
            <w:r>
              <w:rPr>
                <w:rFonts w:ascii="Arial" w:hAnsi="Arial" w:eastAsia="Arial"/>
                <w:b w:val="0"/>
                <w:sz w:val="16"/>
              </w:rPr>
              <w:t>Sum of FUM Start across all accounts of the member</w:t>
            </w:r>
          </w:p>
        </w:tc>
      </w:tr>
      <w:tr>
        <w:tc>
          <w:tcPr>
            <w:tcW w:type="dxa" w:w="2880"/>
            <w:vAlign w:val="center"/>
          </w:tcPr>
          <w:p>
            <w:r/>
            <w:r>
              <w:rPr>
                <w:rFonts w:ascii="Arial" w:hAnsi="Arial" w:eastAsia="Arial"/>
                <w:b w:val="0"/>
                <w:sz w:val="16"/>
              </w:rPr>
              <w:t>Total FUM End</w:t>
            </w:r>
          </w:p>
        </w:tc>
        <w:tc>
          <w:tcPr>
            <w:tcW w:type="dxa" w:w="10080"/>
            <w:vAlign w:val="center"/>
          </w:tcPr>
          <w:p>
            <w:r/>
            <w:r>
              <w:rPr>
                <w:rFonts w:ascii="Arial" w:hAnsi="Arial" w:eastAsia="Arial"/>
                <w:b w:val="0"/>
                <w:sz w:val="16"/>
              </w:rPr>
              <w:t>Sum of FUM End across all accounts of the member</w:t>
            </w:r>
          </w:p>
        </w:tc>
      </w:tr>
      <w:tr>
        <w:tc>
          <w:tcPr>
            <w:tcW w:type="dxa" w:w="2880"/>
            <w:vAlign w:val="center"/>
          </w:tcPr>
          <w:p>
            <w:r/>
            <w:r>
              <w:rPr>
                <w:rFonts w:ascii="Arial" w:hAnsi="Arial" w:eastAsia="Arial"/>
                <w:b w:val="0"/>
                <w:sz w:val="16"/>
              </w:rPr>
              <w:t>FUM Lost Amount</w:t>
            </w:r>
          </w:p>
        </w:tc>
        <w:tc>
          <w:tcPr>
            <w:tcW w:type="dxa" w:w="10080"/>
            <w:vAlign w:val="center"/>
          </w:tcPr>
          <w:p>
            <w:r/>
            <w:r>
              <w:rPr>
                <w:rFonts w:ascii="Arial" w:hAnsi="Arial" w:eastAsia="Arial"/>
                <w:b w:val="0"/>
                <w:sz w:val="16"/>
              </w:rPr>
              <w:t>Total FUM Start minus Total FUM End, where applicable</w:t>
            </w:r>
          </w:p>
        </w:tc>
      </w:tr>
      <w:tr>
        <w:tc>
          <w:tcPr>
            <w:tcW w:type="dxa" w:w="2880"/>
            <w:vAlign w:val="center"/>
          </w:tcPr>
          <w:p>
            <w:r/>
            <w:r>
              <w:rPr>
                <w:rFonts w:ascii="Arial" w:hAnsi="Arial" w:eastAsia="Arial"/>
                <w:b w:val="0"/>
                <w:sz w:val="16"/>
              </w:rPr>
              <w:t>Primary Churn Driver</w:t>
            </w:r>
          </w:p>
        </w:tc>
        <w:tc>
          <w:tcPr>
            <w:tcW w:type="dxa" w:w="10080"/>
            <w:vAlign w:val="center"/>
          </w:tcPr>
          <w:p>
            <w:r/>
            <w:r>
              <w:rPr>
                <w:rFonts w:ascii="Arial" w:hAnsi="Arial" w:eastAsia="Arial"/>
                <w:b w:val="0"/>
                <w:sz w:val="16"/>
              </w:rPr>
              <w:t>Driver from the account with the highest churn probability</w:t>
            </w:r>
          </w:p>
        </w:tc>
      </w:tr>
      <w:tr>
        <w:tc>
          <w:tcPr>
            <w:tcW w:type="dxa" w:w="2880"/>
            <w:vAlign w:val="center"/>
          </w:tcPr>
          <w:p>
            <w:r/>
            <w:r>
              <w:rPr>
                <w:rFonts w:ascii="Arial" w:hAnsi="Arial" w:eastAsia="Arial"/>
                <w:b w:val="0"/>
                <w:sz w:val="16"/>
              </w:rPr>
              <w:t>Suggested Action</w:t>
            </w:r>
          </w:p>
        </w:tc>
        <w:tc>
          <w:tcPr>
            <w:tcW w:type="dxa" w:w="10080"/>
            <w:vAlign w:val="center"/>
          </w:tcPr>
          <w:p>
            <w:r/>
            <w:r>
              <w:rPr>
                <w:rFonts w:ascii="Arial" w:hAnsi="Arial" w:eastAsia="Arial"/>
                <w:b w:val="0"/>
                <w:sz w:val="16"/>
              </w:rPr>
              <w:t>Based on the highest member-level risk band</w:t>
            </w:r>
          </w:p>
        </w:tc>
      </w:tr>
    </w:tbl>
    <w:p/>
    <w:p>
      <w:pPr>
        <w:pStyle w:val="Heading2"/>
      </w:pPr>
      <w:r>
        <w:t>11.2.3 Example: Member with Multiple Accounts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1440"/>
            <w:vAlign w:val="center"/>
            <w:shd w:fill="D9EAF7"/>
          </w:tcPr>
          <w:p>
            <w:r/>
            <w:r>
              <w:rPr>
                <w:rFonts w:ascii="Arial" w:hAnsi="Arial" w:eastAsia="Arial"/>
                <w:b/>
                <w:sz w:val="16"/>
              </w:rPr>
              <w:t>Member ID</w:t>
            </w:r>
          </w:p>
        </w:tc>
        <w:tc>
          <w:tcPr>
            <w:tcW w:type="dxa" w:w="1440"/>
            <w:vAlign w:val="center"/>
            <w:shd w:fill="D9EAF7"/>
          </w:tcPr>
          <w:p>
            <w:r/>
            <w:r>
              <w:rPr>
                <w:rFonts w:ascii="Arial" w:hAnsi="Arial" w:eastAsia="Arial"/>
                <w:b/>
                <w:sz w:val="16"/>
              </w:rPr>
              <w:t>Account ID</w:t>
            </w:r>
          </w:p>
        </w:tc>
        <w:tc>
          <w:tcPr>
            <w:tcW w:type="dxa" w:w="2592"/>
            <w:vAlign w:val="center"/>
            <w:shd w:fill="D9EAF7"/>
          </w:tcPr>
          <w:p>
            <w:r/>
            <w:r>
              <w:rPr>
                <w:rFonts w:ascii="Arial" w:hAnsi="Arial" w:eastAsia="Arial"/>
                <w:b/>
                <w:sz w:val="16"/>
              </w:rPr>
              <w:t>Account Churn Probability</w:t>
            </w:r>
          </w:p>
        </w:tc>
        <w:tc>
          <w:tcPr>
            <w:tcW w:type="dxa" w:w="2016"/>
            <w:vAlign w:val="center"/>
            <w:shd w:fill="D9EAF7"/>
          </w:tcPr>
          <w:p>
            <w:r/>
            <w:r>
              <w:rPr>
                <w:rFonts w:ascii="Arial" w:hAnsi="Arial" w:eastAsia="Arial"/>
                <w:b/>
                <w:sz w:val="16"/>
              </w:rPr>
              <w:t>Account Risk Band</w:t>
            </w:r>
          </w:p>
        </w:tc>
        <w:tc>
          <w:tcPr>
            <w:tcW w:type="dxa" w:w="1728"/>
            <w:vAlign w:val="center"/>
            <w:shd w:fill="D9EAF7"/>
          </w:tcPr>
          <w:p>
            <w:r/>
            <w:r>
              <w:rPr>
                <w:rFonts w:ascii="Arial" w:hAnsi="Arial" w:eastAsia="Arial"/>
                <w:b/>
                <w:sz w:val="16"/>
              </w:rPr>
              <w:t>FUM Start</w:t>
            </w:r>
          </w:p>
        </w:tc>
        <w:tc>
          <w:tcPr>
            <w:tcW w:type="dxa" w:w="1728"/>
            <w:vAlign w:val="center"/>
            <w:shd w:fill="D9EAF7"/>
          </w:tcPr>
          <w:p>
            <w:r/>
            <w:r>
              <w:rPr>
                <w:rFonts w:ascii="Arial" w:hAnsi="Arial" w:eastAsia="Arial"/>
                <w:b/>
                <w:sz w:val="16"/>
              </w:rPr>
              <w:t>FUM End</w:t>
            </w:r>
          </w:p>
        </w:tc>
      </w:tr>
      <w:tr>
        <w:tc>
          <w:tcPr>
            <w:tcW w:type="dxa" w:w="1440"/>
            <w:vAlign w:val="center"/>
          </w:tcPr>
          <w:p>
            <w:r/>
            <w:r>
              <w:rPr>
                <w:rFonts w:ascii="Arial" w:hAnsi="Arial" w:eastAsia="Arial"/>
                <w:b w:val="0"/>
                <w:sz w:val="16"/>
              </w:rPr>
              <w:t>M004</w:t>
            </w:r>
          </w:p>
        </w:tc>
        <w:tc>
          <w:tcPr>
            <w:tcW w:type="dxa" w:w="1440"/>
            <w:vAlign w:val="center"/>
          </w:tcPr>
          <w:p>
            <w:r/>
            <w:r>
              <w:rPr>
                <w:rFonts w:ascii="Arial" w:hAnsi="Arial" w:eastAsia="Arial"/>
                <w:b w:val="0"/>
                <w:sz w:val="16"/>
              </w:rPr>
              <w:t>A004</w:t>
            </w:r>
          </w:p>
        </w:tc>
        <w:tc>
          <w:tcPr>
            <w:tcW w:type="dxa" w:w="2592"/>
            <w:vAlign w:val="center"/>
          </w:tcPr>
          <w:p>
            <w:r/>
            <w:r>
              <w:rPr>
                <w:rFonts w:ascii="Arial" w:hAnsi="Arial" w:eastAsia="Arial"/>
                <w:b w:val="0"/>
                <w:sz w:val="16"/>
              </w:rPr>
              <w:t>0.82</w:t>
            </w:r>
          </w:p>
        </w:tc>
        <w:tc>
          <w:tcPr>
            <w:tcW w:type="dxa" w:w="2016"/>
            <w:vAlign w:val="center"/>
          </w:tcPr>
          <w:p>
            <w:r/>
            <w:r>
              <w:rPr>
                <w:rFonts w:ascii="Arial" w:hAnsi="Arial" w:eastAsia="Arial"/>
                <w:b w:val="0"/>
                <w:sz w:val="16"/>
              </w:rPr>
              <w:t>High</w:t>
            </w:r>
          </w:p>
        </w:tc>
        <w:tc>
          <w:tcPr>
            <w:tcW w:type="dxa" w:w="1728"/>
            <w:vAlign w:val="center"/>
          </w:tcPr>
          <w:p>
            <w:r/>
            <w:r>
              <w:rPr>
                <w:rFonts w:ascii="Arial" w:hAnsi="Arial" w:eastAsia="Arial"/>
                <w:b w:val="0"/>
                <w:sz w:val="16"/>
              </w:rPr>
              <w:t>300,000</w:t>
            </w:r>
          </w:p>
        </w:tc>
        <w:tc>
          <w:tcPr>
            <w:tcW w:type="dxa" w:w="1728"/>
            <w:vAlign w:val="center"/>
          </w:tcPr>
          <w:p>
            <w:r/>
            <w:r>
              <w:rPr>
                <w:rFonts w:ascii="Arial" w:hAnsi="Arial" w:eastAsia="Arial"/>
                <w:b w:val="0"/>
                <w:sz w:val="16"/>
              </w:rPr>
              <w:t>250,000</w:t>
            </w:r>
          </w:p>
        </w:tc>
      </w:tr>
      <w:tr>
        <w:tc>
          <w:tcPr>
            <w:tcW w:type="dxa" w:w="1440"/>
            <w:vAlign w:val="center"/>
          </w:tcPr>
          <w:p>
            <w:r/>
            <w:r>
              <w:rPr>
                <w:rFonts w:ascii="Arial" w:hAnsi="Arial" w:eastAsia="Arial"/>
                <w:b w:val="0"/>
                <w:sz w:val="16"/>
              </w:rPr>
              <w:t>M004</w:t>
            </w:r>
          </w:p>
        </w:tc>
        <w:tc>
          <w:tcPr>
            <w:tcW w:type="dxa" w:w="1440"/>
            <w:vAlign w:val="center"/>
          </w:tcPr>
          <w:p>
            <w:r/>
            <w:r>
              <w:rPr>
                <w:rFonts w:ascii="Arial" w:hAnsi="Arial" w:eastAsia="Arial"/>
                <w:b w:val="0"/>
                <w:sz w:val="16"/>
              </w:rPr>
              <w:t>A005</w:t>
            </w:r>
          </w:p>
        </w:tc>
        <w:tc>
          <w:tcPr>
            <w:tcW w:type="dxa" w:w="2592"/>
            <w:vAlign w:val="center"/>
          </w:tcPr>
          <w:p>
            <w:r/>
            <w:r>
              <w:rPr>
                <w:rFonts w:ascii="Arial" w:hAnsi="Arial" w:eastAsia="Arial"/>
                <w:b w:val="0"/>
                <w:sz w:val="16"/>
              </w:rPr>
              <w:t>0.25</w:t>
            </w:r>
          </w:p>
        </w:tc>
        <w:tc>
          <w:tcPr>
            <w:tcW w:type="dxa" w:w="2016"/>
            <w:vAlign w:val="center"/>
          </w:tcPr>
          <w:p>
            <w:r/>
            <w:r>
              <w:rPr>
                <w:rFonts w:ascii="Arial" w:hAnsi="Arial" w:eastAsia="Arial"/>
                <w:b w:val="0"/>
                <w:sz w:val="16"/>
              </w:rPr>
              <w:t>Low</w:t>
            </w:r>
          </w:p>
        </w:tc>
        <w:tc>
          <w:tcPr>
            <w:tcW w:type="dxa" w:w="1728"/>
            <w:vAlign w:val="center"/>
          </w:tcPr>
          <w:p>
            <w:r/>
            <w:r>
              <w:rPr>
                <w:rFonts w:ascii="Arial" w:hAnsi="Arial" w:eastAsia="Arial"/>
                <w:b w:val="0"/>
                <w:sz w:val="16"/>
              </w:rPr>
              <w:t>100,000</w:t>
            </w:r>
          </w:p>
        </w:tc>
        <w:tc>
          <w:tcPr>
            <w:tcW w:type="dxa" w:w="1728"/>
            <w:vAlign w:val="center"/>
          </w:tcPr>
          <w:p>
            <w:r/>
            <w:r>
              <w:rPr>
                <w:rFonts w:ascii="Arial" w:hAnsi="Arial" w:eastAsia="Arial"/>
                <w:b w:val="0"/>
                <w:sz w:val="16"/>
              </w:rPr>
              <w:t>105,000</w:t>
            </w:r>
          </w:p>
        </w:tc>
      </w:tr>
    </w:tbl>
    <w:p/>
    <w:p>
      <w:r>
        <w:t>Member-level dashboard output:</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1296"/>
            <w:vAlign w:val="center"/>
            <w:shd w:fill="D9EAF7"/>
          </w:tcPr>
          <w:p>
            <w:r/>
            <w:r>
              <w:rPr>
                <w:rFonts w:ascii="Arial" w:hAnsi="Arial" w:eastAsia="Arial"/>
                <w:b/>
                <w:sz w:val="16"/>
              </w:rPr>
              <w:t>Member ID</w:t>
            </w:r>
          </w:p>
        </w:tc>
        <w:tc>
          <w:tcPr>
            <w:tcW w:type="dxa" w:w="2232"/>
            <w:vAlign w:val="center"/>
            <w:shd w:fill="D9EAF7"/>
          </w:tcPr>
          <w:p>
            <w:r/>
            <w:r>
              <w:rPr>
                <w:rFonts w:ascii="Arial" w:hAnsi="Arial" w:eastAsia="Arial"/>
                <w:b/>
                <w:sz w:val="16"/>
              </w:rPr>
              <w:t>Member Churn Probability</w:t>
            </w:r>
          </w:p>
        </w:tc>
        <w:tc>
          <w:tcPr>
            <w:tcW w:type="dxa" w:w="1656"/>
            <w:vAlign w:val="center"/>
            <w:shd w:fill="D9EAF7"/>
          </w:tcPr>
          <w:p>
            <w:r/>
            <w:r>
              <w:rPr>
                <w:rFonts w:ascii="Arial" w:hAnsi="Arial" w:eastAsia="Arial"/>
                <w:b/>
                <w:sz w:val="16"/>
              </w:rPr>
              <w:t>Member Risk Band</w:t>
            </w:r>
          </w:p>
        </w:tc>
        <w:tc>
          <w:tcPr>
            <w:tcW w:type="dxa" w:w="1728"/>
            <w:vAlign w:val="center"/>
            <w:shd w:fill="D9EAF7"/>
          </w:tcPr>
          <w:p>
            <w:r/>
            <w:r>
              <w:rPr>
                <w:rFonts w:ascii="Arial" w:hAnsi="Arial" w:eastAsia="Arial"/>
                <w:b/>
                <w:sz w:val="16"/>
              </w:rPr>
              <w:t>Total FUM Start</w:t>
            </w:r>
          </w:p>
        </w:tc>
        <w:tc>
          <w:tcPr>
            <w:tcW w:type="dxa" w:w="1728"/>
            <w:vAlign w:val="center"/>
            <w:shd w:fill="D9EAF7"/>
          </w:tcPr>
          <w:p>
            <w:r/>
            <w:r>
              <w:rPr>
                <w:rFonts w:ascii="Arial" w:hAnsi="Arial" w:eastAsia="Arial"/>
                <w:b/>
                <w:sz w:val="16"/>
              </w:rPr>
              <w:t>Total FUM End</w:t>
            </w:r>
          </w:p>
        </w:tc>
        <w:tc>
          <w:tcPr>
            <w:tcW w:type="dxa" w:w="2592"/>
            <w:vAlign w:val="center"/>
            <w:shd w:fill="D9EAF7"/>
          </w:tcPr>
          <w:p>
            <w:r/>
            <w:r>
              <w:rPr>
                <w:rFonts w:ascii="Arial" w:hAnsi="Arial" w:eastAsia="Arial"/>
                <w:b/>
                <w:sz w:val="16"/>
              </w:rPr>
              <w:t>Primary Churn Driver</w:t>
            </w:r>
          </w:p>
        </w:tc>
        <w:tc>
          <w:tcPr>
            <w:tcW w:type="dxa" w:w="3168"/>
            <w:vAlign w:val="center"/>
            <w:shd w:fill="D9EAF7"/>
          </w:tcPr>
          <w:p>
            <w:r/>
            <w:r>
              <w:rPr>
                <w:rFonts w:ascii="Arial" w:hAnsi="Arial" w:eastAsia="Arial"/>
                <w:b/>
                <w:sz w:val="16"/>
              </w:rPr>
              <w:t>Logic Used</w:t>
            </w:r>
          </w:p>
        </w:tc>
      </w:tr>
      <w:tr>
        <w:tc>
          <w:tcPr>
            <w:tcW w:type="dxa" w:w="1296"/>
            <w:vAlign w:val="center"/>
          </w:tcPr>
          <w:p>
            <w:r/>
            <w:r>
              <w:rPr>
                <w:rFonts w:ascii="Arial" w:hAnsi="Arial" w:eastAsia="Arial"/>
                <w:b w:val="0"/>
                <w:sz w:val="16"/>
              </w:rPr>
              <w:t>M004</w:t>
            </w:r>
          </w:p>
        </w:tc>
        <w:tc>
          <w:tcPr>
            <w:tcW w:type="dxa" w:w="2232"/>
            <w:vAlign w:val="center"/>
          </w:tcPr>
          <w:p>
            <w:r/>
            <w:r>
              <w:rPr>
                <w:rFonts w:ascii="Arial" w:hAnsi="Arial" w:eastAsia="Arial"/>
                <w:b w:val="0"/>
                <w:sz w:val="16"/>
              </w:rPr>
              <w:t>0.82</w:t>
            </w:r>
          </w:p>
        </w:tc>
        <w:tc>
          <w:tcPr>
            <w:tcW w:type="dxa" w:w="1656"/>
            <w:vAlign w:val="center"/>
          </w:tcPr>
          <w:p>
            <w:r/>
            <w:r>
              <w:rPr>
                <w:rFonts w:ascii="Arial" w:hAnsi="Arial" w:eastAsia="Arial"/>
                <w:b w:val="0"/>
                <w:sz w:val="16"/>
              </w:rPr>
              <w:t>High</w:t>
            </w:r>
          </w:p>
        </w:tc>
        <w:tc>
          <w:tcPr>
            <w:tcW w:type="dxa" w:w="1728"/>
            <w:vAlign w:val="center"/>
          </w:tcPr>
          <w:p>
            <w:r/>
            <w:r>
              <w:rPr>
                <w:rFonts w:ascii="Arial" w:hAnsi="Arial" w:eastAsia="Arial"/>
                <w:b w:val="0"/>
                <w:sz w:val="16"/>
              </w:rPr>
              <w:t>400,000</w:t>
            </w:r>
          </w:p>
        </w:tc>
        <w:tc>
          <w:tcPr>
            <w:tcW w:type="dxa" w:w="1728"/>
            <w:vAlign w:val="center"/>
          </w:tcPr>
          <w:p>
            <w:r/>
            <w:r>
              <w:rPr>
                <w:rFonts w:ascii="Arial" w:hAnsi="Arial" w:eastAsia="Arial"/>
                <w:b w:val="0"/>
                <w:sz w:val="16"/>
              </w:rPr>
              <w:t>355,000</w:t>
            </w:r>
          </w:p>
        </w:tc>
        <w:tc>
          <w:tcPr>
            <w:tcW w:type="dxa" w:w="2592"/>
            <w:vAlign w:val="center"/>
          </w:tcPr>
          <w:p>
            <w:r/>
            <w:r>
              <w:rPr>
                <w:rFonts w:ascii="Arial" w:hAnsi="Arial" w:eastAsia="Arial"/>
                <w:b w:val="0"/>
                <w:sz w:val="16"/>
              </w:rPr>
              <w:t>No login &gt; 90 days</w:t>
            </w:r>
          </w:p>
        </w:tc>
        <w:tc>
          <w:tcPr>
            <w:tcW w:type="dxa" w:w="3168"/>
            <w:vAlign w:val="center"/>
          </w:tcPr>
          <w:p>
            <w:r/>
            <w:r>
              <w:rPr>
                <w:rFonts w:ascii="Arial" w:hAnsi="Arial" w:eastAsia="Arial"/>
                <w:b w:val="0"/>
                <w:sz w:val="16"/>
              </w:rPr>
              <w:t>Maximum account-level churn probability used</w:t>
            </w:r>
          </w:p>
        </w:tc>
      </w:tr>
    </w:tbl>
    <w:p/>
    <w:p>
      <w:pPr>
        <w:sectPr>
          <w:pgSz w:w="15840" w:h="12240" w:orient="landscape"/>
          <w:pgMar w:top="648" w:right="648" w:bottom="648" w:left="648" w:header="720" w:footer="720" w:gutter="0"/>
          <w:cols w:space="720"/>
          <w:docGrid w:linePitch="360"/>
        </w:sectPr>
      </w:pPr>
    </w:p>
    <w:p>
      <w:pPr>
        <w:pStyle w:val="Heading2"/>
      </w:pPr>
      <w:r>
        <w:t>11.2.4 Risk Band Derivation</w:t>
      </w:r>
    </w:p>
    <w:tbl>
      <w:tblPr>
        <w:tblStyle w:val="TableGrid"/>
        <w:tblW w:type="auto" w:w="0"/>
        <w:jc w:val="center"/>
        <w:tblLook w:firstColumn="1" w:firstRow="1" w:lastColumn="0" w:lastRow="0" w:noHBand="0" w:noVBand="1" w:val="04A0"/>
      </w:tblPr>
      <w:tblGrid>
        <w:gridCol w:w="5256"/>
        <w:gridCol w:w="5256"/>
      </w:tblGrid>
      <w:tr>
        <w:tc>
          <w:tcPr>
            <w:tcW w:type="dxa" w:w="4320"/>
            <w:vAlign w:val="center"/>
            <w:shd w:fill="D9EAF7"/>
          </w:tcPr>
          <w:p>
            <w:r/>
            <w:r>
              <w:rPr>
                <w:rFonts w:ascii="Arial" w:hAnsi="Arial" w:eastAsia="Arial"/>
                <w:b/>
                <w:sz w:val="16"/>
              </w:rPr>
              <w:t>Churn Probability Range</w:t>
            </w:r>
          </w:p>
        </w:tc>
        <w:tc>
          <w:tcPr>
            <w:tcW w:type="dxa" w:w="2880"/>
            <w:vAlign w:val="center"/>
            <w:shd w:fill="D9EAF7"/>
          </w:tcPr>
          <w:p>
            <w:r/>
            <w:r>
              <w:rPr>
                <w:rFonts w:ascii="Arial" w:hAnsi="Arial" w:eastAsia="Arial"/>
                <w:b/>
                <w:sz w:val="16"/>
              </w:rPr>
              <w:t>Risk Band</w:t>
            </w:r>
          </w:p>
        </w:tc>
      </w:tr>
      <w:tr>
        <w:tc>
          <w:tcPr>
            <w:tcW w:type="dxa" w:w="4320"/>
            <w:vAlign w:val="center"/>
          </w:tcPr>
          <w:p>
            <w:r/>
            <w:r>
              <w:rPr>
                <w:rFonts w:ascii="Arial" w:hAnsi="Arial" w:eastAsia="Arial"/>
                <w:b w:val="0"/>
                <w:sz w:val="16"/>
              </w:rPr>
              <w:t>0.70 to 1.00</w:t>
            </w:r>
          </w:p>
        </w:tc>
        <w:tc>
          <w:tcPr>
            <w:tcW w:type="dxa" w:w="2880"/>
            <w:vAlign w:val="center"/>
          </w:tcPr>
          <w:p>
            <w:r/>
            <w:r>
              <w:rPr>
                <w:rFonts w:ascii="Arial" w:hAnsi="Arial" w:eastAsia="Arial"/>
                <w:b w:val="0"/>
                <w:sz w:val="16"/>
              </w:rPr>
              <w:t>High</w:t>
            </w:r>
          </w:p>
        </w:tc>
      </w:tr>
      <w:tr>
        <w:tc>
          <w:tcPr>
            <w:tcW w:type="dxa" w:w="4320"/>
            <w:vAlign w:val="center"/>
          </w:tcPr>
          <w:p>
            <w:r/>
            <w:r>
              <w:rPr>
                <w:rFonts w:ascii="Arial" w:hAnsi="Arial" w:eastAsia="Arial"/>
                <w:b w:val="0"/>
                <w:sz w:val="16"/>
              </w:rPr>
              <w:t>0.40 to 0.69</w:t>
            </w:r>
          </w:p>
        </w:tc>
        <w:tc>
          <w:tcPr>
            <w:tcW w:type="dxa" w:w="2880"/>
            <w:vAlign w:val="center"/>
          </w:tcPr>
          <w:p>
            <w:r/>
            <w:r>
              <w:rPr>
                <w:rFonts w:ascii="Arial" w:hAnsi="Arial" w:eastAsia="Arial"/>
                <w:b w:val="0"/>
                <w:sz w:val="16"/>
              </w:rPr>
              <w:t>Medium</w:t>
            </w:r>
          </w:p>
        </w:tc>
      </w:tr>
      <w:tr>
        <w:tc>
          <w:tcPr>
            <w:tcW w:type="dxa" w:w="4320"/>
            <w:vAlign w:val="center"/>
          </w:tcPr>
          <w:p>
            <w:r/>
            <w:r>
              <w:rPr>
                <w:rFonts w:ascii="Arial" w:hAnsi="Arial" w:eastAsia="Arial"/>
                <w:b w:val="0"/>
                <w:sz w:val="16"/>
              </w:rPr>
              <w:t>0.00 to 0.39</w:t>
            </w:r>
          </w:p>
        </w:tc>
        <w:tc>
          <w:tcPr>
            <w:tcW w:type="dxa" w:w="2880"/>
            <w:vAlign w:val="center"/>
          </w:tcPr>
          <w:p>
            <w:r/>
            <w:r>
              <w:rPr>
                <w:rFonts w:ascii="Arial" w:hAnsi="Arial" w:eastAsia="Arial"/>
                <w:b w:val="0"/>
                <w:sz w:val="16"/>
              </w:rPr>
              <w:t>Low</w:t>
            </w:r>
          </w:p>
        </w:tc>
      </w:tr>
    </w:tbl>
    <w:p/>
    <w:p>
      <w:pPr>
        <w:pStyle w:val="Heading2"/>
      </w:pPr>
      <w:r>
        <w:t>11.2.5 FRS Assumption</w:t>
      </w:r>
    </w:p>
    <w:p>
      <w:r>
        <w:t>Since the BRS measurement level is Account, the ML model output will be generated at account level.</w:t>
      </w:r>
    </w:p>
    <w:p>
      <w:r>
        <w:t>For member-level dashboard views, the proposed aggregation method is to use the maximum churn probability across the member’s accounts. This approach ensures that high-risk accounts are not hidden by averaging with low-risk accounts.</w:t>
      </w:r>
    </w:p>
    <w:p>
      <w:r>
        <w:t>Final aggregation logic should be confirmed by business / BA before implementation.</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FRS Section 11.2 -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