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Minutes of Meeting</w:t>
      </w:r>
    </w:p>
    <w:p>
      <w:pPr>
        <w:jc w:val="center"/>
      </w:pPr>
      <w:r>
        <w:rPr>
          <w:rFonts w:ascii="Times New Roman" w:hAnsi="Times New Roman"/>
          <w:b/>
          <w:sz w:val="28"/>
        </w:rPr>
        <w:t>AI/ML Business Requirement Confirmation Discussion</w:t>
      </w:r>
    </w:p>
    <w:p>
      <w:r>
        <w:rPr>
          <w:rFonts w:ascii="Times New Roman" w:hAnsi="Times New Roman"/>
          <w:sz w:val="22"/>
        </w:rPr>
        <w:t>Hi Team,</w:t>
      </w:r>
    </w:p>
    <w:p>
      <w:r>
        <w:rPr>
          <w:rFonts w:ascii="Times New Roman" w:hAnsi="Times New Roman"/>
          <w:sz w:val="22"/>
        </w:rPr>
        <w:t>Today we discussed the AI/ML business requirement confirmation points for the Retention Rate FRS document. Please find the key action items below.</w:t>
      </w:r>
    </w:p>
    <w:p>
      <w:r>
        <w:rPr>
          <w:rFonts w:ascii="Times New Roman" w:hAnsi="Times New Roman"/>
          <w:b/>
          <w:sz w:val="26"/>
        </w:rP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624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Action Item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Owner</w:t>
            </w:r>
          </w:p>
        </w:tc>
        <w:tc>
          <w:tcPr>
            <w:tcW w:type="dxa" w:w="1296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6624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Add clear definitions for key terms, including numerator, denominator, Retention Rate, Member Retention Rate, FUM Retention Rate, Retained, Not Retained / Churn, FUM leakage, and Risk Category.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Vijay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Open</w:t>
            </w:r>
          </w:p>
        </w:tc>
      </w:tr>
      <w:tr>
        <w:tc>
          <w:tcPr>
            <w:tcW w:type="dxa" w:w="6624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Clarify how ML output should be handled when a member has multiple accounts, including whether the risk should be calculated at account level and aggregated at member level.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Vijay / Business Team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Open</w:t>
            </w:r>
          </w:p>
        </w:tc>
      </w:tr>
      <w:tr>
        <w:tc>
          <w:tcPr>
            <w:tcW w:type="dxa" w:w="6624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Confirm how ML output should be displayed in the dashboard, including whether it should be shown at aggregated level and aligned with the BRS document.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Taj / Business Team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Open</w:t>
            </w:r>
          </w:p>
        </w:tc>
      </w:tr>
    </w:tbl>
    <w:p>
      <w:r>
        <w:rPr>
          <w:rFonts w:ascii="Times New Roman" w:hAnsi="Times New Roman"/>
          <w:sz w:val="22"/>
        </w:rPr>
        <w:br/>
        <w:t>Regards,</w:t>
        <w:br/>
        <w:t>Vijay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