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lineRule="auto"/>
        <w:rPr>
          <w:rFonts w:ascii="Nunito Black" w:cs="Nunito Black" w:eastAsia="Nunito Black" w:hAnsi="Nunito Black"/>
          <w:color w:val="efefef"/>
          <w:sz w:val="54"/>
          <w:szCs w:val="54"/>
        </w:rPr>
      </w:pPr>
      <w:bookmarkStart w:colFirst="0" w:colLast="0" w:name="_bnr8npcmcpzm" w:id="0"/>
      <w:bookmarkEnd w:id="0"/>
      <w:r w:rsidDel="00000000" w:rsidR="00000000" w:rsidRPr="00000000">
        <w:rPr>
          <w:rFonts w:ascii="Nunito Black" w:cs="Nunito Black" w:eastAsia="Nunito Black" w:hAnsi="Nunito Black"/>
          <w:color w:val="efefef"/>
          <w:sz w:val="54"/>
          <w:szCs w:val="54"/>
          <w:rtl w:val="0"/>
        </w:rPr>
        <w:t xml:space="preserve">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0" w:lineRule="auto"/>
        <w:rPr/>
      </w:pPr>
      <w:bookmarkStart w:colFirst="0" w:colLast="0" w:name="_fj08k1fpx4sj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Ind w:w="12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7605"/>
        <w:tblGridChange w:id="0">
          <w:tblGrid>
            <w:gridCol w:w="1725"/>
            <w:gridCol w:w="760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76" w:lineRule="auto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STAGE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76" w:lineRule="auto"/>
              <w:ind w:left="420" w:firstLine="0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STAGE PURPOSE</w:t>
            </w:r>
          </w:p>
          <w:p w:rsidR="00000000" w:rsidDel="00000000" w:rsidP="00000000" w:rsidRDefault="00000000" w:rsidRPr="00000000" w14:paraId="00000006">
            <w:pPr>
              <w:spacing w:after="0" w:lineRule="auto"/>
              <w:ind w:left="4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SETUP &amp;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7.4399999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Stage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76" w:lineRule="auto"/>
              <w:ind w:left="4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09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Specific area of improvement being targeted.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Stage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ind w:left="4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Background</w:t>
            </w:r>
          </w:p>
          <w:p w:rsidR="00000000" w:rsidDel="00000000" w:rsidP="00000000" w:rsidRDefault="00000000" w:rsidRPr="00000000" w14:paraId="0000000C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Context and status quo summary.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Stage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76" w:lineRule="auto"/>
              <w:ind w:left="4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Hypothesis</w:t>
            </w:r>
          </w:p>
          <w:p w:rsidR="00000000" w:rsidDel="00000000" w:rsidP="00000000" w:rsidRDefault="00000000" w:rsidRPr="00000000" w14:paraId="0000000F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Estimated outcome and improvements expected.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Stage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ind w:left="4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Design</w:t>
            </w:r>
          </w:p>
          <w:p w:rsidR="00000000" w:rsidDel="00000000" w:rsidP="00000000" w:rsidRDefault="00000000" w:rsidRPr="00000000" w14:paraId="00000012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Provide implementation details [control/variant].</w:t>
            </w:r>
          </w:p>
        </w:tc>
      </w:tr>
      <w:tr>
        <w:trPr>
          <w:cantSplit w:val="0"/>
          <w:trHeight w:val="777.4399999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Stage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ind w:left="4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Metrics</w:t>
            </w:r>
          </w:p>
          <w:p w:rsidR="00000000" w:rsidDel="00000000" w:rsidP="00000000" w:rsidRDefault="00000000" w:rsidRPr="00000000" w14:paraId="00000015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Provide measurement targets [primary/secondary &amp; guardrail].</w:t>
            </w:r>
          </w:p>
        </w:tc>
      </w:tr>
      <w:tr>
        <w:trPr>
          <w:cantSplit w:val="0"/>
          <w:trHeight w:val="867.4399999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Stage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ind w:left="4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Implementation Specifics</w:t>
            </w:r>
          </w:p>
          <w:p w:rsidR="00000000" w:rsidDel="00000000" w:rsidP="00000000" w:rsidRDefault="00000000" w:rsidRPr="00000000" w14:paraId="00000018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Details on targeting, samples, randomization, etc.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Stage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ind w:left="4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Track &amp; Report</w:t>
            </w:r>
          </w:p>
          <w:p w:rsidR="00000000" w:rsidDel="00000000" w:rsidP="00000000" w:rsidRDefault="00000000" w:rsidRPr="00000000" w14:paraId="0000001B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Measuring results for stat. sig. for control/variant.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rHeight w:val="467.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dott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0" w:lineRule="auto"/>
        <w:rPr>
          <w:rFonts w:ascii="Nunito Black" w:cs="Nunito Black" w:eastAsia="Nunito Black" w:hAnsi="Nunito Black"/>
          <w:color w:val="efefef"/>
          <w:sz w:val="54"/>
          <w:szCs w:val="54"/>
        </w:rPr>
      </w:pPr>
      <w:bookmarkStart w:colFirst="0" w:colLast="0" w:name="_q2gip1w49g1f" w:id="2"/>
      <w:bookmarkEnd w:id="2"/>
      <w:r w:rsidDel="00000000" w:rsidR="00000000" w:rsidRPr="00000000">
        <w:rPr>
          <w:rFonts w:ascii="Nunito Black" w:cs="Nunito Black" w:eastAsia="Nunito Black" w:hAnsi="Nunito Black"/>
          <w:color w:val="efefef"/>
          <w:sz w:val="54"/>
          <w:szCs w:val="54"/>
          <w:rtl w:val="0"/>
        </w:rPr>
        <w:t xml:space="preserve">STAGE 1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0" w:lineRule="auto"/>
        <w:rPr/>
      </w:pPr>
      <w:bookmarkStart w:colFirst="0" w:colLast="0" w:name="_sws0u29kurrr" w:id="3"/>
      <w:bookmarkEnd w:id="3"/>
      <w:r w:rsidDel="00000000" w:rsidR="00000000" w:rsidRPr="00000000">
        <w:rPr>
          <w:rtl w:val="0"/>
        </w:rPr>
        <w:t xml:space="preserve">EXPERIMENT OBJECTIVES</w:t>
      </w:r>
      <w:r w:rsidDel="00000000" w:rsidR="00000000" w:rsidRPr="00000000">
        <w:rPr>
          <w:rtl w:val="0"/>
        </w:rPr>
      </w:r>
    </w:p>
    <w:tbl>
      <w:tblPr>
        <w:tblStyle w:val="Table3"/>
        <w:tblW w:w="13530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9750"/>
        <w:tblGridChange w:id="0">
          <w:tblGrid>
            <w:gridCol w:w="3780"/>
            <w:gridCol w:w="9750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76" w:lineRule="auto"/>
              <w:jc w:val="left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EXPERIMENT SEGMENTS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TARGET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76" w:lineRule="auto"/>
              <w:ind w:left="420" w:firstLine="0"/>
              <w:jc w:val="left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EXPERIMENT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ind w:left="42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SAMPLE TARGETING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Conversion Rate Optimization (CRO)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new page layout for prequalification form to increase completion rate.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afterAutospacing="0" w:before="20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Single Item Profiling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Mad-Libs Engagement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Email &amp; Lifecycle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A/B test email subject lines with vs. without personalized loan limit offers to increase open and click rates.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Landing Page UX/UI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Multivariate test of CTA button color, placement, and messaging on merchant checkout pages.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Merchant 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adding “As low as $X/mo with Affirm” messaging under product listings vs. only on the product detail page.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Checkout Funnel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Run holdout test: remove Affirm as a payment option from 10% of merchant checkouts to measure incremental lift.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Cross-Sell &amp; Upsell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impact of promoting second loan offer at different lifecycle stages (e.g., right after full repayment).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Loan Approval 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different order of disclosures or rephrased questions in the application process to reduce drop-off.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Push Notification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Experiment with delivery times (e.g., lunch vs. evening) to maximize tap-through and engagement rate.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Merchant Category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customized financing terms (e.g., “No payments for 6 months”) messaging in specific categories like travel.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Ad Channel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Split-test display vs. social media remarketing to determine highest downstream loan conversion per dollar spent.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Pricing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impact of offering 0% APR promotional loans vs. standard 10–30% APR options on take rate and default rate.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Fraud Prevention and Risk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identity verification steps (e.g., selfie + ID match) for new users vs. relaxed flow on drop-off rate.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Merchant Widget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A/B test embedded monthly installment calculator on merchant PDPs vs. static monthly pricing copy.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Product Feature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exposure to BNPL explainer video vs. static FAQ on user education and engagement.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Personalization /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personalized financing term recommendations (based on user profile) vs. default offer to improve uptake.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Nudges &amp; Behavioral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adding scarcity language (“Last chance for 0% financing!”) in email footers to improve click-to-apply rate.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App vs. Web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identical email-to-checkout journeys routed to mobile app vs. mobile web to measure channel conversion lift.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Trust Signal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positioning of FDIC insurance badge and data privacy seals during financing to increase user confidence.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Checkout Form Field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Test alternative sequences of form fields (e.g., income → employment vs. employment → income) to reduce friction.</w:t>
            </w:r>
          </w:p>
        </w:tc>
      </w:tr>
      <w:tr>
        <w:trPr>
          <w:cantSplit w:val="0"/>
          <w:trHeight w:val="860.76923076923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Incentive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Test $10 Affirm credit vs. no credit for completing onboarding to increase loan origination volume.</w:t>
            </w:r>
          </w:p>
        </w:tc>
      </w:tr>
    </w:tbl>
    <w:p w:rsidR="00000000" w:rsidDel="00000000" w:rsidP="00000000" w:rsidRDefault="00000000" w:rsidRPr="00000000" w14:paraId="0000005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0" w:lineRule="auto"/>
        <w:rPr/>
      </w:pPr>
      <w:bookmarkStart w:colFirst="0" w:colLast="0" w:name="_1bqaj25a1lq4" w:id="4"/>
      <w:bookmarkEnd w:id="4"/>
      <w:r w:rsidDel="00000000" w:rsidR="00000000" w:rsidRPr="00000000">
        <w:rPr>
          <w:rFonts w:ascii="Nunito Black" w:cs="Nunito Black" w:eastAsia="Nunito Black" w:hAnsi="Nunito Black"/>
          <w:color w:val="efefef"/>
          <w:sz w:val="54"/>
          <w:szCs w:val="54"/>
          <w:rtl w:val="0"/>
        </w:rPr>
        <w:t xml:space="preserve">STAGE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before="0" w:lineRule="auto"/>
        <w:rPr/>
      </w:pPr>
      <w:bookmarkStart w:colFirst="0" w:colLast="0" w:name="_tz5jvexan4kb" w:id="5"/>
      <w:bookmarkEnd w:id="5"/>
      <w:r w:rsidDel="00000000" w:rsidR="00000000" w:rsidRPr="00000000">
        <w:rPr>
          <w:rtl w:val="0"/>
        </w:rPr>
        <w:t xml:space="preserve">2. EXPERIMENT TYPES &amp; FRAMEWORKS</w:t>
      </w:r>
    </w:p>
    <w:tbl>
      <w:tblPr>
        <w:tblStyle w:val="Table4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3680"/>
        <w:gridCol w:w="3440"/>
        <w:tblGridChange w:id="0">
          <w:tblGrid>
            <w:gridCol w:w="2315"/>
            <w:gridCol w:w="3680"/>
            <w:gridCol w:w="3440"/>
          </w:tblGrid>
        </w:tblGridChange>
      </w:tblGrid>
      <w:tr>
        <w:trPr>
          <w:cantSplit w:val="0"/>
          <w:trHeight w:val="292.939910313901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at Affirm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53004484304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A/B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Two-group comparison (control vs. treatment)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a redesigned email to convert pre-approved users</w:t>
            </w:r>
          </w:p>
        </w:tc>
      </w:tr>
      <w:tr>
        <w:trPr>
          <w:cantSplit w:val="0"/>
          <w:trHeight w:val="486.53004484304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Multivariate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Tests multiple variables at 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CTA color + headline + loan term placement</w:t>
            </w:r>
          </w:p>
        </w:tc>
      </w:tr>
      <w:tr>
        <w:trPr>
          <w:cantSplit w:val="0"/>
          <w:trHeight w:val="486.53004484304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Multi-Armed Bandit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Allocates more traffic to better-performing variants in 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Optimize promo banner variants on merchant sites</w:t>
            </w:r>
          </w:p>
        </w:tc>
      </w:tr>
      <w:tr>
        <w:trPr>
          <w:cantSplit w:val="0"/>
          <w:trHeight w:val="486.53004484304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Holdout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Hold out a random group to assess true lift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Measure long-term impact of offering Affirm at checkout</w:t>
            </w:r>
          </w:p>
        </w:tc>
      </w:tr>
      <w:tr>
        <w:trPr>
          <w:cantSplit w:val="0"/>
          <w:trHeight w:val="486.53004484304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Interrupted Time Series (ITS)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Track outcomes before &amp; after intervention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New underwriting model rollout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o9byce4xnxj" w:id="6"/>
      <w:bookmarkEnd w:id="6"/>
      <w:r w:rsidDel="00000000" w:rsidR="00000000" w:rsidRPr="00000000">
        <w:rPr>
          <w:rtl w:val="0"/>
        </w:rPr>
        <w:t xml:space="preserve">3. Experiment Design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kq1q04lyqixs" w:id="7"/>
      <w:bookmarkEnd w:id="7"/>
      <w:r w:rsidDel="00000000" w:rsidR="00000000" w:rsidRPr="00000000">
        <w:rPr>
          <w:rtl w:val="0"/>
        </w:rPr>
        <w:t xml:space="preserve">A. Hypothesis Structure (Using PICO)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opulation: All users entering Affirm's financing funnel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ntervention: New email design for pre-qualified users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ontrol: Original email design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utcome: Increase in CTR and loan completions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"Among prequalified users (P), if we redesign the email layout (I) compared to the current template (C), we expect a 15% increase in CTR and 10% lift in loan conversion (O)."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9upyk8r1gu8i" w:id="8"/>
      <w:bookmarkEnd w:id="8"/>
      <w:r w:rsidDel="00000000" w:rsidR="00000000" w:rsidRPr="00000000">
        <w:rPr>
          <w:rtl w:val="0"/>
        </w:rPr>
        <w:t xml:space="preserve">B. Defining Metrics</w:t>
      </w:r>
    </w:p>
    <w:tbl>
      <w:tblPr>
        <w:tblStyle w:val="Table5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5075"/>
        <w:tblGridChange w:id="0">
          <w:tblGrid>
            <w:gridCol w:w="2105"/>
            <w:gridCol w:w="50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Examples at Affirm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Primary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CTR, conversion to loan approval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Secondary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Loan size, NPS, time-to-completion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Guardrail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Email unsubscribes, bounce rates, fraud rates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rPr/>
      </w:pPr>
      <w:bookmarkStart w:colFirst="0" w:colLast="0" w:name="_2mweeyxufyn4" w:id="9"/>
      <w:bookmarkEnd w:id="9"/>
      <w:r w:rsidDel="00000000" w:rsidR="00000000" w:rsidRPr="00000000">
        <w:rPr>
          <w:rtl w:val="0"/>
        </w:rPr>
        <w:t xml:space="preserve">4. Statistical Planning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ms557frfi6mp" w:id="10"/>
      <w:bookmarkEnd w:id="10"/>
      <w:r w:rsidDel="00000000" w:rsidR="00000000" w:rsidRPr="00000000">
        <w:rPr>
          <w:rtl w:val="0"/>
        </w:rPr>
        <w:t xml:space="preserve">A. Sample Size Calculation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Baseline rate (e.g. 10% CTR)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Minimum detectable effect (MDE) (e.g. 1.5%)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Power (commonly 80%)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Significance level (alpha = 0.05)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formula for two-proportion z-test:</w:t>
      </w:r>
    </w:p>
    <w:p w:rsidR="00000000" w:rsidDel="00000000" w:rsidP="00000000" w:rsidRDefault="00000000" w:rsidRPr="00000000" w14:paraId="00000085">
      <w:pPr>
        <w:rPr>
          <w:rFonts w:ascii="Fira Code" w:cs="Fira Code" w:eastAsia="Fira Code" w:hAnsi="Fira Code"/>
        </w:rPr>
      </w:pPr>
      <w:r w:rsidDel="00000000" w:rsidR="00000000" w:rsidRPr="00000000">
        <w:rPr>
          <w:rFonts w:ascii="Fira Code" w:cs="Fira Code" w:eastAsia="Fira Code" w:hAnsi="Fira Code"/>
          <w:rtl w:val="0"/>
        </w:rPr>
        <w:t xml:space="preserve">n=2×(Zα​/2+Zβ​)2×pˉ​(1−pˉ​)/(Δ)2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6unjc4vmyk1a" w:id="11"/>
      <w:bookmarkEnd w:id="11"/>
      <w:r w:rsidDel="00000000" w:rsidR="00000000" w:rsidRPr="00000000">
        <w:rPr>
          <w:rtl w:val="0"/>
        </w:rPr>
        <w:t xml:space="preserve">B. Randomization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Stratified randomization </w:t>
      </w:r>
      <w:r w:rsidDel="00000000" w:rsidR="00000000" w:rsidRPr="00000000">
        <w:rPr>
          <w:rtl w:val="0"/>
        </w:rPr>
        <w:t xml:space="preserve">to control for high-variance features (e.g., mobile vs desktop, merchant category).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Example: Users from travel merchants vs. retail merchants might behave differently.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922owo669uya" w:id="12"/>
      <w:bookmarkEnd w:id="12"/>
      <w:r w:rsidDel="00000000" w:rsidR="00000000" w:rsidRPr="00000000">
        <w:rPr>
          <w:rtl w:val="0"/>
        </w:rPr>
        <w:t xml:space="preserve">C. Avoiding Biases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Simultaneous deployment</w:t>
      </w:r>
      <w:r w:rsidDel="00000000" w:rsidR="00000000" w:rsidRPr="00000000">
        <w:rPr>
          <w:rtl w:val="0"/>
        </w:rPr>
        <w:t xml:space="preserve"> to avoid seasonality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 filtering</w:t>
      </w:r>
      <w:r w:rsidDel="00000000" w:rsidR="00000000" w:rsidRPr="00000000">
        <w:rPr>
          <w:rtl w:val="0"/>
        </w:rPr>
        <w:t xml:space="preserve"> via fingerprinting or behavioral filters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Cookie-based bucketing</w:t>
      </w:r>
      <w:r w:rsidDel="00000000" w:rsidR="00000000" w:rsidRPr="00000000">
        <w:rPr>
          <w:rtl w:val="0"/>
        </w:rPr>
        <w:t xml:space="preserve"> for web users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bisy21cbpudy" w:id="13"/>
      <w:bookmarkEnd w:id="13"/>
      <w:r w:rsidDel="00000000" w:rsidR="00000000" w:rsidRPr="00000000">
        <w:rPr>
          <w:rtl w:val="0"/>
        </w:rPr>
        <w:t xml:space="preserve">5. Experiment Execution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acyx621ruu7o" w:id="14"/>
      <w:bookmarkEnd w:id="14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Experimentation Platform: WebLab or internal experimentation engine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Event Tracking: Segment + Redshift or Snowflake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Statistical Libraries: SciPy, Statsmodels, or internal ML/stat toolkits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mc4om1h3dvhw" w:id="15"/>
      <w:bookmarkEnd w:id="15"/>
      <w:r w:rsidDel="00000000" w:rsidR="00000000" w:rsidRPr="00000000">
        <w:rPr>
          <w:rtl w:val="0"/>
        </w:rPr>
        <w:t xml:space="preserve">Example: A/B Test – Prequalification Page Redesign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Control: Existing layout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Variant: Cleaner layout with “instant financing” badge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Primary Metric: Prequal submission rate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Execution Period: 3 weeks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Target Users: Logged-in users from high-traffic merchant pages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6. 📉 Statistical Analysis &amp; Models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A. Frequentist Methods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t-test for means (e.g., loan size)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z-test for proportions (e.g., CTR)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Chi-square test for categorical outcomes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B. Bayesian Inference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continuous monitoring (i.e., decision-making mid-test)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Gives a probability that variant is better, rather than p-value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C. Regression Models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Logistic regression to control for covariates: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Conversion ~ Treatment + Device + Merchant_Category + Time_of_Day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Uplift modeling: Estimate individual treatment effects (ITE)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7p1j7de806ax" w:id="16"/>
      <w:bookmarkEnd w:id="16"/>
      <w:r w:rsidDel="00000000" w:rsidR="00000000" w:rsidRPr="00000000">
        <w:rPr>
          <w:rtl w:val="0"/>
        </w:rPr>
        <w:t xml:space="preserve">7. Result Interpretation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Output</w:t>
      </w:r>
    </w:p>
    <w:tbl>
      <w:tblPr>
        <w:tblStyle w:val="Table6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055"/>
        <w:gridCol w:w="1040"/>
        <w:gridCol w:w="1085"/>
        <w:gridCol w:w="1085"/>
        <w:tblGridChange w:id="0">
          <w:tblGrid>
            <w:gridCol w:w="2375"/>
            <w:gridCol w:w="1055"/>
            <w:gridCol w:w="1040"/>
            <w:gridCol w:w="1085"/>
            <w:gridCol w:w="10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p-value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10.2%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11.7%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+14.7%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Prequal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7.8%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8.1%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+3.8%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0.21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Loan Approval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5.2%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+15.6%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Statistically significant metrics (p &lt; 0.05)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Non-significant result still useful for directional learning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8. Post-Test Actions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A. Rollout Criteria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Effect is statistically significant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Lift meets or exceeds MDE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No negative movement in guardrail metrics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B. Segmented Insights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Segment performance by device, channel, user cohort, merchant vertical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Use for personalized future experiments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C. Documentation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Maintain a centralized experiment wiki (Notion, Confluence)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Include: Hypothesis, design, metrics, results, learnings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9jk6w5kbeu5a" w:id="17"/>
      <w:bookmarkEnd w:id="17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9. Common Pitfalls</w:t>
      </w:r>
    </w:p>
    <w:tbl>
      <w:tblPr>
        <w:tblStyle w:val="Table7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935"/>
        <w:tblGridChange w:id="0">
          <w:tblGrid>
            <w:gridCol w:w="2960"/>
            <w:gridCol w:w="39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Peeking (early stopping)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 fixed sample or Bayesian stop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Metric variance too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 log transformation or median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Winner’s curse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Re-test before full rollout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Low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Increase duration or sample size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Overlapping experiments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 mutual exclusivity buckets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10. Recommended Models &amp; Advanced Approaches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A. CUPED (Controlled Pre-experiment Data)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Reduces variance using pre-experiment behavior as a covariate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B. Causal Inference Models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Propensity score matching for quasi-experiments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Diff-in-diff when rollout cannot be randomized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C. Sequential Testing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Continuous monitoring with adjusted error rates (e.g., SPRT)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D. Uplift Modeling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Estimate which users respond best to the treatment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Used in retention/upsell experiments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ExtraBold">
    <w:embedBold w:fontKey="{00000000-0000-0000-0000-000000000000}" r:id="rId9" w:subsetted="0"/>
    <w:embedBoldItalic w:fontKey="{00000000-0000-0000-0000-000000000000}" r:id="rId10" w:subsetted="0"/>
  </w:font>
  <w:font w:name="Fira Code">
    <w:embedRegular w:fontKey="{00000000-0000-0000-0000-000000000000}" r:id="rId11" w:subsetted="0"/>
    <w:embedBold w:fontKey="{00000000-0000-0000-0000-000000000000}" r:id="rId12" w:subsetted="0"/>
  </w:font>
  <w:font w:name="Nunito Black">
    <w:embedBold w:fontKey="{00000000-0000-0000-0000-000000000000}" r:id="rId13" w:subsetted="0"/>
    <w:embedBoldItalic w:fontKey="{00000000-0000-0000-0000-000000000000}" r:id="rId14" w:subsetted="0"/>
  </w:font>
  <w:font w:name="Nova Mono">
    <w:embedRegular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lang w:val="en"/>
      </w:rPr>
    </w:rPrDefault>
    <w:pPrDefault>
      <w:pPr>
        <w:spacing w:after="1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Nunito Black" w:cs="Nunito Black" w:eastAsia="Nunito Black" w:hAnsi="Nunito Black"/>
      <w:sz w:val="42"/>
      <w:szCs w:val="4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Nunito ExtraBold" w:cs="Nunito ExtraBold" w:eastAsia="Nunito ExtraBold" w:hAnsi="Nunito ExtraBold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0" w:firstLine="0"/>
    </w:pPr>
    <w:rPr>
      <w:b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FiraCode-regular.ttf"/><Relationship Id="rId10" Type="http://schemas.openxmlformats.org/officeDocument/2006/relationships/font" Target="fonts/NunitoExtraBold-boldItalic.ttf"/><Relationship Id="rId13" Type="http://schemas.openxmlformats.org/officeDocument/2006/relationships/font" Target="fonts/NunitoBlack-bold.ttf"/><Relationship Id="rId12" Type="http://schemas.openxmlformats.org/officeDocument/2006/relationships/font" Target="fonts/FiraCode-bold.ttf"/><Relationship Id="rId1" Type="http://schemas.openxmlformats.org/officeDocument/2006/relationships/font" Target="fonts/NunitoSemiBold-regular.ttf"/><Relationship Id="rId2" Type="http://schemas.openxmlformats.org/officeDocument/2006/relationships/font" Target="fonts/NunitoSemiBold-bold.ttf"/><Relationship Id="rId3" Type="http://schemas.openxmlformats.org/officeDocument/2006/relationships/font" Target="fonts/NunitoSemiBold-italic.ttf"/><Relationship Id="rId4" Type="http://schemas.openxmlformats.org/officeDocument/2006/relationships/font" Target="fonts/NunitoSemiBold-boldItalic.ttf"/><Relationship Id="rId9" Type="http://schemas.openxmlformats.org/officeDocument/2006/relationships/font" Target="fonts/NunitoExtraBold-bold.ttf"/><Relationship Id="rId15" Type="http://schemas.openxmlformats.org/officeDocument/2006/relationships/font" Target="fonts/NovaMono-regular.ttf"/><Relationship Id="rId14" Type="http://schemas.openxmlformats.org/officeDocument/2006/relationships/font" Target="fonts/NunitoBlack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