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D6DD0" w14:textId="77777777" w:rsidR="00EB3918" w:rsidRDefault="00000000">
      <w:pPr>
        <w:shd w:val="clear" w:color="auto" w:fill="1A335C"/>
        <w:spacing w:after="0"/>
        <w:jc w:val="center"/>
      </w:pPr>
      <w:r>
        <w:rPr>
          <w:rFonts w:ascii="Calibri" w:hAnsi="Calibri"/>
          <w:b/>
          <w:color w:val="FFFFFF"/>
          <w:sz w:val="32"/>
        </w:rPr>
        <w:t>THIRD-PARTY MODEL AND VENDOR GOVERNANCE REVIEW</w:t>
      </w:r>
    </w:p>
    <w:p w14:paraId="550A823A" w14:textId="77777777" w:rsidR="00EB3918" w:rsidRDefault="00000000">
      <w:pPr>
        <w:shd w:val="clear" w:color="auto" w:fill="1F5C99"/>
        <w:spacing w:after="0"/>
        <w:jc w:val="center"/>
      </w:pPr>
      <w:r>
        <w:rPr>
          <w:rFonts w:ascii="Calibri" w:hAnsi="Calibri"/>
          <w:i/>
          <w:color w:val="FFFFFF"/>
        </w:rPr>
        <w:t>AI Governance Program  |  Vendor Risk and Model Oversight</w:t>
      </w:r>
    </w:p>
    <w:p w14:paraId="0F32D7B8" w14:textId="77777777" w:rsidR="00EB3918" w:rsidRDefault="00000000">
      <w:pPr>
        <w:shd w:val="clear" w:color="auto" w:fill="C9A02B"/>
        <w:spacing w:after="160"/>
      </w:pPr>
      <w:r>
        <w:rPr>
          <w:rFonts w:ascii="Calibri" w:hAnsi="Calibri"/>
          <w:color w:val="C9A02B"/>
          <w:sz w:val="10"/>
        </w:rPr>
        <w:t xml:space="preserve"> </w:t>
      </w:r>
    </w:p>
    <w:tbl>
      <w:tblPr>
        <w:tblStyle w:val="TableGrid"/>
        <w:tblW w:w="0" w:type="auto"/>
        <w:tblLook w:val="04A0" w:firstRow="1" w:lastRow="0" w:firstColumn="1" w:lastColumn="0" w:noHBand="0" w:noVBand="1"/>
      </w:tblPr>
      <w:tblGrid>
        <w:gridCol w:w="2803"/>
        <w:gridCol w:w="7061"/>
      </w:tblGrid>
      <w:tr w:rsidR="00EB3918" w14:paraId="3FDEBF0C"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C8A6FDB" w14:textId="77777777" w:rsidR="00EB3918" w:rsidRDefault="00000000">
            <w:pPr>
              <w:spacing w:before="60" w:after="60"/>
              <w:ind w:left="101" w:right="58"/>
            </w:pPr>
            <w:r>
              <w:rPr>
                <w:rFonts w:ascii="Calibri" w:hAnsi="Calibri"/>
                <w:b/>
                <w:color w:val="1A335C"/>
                <w:sz w:val="18"/>
              </w:rPr>
              <w:t>Document Name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55F1FF5F" w14:textId="77777777" w:rsidR="00EB3918" w:rsidRDefault="00000000">
            <w:pPr>
              <w:spacing w:before="60" w:after="60"/>
              <w:ind w:left="101" w:right="58"/>
            </w:pPr>
            <w:r>
              <w:rPr>
                <w:rFonts w:ascii="Calibri" w:hAnsi="Calibri"/>
                <w:color w:val="1A1A1A"/>
                <w:sz w:val="18"/>
              </w:rPr>
              <w:t>Third-Party Model and Vendor Governance Review</w:t>
            </w:r>
          </w:p>
        </w:tc>
      </w:tr>
      <w:tr w:rsidR="00EB3918" w14:paraId="0E2AF9C6"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5F53F989" w14:textId="77777777" w:rsidR="00EB3918" w:rsidRDefault="00000000">
            <w:pPr>
              <w:spacing w:before="60" w:after="60"/>
              <w:ind w:left="101" w:right="58"/>
            </w:pPr>
            <w:r>
              <w:rPr>
                <w:rFonts w:ascii="Calibri" w:hAnsi="Calibri"/>
                <w:b/>
                <w:color w:val="1A335C"/>
                <w:sz w:val="18"/>
              </w:rPr>
              <w:t>AI System</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3398F63B" w14:textId="77777777" w:rsidR="00EB3918" w:rsidRDefault="00000000">
            <w:pPr>
              <w:spacing w:before="60" w:after="60"/>
              <w:ind w:left="101" w:right="58"/>
            </w:pPr>
            <w:r>
              <w:rPr>
                <w:rFonts w:ascii="Calibri" w:hAnsi="Calibri"/>
                <w:color w:val="1A1A1A"/>
                <w:sz w:val="18"/>
              </w:rPr>
              <w:t>Meridian Automated Loan Underwriting System</w:t>
            </w:r>
          </w:p>
        </w:tc>
      </w:tr>
      <w:tr w:rsidR="00EB3918" w14:paraId="6D174DC5"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1BCC738" w14:textId="77777777" w:rsidR="00EB3918" w:rsidRDefault="00000000">
            <w:pPr>
              <w:spacing w:before="60" w:after="60"/>
              <w:ind w:left="101" w:right="58"/>
            </w:pPr>
            <w:r>
              <w:rPr>
                <w:rFonts w:ascii="Calibri" w:hAnsi="Calibri"/>
                <w:b/>
                <w:color w:val="1A335C"/>
                <w:sz w:val="18"/>
              </w:rPr>
              <w:t>Vendor</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62338236" w14:textId="77777777" w:rsidR="00EB3918" w:rsidRDefault="00000000">
            <w:pPr>
              <w:spacing w:before="60" w:after="60"/>
              <w:ind w:left="101" w:right="58"/>
            </w:pPr>
            <w:r>
              <w:rPr>
                <w:rFonts w:ascii="Calibri" w:hAnsi="Calibri"/>
                <w:color w:val="1A1A1A"/>
                <w:sz w:val="18"/>
              </w:rPr>
              <w:t>CrediSure AI  [Fictional — Portfolio Use Only]</w:t>
            </w:r>
          </w:p>
        </w:tc>
      </w:tr>
      <w:tr w:rsidR="00EB3918" w14:paraId="458AF9C1"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320F7DF2" w14:textId="77777777" w:rsidR="00EB3918" w:rsidRDefault="00000000">
            <w:pPr>
              <w:spacing w:before="60" w:after="60"/>
              <w:ind w:left="101" w:right="58"/>
            </w:pPr>
            <w:r>
              <w:rPr>
                <w:rFonts w:ascii="Calibri" w:hAnsi="Calibri"/>
                <w:b/>
                <w:color w:val="1A335C"/>
                <w:sz w:val="18"/>
              </w:rPr>
              <w:t>Model</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75F7EAA" w14:textId="77777777" w:rsidR="00EB3918" w:rsidRDefault="00000000">
            <w:pPr>
              <w:spacing w:before="60" w:after="60"/>
              <w:ind w:left="101" w:right="58"/>
            </w:pPr>
            <w:r>
              <w:rPr>
                <w:rFonts w:ascii="Calibri" w:hAnsi="Calibri"/>
                <w:color w:val="1A1A1A"/>
                <w:sz w:val="18"/>
              </w:rPr>
              <w:t>CrediSure Credit Decision Engine</w:t>
            </w:r>
          </w:p>
        </w:tc>
      </w:tr>
      <w:tr w:rsidR="00EB3918" w14:paraId="294E1D6A"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7F9C2B37" w14:textId="77777777" w:rsidR="00EB3918" w:rsidRDefault="00000000">
            <w:pPr>
              <w:spacing w:before="60" w:after="60"/>
              <w:ind w:left="101" w:right="58"/>
            </w:pPr>
            <w:r>
              <w:rPr>
                <w:rFonts w:ascii="Calibri" w:hAnsi="Calibri"/>
                <w:b/>
                <w:color w:val="1A335C"/>
                <w:sz w:val="18"/>
              </w:rPr>
              <w:t>Organization</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532CF79" w14:textId="77777777" w:rsidR="00EB3918" w:rsidRDefault="00000000">
            <w:pPr>
              <w:spacing w:before="60" w:after="60"/>
              <w:ind w:left="101" w:right="58"/>
            </w:pPr>
            <w:r>
              <w:rPr>
                <w:rFonts w:ascii="Calibri" w:hAnsi="Calibri"/>
                <w:color w:val="1A1A1A"/>
                <w:sz w:val="18"/>
              </w:rPr>
              <w:t>Meridian Financial Services  [Fictional — Portfolio Use Only]</w:t>
            </w:r>
          </w:p>
        </w:tc>
      </w:tr>
      <w:tr w:rsidR="00EB3918" w14:paraId="5E3ED68B"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34CB37C9" w14:textId="77777777" w:rsidR="00EB3918" w:rsidRDefault="00000000">
            <w:pPr>
              <w:spacing w:before="60" w:after="60"/>
              <w:ind w:left="101" w:right="58"/>
            </w:pPr>
            <w:r>
              <w:rPr>
                <w:rFonts w:ascii="Calibri" w:hAnsi="Calibri"/>
                <w:b/>
                <w:color w:val="1A335C"/>
                <w:sz w:val="18"/>
              </w:rPr>
              <w:t>Document Owner</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7327F069" w14:textId="77777777" w:rsidR="00EB3918" w:rsidRDefault="00000000">
            <w:pPr>
              <w:spacing w:before="60" w:after="60"/>
              <w:ind w:left="101" w:right="58"/>
            </w:pPr>
            <w:r>
              <w:rPr>
                <w:rFonts w:ascii="Calibri" w:hAnsi="Calibri"/>
                <w:color w:val="1A1A1A"/>
                <w:sz w:val="18"/>
              </w:rPr>
              <w:t xml:space="preserve">Vivek Korikanthimath, Vendor Risk Owner</w:t>
            </w:r>
          </w:p>
        </w:tc>
      </w:tr>
      <w:tr w:rsidR="00EB3918" w14:paraId="0FA93656"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BB969A4" w14:textId="77777777" w:rsidR="00EB3918" w:rsidRDefault="00000000">
            <w:pPr>
              <w:spacing w:before="60" w:after="60"/>
              <w:ind w:left="101" w:right="58"/>
            </w:pPr>
            <w:r>
              <w:rPr>
                <w:rFonts w:ascii="Calibri" w:hAnsi="Calibri"/>
                <w:b/>
                <w:color w:val="1A335C"/>
                <w:sz w:val="18"/>
              </w:rPr>
              <w:t>Review Contributors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03167593" w14:textId="77777777" w:rsidR="00EB3918" w:rsidRDefault="00000000">
            <w:pPr>
              <w:spacing w:before="60" w:after="60"/>
              <w:ind w:left="101" w:right="58"/>
            </w:pPr>
            <w:r>
              <w:rPr>
                <w:rFonts w:ascii="Calibri" w:hAnsi="Calibri"/>
                <w:color w:val="1A1A1A"/>
                <w:sz w:val="18"/>
              </w:rPr>
              <w:t>AI Governance Lead, Model Risk Reviewer, Compliance Reviewer, Security / Privacy Reviewer</w:t>
            </w:r>
          </w:p>
        </w:tc>
      </w:tr>
      <w:tr w:rsidR="00EB3918" w14:paraId="51197849"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699641FB" w14:textId="77777777" w:rsidR="00EB3918" w:rsidRDefault="00000000">
            <w:pPr>
              <w:spacing w:before="60" w:after="60"/>
              <w:ind w:left="101" w:right="58"/>
            </w:pPr>
            <w:r>
              <w:rPr>
                <w:rFonts w:ascii="Calibri" w:hAnsi="Calibri"/>
                <w:b/>
                <w:color w:val="1A335C"/>
                <w:sz w:val="18"/>
              </w:rPr>
              <w:t>Review Status</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446E28A1" w14:textId="77777777" w:rsidR="00EB3918" w:rsidRDefault="00000000">
            <w:pPr>
              <w:spacing w:before="60" w:after="60"/>
              <w:ind w:left="101" w:right="58"/>
            </w:pPr>
            <w:r>
              <w:rPr>
                <w:rFonts w:ascii="Calibri" w:hAnsi="Calibri"/>
                <w:color w:val="1A1A1A"/>
                <w:sz w:val="18"/>
              </w:rPr>
              <w:t>Draft — Pending Vendor Evidence Review</w:t>
            </w:r>
          </w:p>
        </w:tc>
      </w:tr>
      <w:tr w:rsidR="00EB3918" w14:paraId="7AC86C11"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59287384" w14:textId="77777777" w:rsidR="00EB3918" w:rsidRDefault="00000000">
            <w:pPr>
              <w:spacing w:before="60" w:after="60"/>
              <w:ind w:left="101" w:right="58"/>
            </w:pPr>
            <w:r>
              <w:rPr>
                <w:rFonts w:ascii="Calibri" w:hAnsi="Calibri"/>
                <w:b/>
                <w:color w:val="1A335C"/>
                <w:sz w:val="18"/>
              </w:rPr>
              <w:t>System Status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7FE47779" w14:textId="77777777" w:rsidR="00EB3918" w:rsidRDefault="00000000">
            <w:pPr>
              <w:spacing w:before="60" w:after="60"/>
              <w:ind w:left="101" w:right="58"/>
            </w:pPr>
            <w:r>
              <w:rPr>
                <w:rFonts w:ascii="Calibri" w:hAnsi="Calibri"/>
                <w:color w:val="1A1A1A"/>
                <w:sz w:val="18"/>
              </w:rPr>
              <w:t>Pre-Production Pilot</w:t>
            </w:r>
          </w:p>
        </w:tc>
      </w:tr>
      <w:tr w:rsidR="00EB3918" w14:paraId="668C217A"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5E6C5FA" w14:textId="77777777" w:rsidR="00EB3918" w:rsidRDefault="00000000">
            <w:pPr>
              <w:spacing w:before="60" w:after="60"/>
              <w:ind w:left="101" w:right="58"/>
            </w:pPr>
            <w:r>
              <w:rPr>
                <w:rFonts w:ascii="Calibri" w:hAnsi="Calibri"/>
                <w:b/>
                <w:color w:val="1A335C"/>
                <w:sz w:val="18"/>
              </w:rPr>
              <w:t>Version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31460720" w14:textId="77777777" w:rsidR="00EB3918" w:rsidRDefault="00000000">
            <w:pPr>
              <w:spacing w:before="60" w:after="60"/>
              <w:ind w:left="101" w:right="58"/>
            </w:pPr>
            <w:r>
              <w:rPr>
                <w:rFonts w:ascii="Calibri" w:hAnsi="Calibri"/>
                <w:color w:val="1A1A1A"/>
                <w:sz w:val="18"/>
              </w:rPr>
              <w:t>1.0</w:t>
            </w:r>
          </w:p>
        </w:tc>
      </w:tr>
      <w:tr w:rsidR="00EB3918" w14:paraId="4F3D7D5F"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8ED30C5" w14:textId="77777777" w:rsidR="00EB3918" w:rsidRDefault="00000000">
            <w:pPr>
              <w:spacing w:before="60" w:after="60"/>
              <w:ind w:left="101" w:right="58"/>
            </w:pPr>
            <w:r>
              <w:rPr>
                <w:rFonts w:ascii="Calibri" w:hAnsi="Calibri"/>
                <w:b/>
                <w:color w:val="1A335C"/>
                <w:sz w:val="18"/>
              </w:rPr>
              <w:t>Date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E74BB2D" w14:textId="77777777" w:rsidR="00EB3918" w:rsidRDefault="00000000">
            <w:pPr>
              <w:spacing w:before="60" w:after="60"/>
              <w:ind w:left="101" w:right="58"/>
            </w:pPr>
            <w:r>
              <w:rPr>
                <w:rFonts w:ascii="Calibri" w:hAnsi="Calibri"/>
                <w:color w:val="1A1A1A"/>
                <w:sz w:val="18"/>
              </w:rPr>
              <w:t>May 23, 2026</w:t>
            </w:r>
          </w:p>
        </w:tc>
      </w:tr>
    </w:tbl>
    <w:p w14:paraId="04FF7F0E" w14:textId="77777777" w:rsidR="00EB3918" w:rsidRDefault="00EB3918">
      <w:pPr>
        <w:spacing w:after="120"/>
      </w:pPr>
    </w:p>
    <w:p w14:paraId="58B9F1E2" w14:textId="77777777" w:rsidR="00EB3918" w:rsidRDefault="00000000">
      <w:pPr>
        <w:shd w:val="clear" w:color="auto" w:fill="FEF3E2"/>
        <w:spacing w:after="40"/>
      </w:pPr>
      <w:r>
        <w:rPr>
          <w:rFonts w:ascii="Calibri" w:hAnsi="Calibri"/>
          <w:b/>
          <w:color w:val="C06000"/>
          <w:sz w:val="20"/>
        </w:rPr>
        <w:t xml:space="preserve">  NOTICE: </w:t>
      </w:r>
      <w:r>
        <w:rPr>
          <w:rFonts w:ascii="Calibri" w:hAnsi="Calibri"/>
          <w:i/>
          <w:color w:val="1A1A1A"/>
          <w:sz w:val="20"/>
        </w:rPr>
        <w:t>This document is a fictional, synthetic governance artifact created for portfolio and educational purposes. It does not represent any real organization, system, vendor, or individual. All data, scenarios, and decisions are illustrative only.</w:t>
      </w:r>
    </w:p>
    <w:p w14:paraId="708154F9" w14:textId="77777777" w:rsidR="00EB3918" w:rsidRDefault="00EB3918">
      <w:pPr>
        <w:spacing w:after="120"/>
      </w:pPr>
    </w:p>
    <w:p w14:paraId="2CA5C78C" w14:textId="77777777" w:rsidR="00EB3918" w:rsidRDefault="00000000">
      <w:pPr>
        <w:shd w:val="clear" w:color="auto" w:fill="1A335C"/>
        <w:spacing w:before="280" w:after="100"/>
      </w:pPr>
      <w:r>
        <w:rPr>
          <w:rFonts w:ascii="Calibri" w:hAnsi="Calibri"/>
          <w:b/>
          <w:color w:val="FFFFFF"/>
          <w:sz w:val="24"/>
        </w:rPr>
        <w:t xml:space="preserve">  1.  EXECUTIVE SUMMARY</w:t>
      </w:r>
    </w:p>
    <w:p w14:paraId="6EE51FB2" w14:textId="0DE97719" w:rsidR="00EB3918" w:rsidRDefault="00000000">
      <w:pPr>
        <w:spacing w:before="80" w:after="80"/>
      </w:pPr>
      <w:r>
        <w:rPr>
          <w:rFonts w:ascii="Calibri" w:hAnsi="Calibri"/>
          <w:color w:val="1A1A1A"/>
          <w:sz w:val="20"/>
        </w:rPr>
        <w:t xml:space="preserve">Meridian Financial Services is evaluating CrediSure AI as the third-party provider of the </w:t>
      </w:r>
      <w:proofErr w:type="spellStart"/>
      <w:r>
        <w:rPr>
          <w:rFonts w:ascii="Calibri" w:hAnsi="Calibri"/>
          <w:color w:val="1A1A1A"/>
          <w:sz w:val="20"/>
        </w:rPr>
        <w:t>CrediSure</w:t>
      </w:r>
      <w:proofErr w:type="spellEnd"/>
      <w:r>
        <w:rPr>
          <w:rFonts w:ascii="Calibri" w:hAnsi="Calibri"/>
          <w:color w:val="1A1A1A"/>
          <w:sz w:val="20"/>
        </w:rPr>
        <w:t xml:space="preserve"> Credit Decision </w:t>
      </w:r>
      <w:proofErr w:type="gramStart"/>
      <w:r>
        <w:rPr>
          <w:rFonts w:ascii="Calibri" w:hAnsi="Calibri"/>
          <w:color w:val="1A1A1A"/>
          <w:sz w:val="20"/>
        </w:rPr>
        <w:t>Engine</w:t>
      </w:r>
      <w:proofErr w:type="gramEnd"/>
      <w:r>
        <w:rPr>
          <w:rFonts w:ascii="Calibri" w:hAnsi="Calibri"/>
          <w:color w:val="1A1A1A"/>
          <w:sz w:val="20"/>
        </w:rPr>
        <w:t xml:space="preserve"> an AI-enabled credit decisioning model that powers the Meridian Automated Loan Underwriting System. The model generates credit risk scores, confidence scores, approval and denial recommendations, manual review flags, and denial reason codes for small business loan applications.</w:t>
      </w:r>
    </w:p>
    <w:p w14:paraId="66FDE7B2" w14:textId="77777777" w:rsidR="00EB3918" w:rsidRDefault="00000000">
      <w:pPr>
        <w:spacing w:before="40" w:after="120"/>
      </w:pPr>
      <w:r>
        <w:rPr>
          <w:rFonts w:ascii="Calibri" w:hAnsi="Calibri"/>
          <w:color w:val="1A1A1A"/>
          <w:sz w:val="20"/>
        </w:rPr>
        <w:t>Because the model may influence or directly produce credit decisions, it creates significant third-party AI governance risk. Meridian remains accountable for how the system is used in lending, even when the model is supplied by an external vendor.</w:t>
      </w:r>
    </w:p>
    <w:p w14:paraId="35AE9791" w14:textId="727EE0A3" w:rsidR="00EB3918" w:rsidRDefault="00000000">
      <w:pPr>
        <w:shd w:val="clear" w:color="auto" w:fill="FDECEA"/>
        <w:spacing w:before="80" w:after="160"/>
        <w:ind w:left="144" w:right="144"/>
      </w:pPr>
      <w:r>
        <w:rPr>
          <w:rFonts w:ascii="Calibri" w:hAnsi="Calibri"/>
          <w:b/>
          <w:color w:val="C00000"/>
          <w:sz w:val="20"/>
        </w:rPr>
        <w:t xml:space="preserve">Review Status: </w:t>
      </w:r>
      <w:r>
        <w:rPr>
          <w:rFonts w:ascii="Calibri" w:hAnsi="Calibri"/>
          <w:color w:val="1A1A1A"/>
          <w:sz w:val="20"/>
        </w:rPr>
        <w:t>Vendor and model review is incomplete. Production approval must not proceed until required vendor documentation, validation evidence, security evidence, model change obligations, and monitoring commitments are reviewed and accepted.</w:t>
      </w:r>
    </w:p>
    <w:p w14:paraId="05F971D7" w14:textId="77777777" w:rsidR="00EB3918" w:rsidRDefault="00000000">
      <w:pPr>
        <w:shd w:val="clear" w:color="auto" w:fill="1A335C"/>
        <w:spacing w:before="280" w:after="100"/>
      </w:pPr>
      <w:r>
        <w:rPr>
          <w:rFonts w:ascii="Calibri" w:hAnsi="Calibri"/>
          <w:b/>
          <w:color w:val="FFFFFF"/>
          <w:sz w:val="24"/>
        </w:rPr>
        <w:t xml:space="preserve">  2.  VENDOR OVERVIEW</w:t>
      </w:r>
    </w:p>
    <w:tbl>
      <w:tblPr>
        <w:tblStyle w:val="TableGrid"/>
        <w:tblW w:w="0" w:type="auto"/>
        <w:tblLook w:val="04A0" w:firstRow="1" w:lastRow="0" w:firstColumn="1" w:lastColumn="0" w:noHBand="0" w:noVBand="1"/>
      </w:tblPr>
      <w:tblGrid>
        <w:gridCol w:w="2801"/>
        <w:gridCol w:w="7063"/>
      </w:tblGrid>
      <w:tr w:rsidR="00EB3918" w14:paraId="53353F77"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4D91089E" w14:textId="77777777" w:rsidR="00EB3918" w:rsidRDefault="00000000">
            <w:pPr>
              <w:spacing w:before="60" w:after="60"/>
              <w:ind w:left="101" w:right="58"/>
            </w:pPr>
            <w:r>
              <w:rPr>
                <w:rFonts w:ascii="Calibri" w:hAnsi="Calibri"/>
                <w:b/>
                <w:color w:val="1A335C"/>
                <w:sz w:val="18"/>
              </w:rPr>
              <w:t>Vendor Name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50046220" w14:textId="77777777" w:rsidR="00EB3918" w:rsidRDefault="00000000">
            <w:pPr>
              <w:spacing w:before="60" w:after="60"/>
              <w:ind w:left="101" w:right="58"/>
            </w:pPr>
            <w:r>
              <w:rPr>
                <w:rFonts w:ascii="Calibri" w:hAnsi="Calibri"/>
                <w:color w:val="1A1A1A"/>
                <w:sz w:val="18"/>
              </w:rPr>
              <w:t>CrediSure AI  [Fictional — Portfolio Use Only]</w:t>
            </w:r>
          </w:p>
        </w:tc>
      </w:tr>
      <w:tr w:rsidR="00EB3918" w14:paraId="72E170EC"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3CD089E7" w14:textId="77777777" w:rsidR="00EB3918" w:rsidRDefault="00000000">
            <w:pPr>
              <w:spacing w:before="60" w:after="60"/>
              <w:ind w:left="101" w:right="58"/>
            </w:pPr>
            <w:r>
              <w:rPr>
                <w:rFonts w:ascii="Calibri" w:hAnsi="Calibri"/>
                <w:b/>
                <w:color w:val="1A335C"/>
                <w:sz w:val="18"/>
              </w:rPr>
              <w:t>Vendor Type</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27473C4F" w14:textId="77777777" w:rsidR="00EB3918" w:rsidRDefault="00000000">
            <w:pPr>
              <w:spacing w:before="60" w:after="60"/>
              <w:ind w:left="101" w:right="58"/>
            </w:pPr>
            <w:r>
              <w:rPr>
                <w:rFonts w:ascii="Calibri" w:hAnsi="Calibri"/>
                <w:color w:val="1A1A1A"/>
                <w:sz w:val="18"/>
              </w:rPr>
              <w:t>Third-party AI credit decisioning provider</w:t>
            </w:r>
          </w:p>
        </w:tc>
      </w:tr>
      <w:tr w:rsidR="00EB3918" w14:paraId="5C6CCABC"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4DB5FFDA" w14:textId="77777777" w:rsidR="00EB3918" w:rsidRDefault="00000000">
            <w:pPr>
              <w:spacing w:before="60" w:after="60"/>
              <w:ind w:left="101" w:right="58"/>
            </w:pPr>
            <w:r>
              <w:rPr>
                <w:rFonts w:ascii="Calibri" w:hAnsi="Calibri"/>
                <w:b/>
                <w:color w:val="1A335C"/>
                <w:sz w:val="18"/>
              </w:rPr>
              <w:t>Hosting Provider</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5A251A3F" w14:textId="77777777" w:rsidR="00EB3918" w:rsidRDefault="00000000">
            <w:pPr>
              <w:spacing w:before="60" w:after="60"/>
              <w:ind w:left="101" w:right="58"/>
            </w:pPr>
            <w:r>
              <w:rPr>
                <w:rFonts w:ascii="Calibri" w:hAnsi="Calibri"/>
                <w:color w:val="1A1A1A"/>
                <w:sz w:val="18"/>
              </w:rPr>
              <w:t>CrediSure AI Cloud</w:t>
            </w:r>
          </w:p>
        </w:tc>
      </w:tr>
      <w:tr w:rsidR="00EB3918" w14:paraId="45CAD126"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54AA850F" w14:textId="77777777" w:rsidR="00EB3918" w:rsidRDefault="00000000">
            <w:pPr>
              <w:spacing w:before="60" w:after="60"/>
              <w:ind w:left="101" w:right="58"/>
            </w:pPr>
            <w:r>
              <w:rPr>
                <w:rFonts w:ascii="Calibri" w:hAnsi="Calibri"/>
                <w:b/>
                <w:color w:val="1A335C"/>
                <w:sz w:val="18"/>
              </w:rPr>
              <w:t>Integration Method</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2CBF6678" w14:textId="77777777" w:rsidR="00EB3918" w:rsidRDefault="00000000">
            <w:pPr>
              <w:spacing w:before="60" w:after="60"/>
              <w:ind w:left="101" w:right="58"/>
            </w:pPr>
            <w:r>
              <w:rPr>
                <w:rFonts w:ascii="Calibri" w:hAnsi="Calibri"/>
                <w:color w:val="1A1A1A"/>
                <w:sz w:val="18"/>
              </w:rPr>
              <w:t>API</w:t>
            </w:r>
          </w:p>
        </w:tc>
      </w:tr>
      <w:tr w:rsidR="00EB3918" w14:paraId="3892F34B"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10C68A8E" w14:textId="77777777" w:rsidR="00EB3918" w:rsidRDefault="00000000">
            <w:pPr>
              <w:spacing w:before="60" w:after="60"/>
              <w:ind w:left="101" w:right="58"/>
            </w:pPr>
            <w:r>
              <w:rPr>
                <w:rFonts w:ascii="Calibri" w:hAnsi="Calibri"/>
                <w:b/>
                <w:color w:val="1A335C"/>
                <w:sz w:val="18"/>
              </w:rPr>
              <w:t>Primary Service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BBE24B5" w14:textId="77777777" w:rsidR="00EB3918" w:rsidRDefault="00000000">
            <w:pPr>
              <w:spacing w:before="60" w:after="60"/>
              <w:ind w:left="101" w:right="58"/>
            </w:pPr>
            <w:r>
              <w:rPr>
                <w:rFonts w:ascii="Calibri" w:hAnsi="Calibri"/>
                <w:color w:val="1A1A1A"/>
                <w:sz w:val="18"/>
              </w:rPr>
              <w:t>AI-enabled small business credit risk scoring and underwriting decision support</w:t>
            </w:r>
          </w:p>
        </w:tc>
      </w:tr>
      <w:tr w:rsidR="00EB3918" w14:paraId="2251488D"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88C5F48" w14:textId="77777777" w:rsidR="00EB3918" w:rsidRDefault="00000000">
            <w:pPr>
              <w:spacing w:before="60" w:after="60"/>
              <w:ind w:left="101" w:right="58"/>
            </w:pPr>
            <w:r>
              <w:rPr>
                <w:rFonts w:ascii="Calibri" w:hAnsi="Calibri"/>
                <w:b/>
                <w:color w:val="1A335C"/>
                <w:sz w:val="18"/>
              </w:rPr>
              <w:t>Vendor Relationship Status</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3C304198" w14:textId="77777777" w:rsidR="00EB3918" w:rsidRDefault="00000000">
            <w:pPr>
              <w:spacing w:before="60" w:after="60"/>
              <w:ind w:left="101" w:right="58"/>
            </w:pPr>
            <w:r>
              <w:rPr>
                <w:rFonts w:ascii="Calibri" w:hAnsi="Calibri"/>
                <w:color w:val="1A1A1A"/>
                <w:sz w:val="18"/>
              </w:rPr>
              <w:t>Under pre-production review</w:t>
            </w:r>
          </w:p>
        </w:tc>
      </w:tr>
      <w:tr w:rsidR="00EB3918" w14:paraId="22580648"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3590504" w14:textId="77777777" w:rsidR="00EB3918" w:rsidRDefault="00000000">
            <w:pPr>
              <w:spacing w:before="60" w:after="60"/>
              <w:ind w:left="101" w:right="58"/>
            </w:pPr>
            <w:r>
              <w:rPr>
                <w:rFonts w:ascii="Calibri" w:hAnsi="Calibri"/>
                <w:b/>
                <w:color w:val="1A335C"/>
                <w:sz w:val="18"/>
              </w:rPr>
              <w:lastRenderedPageBreak/>
              <w:t>Contract Status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9224259" w14:textId="77777777" w:rsidR="00EB3918" w:rsidRDefault="00000000">
            <w:pPr>
              <w:spacing w:before="60" w:after="60"/>
              <w:ind w:left="101" w:right="58"/>
            </w:pPr>
            <w:r>
              <w:rPr>
                <w:rFonts w:ascii="Calibri" w:hAnsi="Calibri"/>
                <w:color w:val="1A1A1A"/>
                <w:sz w:val="18"/>
              </w:rPr>
              <w:t>Pending final risk, legal, compliance, and security review</w:t>
            </w:r>
          </w:p>
        </w:tc>
      </w:tr>
    </w:tbl>
    <w:p w14:paraId="25F5C99B" w14:textId="77777777" w:rsidR="00EB3918" w:rsidRDefault="00EB3918">
      <w:pPr>
        <w:spacing w:after="80"/>
      </w:pPr>
    </w:p>
    <w:p w14:paraId="614403CB" w14:textId="77777777" w:rsidR="00EB3918" w:rsidRDefault="00000000">
      <w:pPr>
        <w:spacing w:before="80" w:after="160"/>
      </w:pPr>
      <w:r>
        <w:rPr>
          <w:rFonts w:ascii="Calibri" w:hAnsi="Calibri"/>
          <w:i/>
          <w:color w:val="5A5A5A"/>
          <w:sz w:val="20"/>
        </w:rPr>
        <w:t>CrediSure AI is expected to provide sufficient evidence to support responsible deployment, including model documentation, validation results, fairness testing evidence, reason code methodology, security documentation, incident notification procedures, and model change controls.</w:t>
      </w:r>
    </w:p>
    <w:p w14:paraId="09525D57" w14:textId="77777777" w:rsidR="00EB3918" w:rsidRDefault="00000000">
      <w:pPr>
        <w:shd w:val="clear" w:color="auto" w:fill="1A335C"/>
        <w:spacing w:before="280" w:after="100"/>
      </w:pPr>
      <w:r>
        <w:rPr>
          <w:rFonts w:ascii="Calibri" w:hAnsi="Calibri"/>
          <w:b/>
          <w:color w:val="FFFFFF"/>
          <w:sz w:val="24"/>
        </w:rPr>
        <w:t xml:space="preserve">  3.  MODEL OVERVIEW</w:t>
      </w:r>
    </w:p>
    <w:tbl>
      <w:tblPr>
        <w:tblStyle w:val="TableGrid"/>
        <w:tblW w:w="0" w:type="auto"/>
        <w:tblLook w:val="04A0" w:firstRow="1" w:lastRow="0" w:firstColumn="1" w:lastColumn="0" w:noHBand="0" w:noVBand="1"/>
      </w:tblPr>
      <w:tblGrid>
        <w:gridCol w:w="2799"/>
        <w:gridCol w:w="7065"/>
      </w:tblGrid>
      <w:tr w:rsidR="00EB3918" w14:paraId="55BB5C8E"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37D376DF" w14:textId="77777777" w:rsidR="00EB3918" w:rsidRDefault="00000000">
            <w:pPr>
              <w:spacing w:before="60" w:after="60"/>
              <w:ind w:left="101" w:right="58"/>
            </w:pPr>
            <w:r>
              <w:rPr>
                <w:rFonts w:ascii="Calibri" w:hAnsi="Calibri"/>
                <w:b/>
                <w:color w:val="1A335C"/>
                <w:sz w:val="18"/>
              </w:rPr>
              <w:t>Model Name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46841F8E" w14:textId="77777777" w:rsidR="00EB3918" w:rsidRDefault="00000000">
            <w:pPr>
              <w:spacing w:before="60" w:after="60"/>
              <w:ind w:left="101" w:right="58"/>
            </w:pPr>
            <w:r>
              <w:rPr>
                <w:rFonts w:ascii="Calibri" w:hAnsi="Calibri"/>
                <w:color w:val="1A1A1A"/>
                <w:sz w:val="18"/>
              </w:rPr>
              <w:t>CrediSure Credit Decision Engine</w:t>
            </w:r>
          </w:p>
        </w:tc>
      </w:tr>
      <w:tr w:rsidR="00EB3918" w14:paraId="70D57470"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0FDAA8DA" w14:textId="77777777" w:rsidR="00EB3918" w:rsidRDefault="00000000">
            <w:pPr>
              <w:spacing w:before="60" w:after="60"/>
              <w:ind w:left="101" w:right="58"/>
            </w:pPr>
            <w:r>
              <w:rPr>
                <w:rFonts w:ascii="Calibri" w:hAnsi="Calibri"/>
                <w:b/>
                <w:color w:val="1A335C"/>
                <w:sz w:val="18"/>
              </w:rPr>
              <w:t>Model Version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528C70EF" w14:textId="77777777" w:rsidR="00EB3918" w:rsidRDefault="00000000">
            <w:pPr>
              <w:spacing w:before="60" w:after="60"/>
              <w:ind w:left="101" w:right="58"/>
            </w:pPr>
            <w:r>
              <w:rPr>
                <w:rFonts w:ascii="Calibri" w:hAnsi="Calibri"/>
                <w:color w:val="1A1A1A"/>
                <w:sz w:val="18"/>
              </w:rPr>
              <w:t>v2.3 — Pre-production Pilot</w:t>
            </w:r>
          </w:p>
        </w:tc>
      </w:tr>
      <w:tr w:rsidR="00EB3918" w14:paraId="59DC566A"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47E0D0F1" w14:textId="77777777" w:rsidR="00EB3918" w:rsidRDefault="00000000">
            <w:pPr>
              <w:spacing w:before="60" w:after="60"/>
              <w:ind w:left="101" w:right="58"/>
            </w:pPr>
            <w:r>
              <w:rPr>
                <w:rFonts w:ascii="Calibri" w:hAnsi="Calibri"/>
                <w:b/>
                <w:color w:val="1A335C"/>
                <w:sz w:val="18"/>
              </w:rPr>
              <w:t>Model Type</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16BC88E4" w14:textId="77777777" w:rsidR="00EB3918" w:rsidRDefault="00000000">
            <w:pPr>
              <w:spacing w:before="60" w:after="60"/>
              <w:ind w:left="101" w:right="58"/>
            </w:pPr>
            <w:r>
              <w:rPr>
                <w:rFonts w:ascii="Calibri" w:hAnsi="Calibri"/>
                <w:color w:val="1A1A1A"/>
                <w:sz w:val="18"/>
              </w:rPr>
              <w:t>AI-enabled credit risk scoring and decisioning model</w:t>
            </w:r>
          </w:p>
        </w:tc>
      </w:tr>
      <w:tr w:rsidR="00EB3918" w14:paraId="0DC8E6B9"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4EBF433" w14:textId="77777777" w:rsidR="00EB3918" w:rsidRDefault="00000000">
            <w:pPr>
              <w:spacing w:before="60" w:after="60"/>
              <w:ind w:left="101" w:right="58"/>
            </w:pPr>
            <w:r>
              <w:rPr>
                <w:rFonts w:ascii="Calibri" w:hAnsi="Calibri"/>
                <w:b/>
                <w:color w:val="1A335C"/>
                <w:sz w:val="18"/>
              </w:rPr>
              <w:t>Use Case</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B04449C" w14:textId="77777777" w:rsidR="00EB3918" w:rsidRDefault="00000000">
            <w:pPr>
              <w:spacing w:before="60" w:after="60"/>
              <w:ind w:left="101" w:right="58"/>
            </w:pPr>
            <w:r>
              <w:rPr>
                <w:rFonts w:ascii="Calibri" w:hAnsi="Calibri"/>
                <w:color w:val="1A1A1A"/>
                <w:sz w:val="18"/>
              </w:rPr>
              <w:t>Small business loan underwriting</w:t>
            </w:r>
          </w:p>
        </w:tc>
      </w:tr>
      <w:tr w:rsidR="00EB3918" w14:paraId="7868A725"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6F47F6B6" w14:textId="77777777" w:rsidR="00EB3918" w:rsidRDefault="00000000">
            <w:pPr>
              <w:spacing w:before="60" w:after="60"/>
              <w:ind w:left="101" w:right="58"/>
            </w:pPr>
            <w:r>
              <w:rPr>
                <w:rFonts w:ascii="Calibri" w:hAnsi="Calibri"/>
                <w:b/>
                <w:color w:val="1A335C"/>
                <w:sz w:val="18"/>
              </w:rPr>
              <w:t>Deployment Status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36D0841A" w14:textId="77777777" w:rsidR="00EB3918" w:rsidRDefault="00000000">
            <w:pPr>
              <w:spacing w:before="60" w:after="60"/>
              <w:ind w:left="101" w:right="58"/>
            </w:pPr>
            <w:r>
              <w:rPr>
                <w:rFonts w:ascii="Calibri" w:hAnsi="Calibri"/>
                <w:color w:val="1A1A1A"/>
                <w:sz w:val="18"/>
              </w:rPr>
              <w:t>Pending production approval</w:t>
            </w:r>
          </w:p>
        </w:tc>
      </w:tr>
      <w:tr w:rsidR="00EB3918" w14:paraId="172A032E"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61E11E24" w14:textId="77777777" w:rsidR="00EB3918" w:rsidRDefault="00000000">
            <w:pPr>
              <w:spacing w:before="60" w:after="60"/>
              <w:ind w:left="101" w:right="58"/>
            </w:pPr>
            <w:r>
              <w:rPr>
                <w:rFonts w:ascii="Calibri" w:hAnsi="Calibri"/>
                <w:b/>
                <w:color w:val="1A335C"/>
                <w:sz w:val="18"/>
              </w:rPr>
              <w:t>Associated System</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44E33E8" w14:textId="77777777" w:rsidR="00EB3918" w:rsidRDefault="00000000">
            <w:pPr>
              <w:spacing w:before="60" w:after="60"/>
              <w:ind w:left="101" w:right="58"/>
            </w:pPr>
            <w:r>
              <w:rPr>
                <w:rFonts w:ascii="Calibri" w:hAnsi="Calibri"/>
                <w:color w:val="1A1A1A"/>
                <w:sz w:val="18"/>
              </w:rPr>
              <w:t>Meridian Automated Loan Underwriting System</w:t>
            </w:r>
          </w:p>
        </w:tc>
      </w:tr>
    </w:tbl>
    <w:p w14:paraId="41C8C285" w14:textId="77777777" w:rsidR="00EB3918" w:rsidRDefault="00EB3918">
      <w:pPr>
        <w:spacing w:after="100"/>
      </w:pPr>
    </w:p>
    <w:p w14:paraId="4DDB34BE" w14:textId="77777777" w:rsidR="00EB3918" w:rsidRDefault="00000000">
      <w:pPr>
        <w:spacing w:before="80" w:after="60"/>
      </w:pPr>
      <w:r>
        <w:rPr>
          <w:rFonts w:ascii="Calibri" w:hAnsi="Calibri"/>
          <w:color w:val="1A1A1A"/>
          <w:sz w:val="20"/>
        </w:rPr>
        <w:t>The model evaluates structured application, financial, credit, banking, business, and repayment data to produce underwriting outputs. Primary model outputs include:</w:t>
      </w:r>
    </w:p>
    <w:p w14:paraId="6D83415A" w14:textId="77777777" w:rsidR="00EB3918" w:rsidRDefault="00000000">
      <w:pPr>
        <w:pStyle w:val="ListBullet"/>
        <w:spacing w:before="20" w:after="20"/>
      </w:pPr>
      <w:r>
        <w:rPr>
          <w:rFonts w:ascii="Calibri" w:hAnsi="Calibri"/>
          <w:color w:val="1A1A1A"/>
          <w:sz w:val="20"/>
        </w:rPr>
        <w:t>Credit risk score and confidence score</w:t>
      </w:r>
    </w:p>
    <w:p w14:paraId="5F6EFBDA" w14:textId="77777777" w:rsidR="00EB3918" w:rsidRDefault="00000000">
      <w:pPr>
        <w:pStyle w:val="ListBullet"/>
        <w:spacing w:before="20" w:after="20"/>
      </w:pPr>
      <w:r>
        <w:rPr>
          <w:rFonts w:ascii="Calibri" w:hAnsi="Calibri"/>
          <w:color w:val="1A1A1A"/>
          <w:sz w:val="20"/>
        </w:rPr>
        <w:t>Approval recommendation</w:t>
      </w:r>
    </w:p>
    <w:p w14:paraId="3FC0B23D" w14:textId="77777777" w:rsidR="00EB3918" w:rsidRDefault="00000000">
      <w:pPr>
        <w:pStyle w:val="ListBullet"/>
        <w:spacing w:before="20" w:after="20"/>
      </w:pPr>
      <w:r>
        <w:rPr>
          <w:rFonts w:ascii="Calibri" w:hAnsi="Calibri"/>
          <w:color w:val="1A1A1A"/>
          <w:sz w:val="20"/>
        </w:rPr>
        <w:t>Denial recommendation</w:t>
      </w:r>
    </w:p>
    <w:p w14:paraId="5E82920B" w14:textId="77777777" w:rsidR="00EB3918" w:rsidRDefault="00000000">
      <w:pPr>
        <w:pStyle w:val="ListBullet"/>
        <w:spacing w:before="20" w:after="20"/>
      </w:pPr>
      <w:r>
        <w:rPr>
          <w:rFonts w:ascii="Calibri" w:hAnsi="Calibri"/>
          <w:color w:val="1A1A1A"/>
          <w:sz w:val="20"/>
        </w:rPr>
        <w:t>Manual review flag</w:t>
      </w:r>
    </w:p>
    <w:p w14:paraId="52299F90" w14:textId="77777777" w:rsidR="00EB3918" w:rsidRDefault="00000000">
      <w:pPr>
        <w:pStyle w:val="ListBullet"/>
        <w:spacing w:before="20" w:after="20"/>
      </w:pPr>
      <w:r>
        <w:rPr>
          <w:rFonts w:ascii="Calibri" w:hAnsi="Calibri"/>
          <w:color w:val="1A1A1A"/>
          <w:sz w:val="20"/>
        </w:rPr>
        <w:t>Denial reason codes</w:t>
      </w:r>
    </w:p>
    <w:p w14:paraId="21DB42E9" w14:textId="77777777" w:rsidR="00EB3918" w:rsidRDefault="00EB3918">
      <w:pPr>
        <w:spacing w:after="120"/>
      </w:pPr>
    </w:p>
    <w:p w14:paraId="73A2B830" w14:textId="77777777" w:rsidR="00EB3918" w:rsidRDefault="00000000">
      <w:pPr>
        <w:shd w:val="clear" w:color="auto" w:fill="1A335C"/>
        <w:spacing w:before="280" w:after="100"/>
      </w:pPr>
      <w:r>
        <w:rPr>
          <w:rFonts w:ascii="Calibri" w:hAnsi="Calibri"/>
          <w:b/>
          <w:color w:val="FFFFFF"/>
          <w:sz w:val="24"/>
        </w:rPr>
        <w:t xml:space="preserve">  4.  BUSINESS USE CONTEXT</w:t>
      </w:r>
    </w:p>
    <w:p w14:paraId="4480F795" w14:textId="77777777" w:rsidR="00EB3918" w:rsidRDefault="00000000">
      <w:pPr>
        <w:spacing w:before="80" w:after="100"/>
      </w:pPr>
      <w:r>
        <w:rPr>
          <w:rFonts w:ascii="Calibri" w:hAnsi="Calibri"/>
          <w:color w:val="1A1A1A"/>
          <w:sz w:val="20"/>
        </w:rPr>
        <w:t>Meridian intends to use the CrediSure Credit Decision Engine to improve speed and consistency in small business loan underwriting. The proposed operating model routes approximately 94% of applications through automated processing.</w:t>
      </w:r>
    </w:p>
    <w:tbl>
      <w:tblPr>
        <w:tblStyle w:val="TableGrid"/>
        <w:tblW w:w="0" w:type="auto"/>
        <w:tblLook w:val="04A0" w:firstRow="1" w:lastRow="0" w:firstColumn="1" w:lastColumn="0" w:noHBand="0" w:noVBand="1"/>
      </w:tblPr>
      <w:tblGrid>
        <w:gridCol w:w="3224"/>
        <w:gridCol w:w="2653"/>
        <w:gridCol w:w="3987"/>
      </w:tblGrid>
      <w:tr w:rsidR="00EB3918" w14:paraId="283C0A25" w14:textId="77777777">
        <w:tc>
          <w:tcPr>
            <w:tcW w:w="3600" w:type="dxa"/>
            <w:tcBorders>
              <w:top w:val="single" w:sz="6" w:space="0" w:color="FFFFFF"/>
              <w:left w:val="single" w:sz="6" w:space="0" w:color="FFFFFF"/>
              <w:bottom w:val="single" w:sz="6" w:space="0" w:color="FFFFFF"/>
              <w:right w:val="single" w:sz="6" w:space="0" w:color="FFFFFF"/>
            </w:tcBorders>
            <w:shd w:val="clear" w:color="auto" w:fill="1A335C"/>
          </w:tcPr>
          <w:p w14:paraId="22A6E992" w14:textId="77777777" w:rsidR="00EB3918" w:rsidRDefault="00000000">
            <w:pPr>
              <w:spacing w:before="60" w:after="60"/>
              <w:ind w:left="101" w:right="58"/>
            </w:pPr>
            <w:r>
              <w:rPr>
                <w:rFonts w:ascii="Calibri" w:hAnsi="Calibri"/>
                <w:b/>
                <w:color w:val="FFFFFF"/>
                <w:sz w:val="18"/>
              </w:rPr>
              <w:t>Decision Outcome</w:t>
            </w:r>
          </w:p>
        </w:tc>
        <w:tc>
          <w:tcPr>
            <w:tcW w:w="2880" w:type="dxa"/>
            <w:tcBorders>
              <w:top w:val="single" w:sz="6" w:space="0" w:color="FFFFFF"/>
              <w:left w:val="single" w:sz="6" w:space="0" w:color="FFFFFF"/>
              <w:bottom w:val="single" w:sz="6" w:space="0" w:color="FFFFFF"/>
              <w:right w:val="single" w:sz="6" w:space="0" w:color="FFFFFF"/>
            </w:tcBorders>
            <w:shd w:val="clear" w:color="auto" w:fill="1A335C"/>
          </w:tcPr>
          <w:p w14:paraId="785B42BA" w14:textId="77777777" w:rsidR="00EB3918" w:rsidRDefault="00000000">
            <w:pPr>
              <w:spacing w:before="60" w:after="60"/>
              <w:ind w:left="101" w:right="58"/>
            </w:pPr>
            <w:r>
              <w:rPr>
                <w:rFonts w:ascii="Calibri" w:hAnsi="Calibri"/>
                <w:b/>
                <w:color w:val="FFFFFF"/>
                <w:sz w:val="18"/>
              </w:rPr>
              <w:t>Approximate Share</w:t>
            </w:r>
          </w:p>
        </w:tc>
        <w:tc>
          <w:tcPr>
            <w:tcW w:w="4464" w:type="dxa"/>
            <w:tcBorders>
              <w:top w:val="single" w:sz="6" w:space="0" w:color="FFFFFF"/>
              <w:left w:val="single" w:sz="6" w:space="0" w:color="FFFFFF"/>
              <w:bottom w:val="single" w:sz="6" w:space="0" w:color="FFFFFF"/>
              <w:right w:val="single" w:sz="6" w:space="0" w:color="FFFFFF"/>
            </w:tcBorders>
            <w:shd w:val="clear" w:color="auto" w:fill="1A335C"/>
          </w:tcPr>
          <w:p w14:paraId="601BDEB7" w14:textId="77777777" w:rsidR="00EB3918" w:rsidRDefault="00000000">
            <w:pPr>
              <w:spacing w:before="60" w:after="60"/>
              <w:ind w:left="101" w:right="58"/>
            </w:pPr>
            <w:r>
              <w:rPr>
                <w:rFonts w:ascii="Calibri" w:hAnsi="Calibri"/>
                <w:b/>
                <w:color w:val="FFFFFF"/>
                <w:sz w:val="18"/>
              </w:rPr>
              <w:t>Human Review Required?</w:t>
            </w:r>
          </w:p>
        </w:tc>
      </w:tr>
      <w:tr w:rsidR="00EB3918" w14:paraId="46A41081" w14:textId="77777777">
        <w:tc>
          <w:tcPr>
            <w:tcW w:w="3600"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225DE3FE" w14:textId="77777777" w:rsidR="00EB3918" w:rsidRDefault="00000000">
            <w:pPr>
              <w:spacing w:before="60" w:after="60"/>
              <w:ind w:left="101" w:right="58"/>
            </w:pPr>
            <w:r>
              <w:rPr>
                <w:rFonts w:ascii="Calibri" w:hAnsi="Calibri"/>
                <w:b/>
                <w:color w:val="1E7A3A"/>
                <w:sz w:val="18"/>
              </w:rPr>
              <w:t>Auto-approve</w:t>
            </w:r>
          </w:p>
        </w:tc>
        <w:tc>
          <w:tcPr>
            <w:tcW w:w="2880"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070043BF" w14:textId="77777777" w:rsidR="00EB3918" w:rsidRDefault="00000000">
            <w:pPr>
              <w:spacing w:before="60" w:after="60"/>
              <w:ind w:left="101" w:right="58"/>
            </w:pPr>
            <w:r>
              <w:rPr>
                <w:rFonts w:ascii="Calibri" w:hAnsi="Calibri"/>
                <w:color w:val="1E7A3A"/>
                <w:sz w:val="18"/>
              </w:rPr>
              <w:t>52%</w:t>
            </w:r>
          </w:p>
        </w:tc>
        <w:tc>
          <w:tcPr>
            <w:tcW w:w="4464" w:type="dxa"/>
            <w:tcBorders>
              <w:top w:val="single" w:sz="4" w:space="0" w:color="C8D8E8"/>
              <w:left w:val="single" w:sz="4" w:space="0" w:color="C8D8E8"/>
              <w:bottom w:val="single" w:sz="4" w:space="0" w:color="C8D8E8"/>
              <w:right w:val="single" w:sz="4" w:space="0" w:color="C8D8E8"/>
            </w:tcBorders>
            <w:shd w:val="clear" w:color="auto" w:fill="E8F5EC"/>
            <w:vAlign w:val="center"/>
          </w:tcPr>
          <w:p w14:paraId="303399E7" w14:textId="77777777" w:rsidR="00EB3918" w:rsidRDefault="00000000">
            <w:pPr>
              <w:spacing w:before="60" w:after="60"/>
              <w:ind w:left="101" w:right="58"/>
            </w:pPr>
            <w:r>
              <w:rPr>
                <w:rFonts w:ascii="Calibri" w:hAnsi="Calibri"/>
                <w:color w:val="1E7A3A"/>
                <w:sz w:val="18"/>
              </w:rPr>
              <w:t>No — unless applicant appeals</w:t>
            </w:r>
          </w:p>
        </w:tc>
      </w:tr>
      <w:tr w:rsidR="00EB3918" w14:paraId="420ED788" w14:textId="77777777">
        <w:tc>
          <w:tcPr>
            <w:tcW w:w="3600" w:type="dxa"/>
            <w:tcBorders>
              <w:top w:val="single" w:sz="4" w:space="0" w:color="C8D8E8"/>
              <w:left w:val="single" w:sz="4" w:space="0" w:color="C8D8E8"/>
              <w:bottom w:val="single" w:sz="4" w:space="0" w:color="C8D8E8"/>
              <w:right w:val="single" w:sz="4" w:space="0" w:color="C8D8E8"/>
            </w:tcBorders>
            <w:shd w:val="clear" w:color="auto" w:fill="FDECEA"/>
            <w:vAlign w:val="center"/>
          </w:tcPr>
          <w:p w14:paraId="1F19F9AF" w14:textId="77777777" w:rsidR="00EB3918" w:rsidRDefault="00000000">
            <w:pPr>
              <w:spacing w:before="60" w:after="60"/>
              <w:ind w:left="101" w:right="58"/>
            </w:pPr>
            <w:r>
              <w:rPr>
                <w:rFonts w:ascii="Calibri" w:hAnsi="Calibri"/>
                <w:b/>
                <w:color w:val="C00000"/>
                <w:sz w:val="18"/>
              </w:rPr>
              <w:t>Auto-deny</w:t>
            </w:r>
          </w:p>
        </w:tc>
        <w:tc>
          <w:tcPr>
            <w:tcW w:w="2880" w:type="dxa"/>
            <w:tcBorders>
              <w:top w:val="single" w:sz="4" w:space="0" w:color="C8D8E8"/>
              <w:left w:val="single" w:sz="4" w:space="0" w:color="C8D8E8"/>
              <w:bottom w:val="single" w:sz="4" w:space="0" w:color="C8D8E8"/>
              <w:right w:val="single" w:sz="4" w:space="0" w:color="C8D8E8"/>
            </w:tcBorders>
            <w:shd w:val="clear" w:color="auto" w:fill="FDECEA"/>
            <w:vAlign w:val="center"/>
          </w:tcPr>
          <w:p w14:paraId="428C79BA" w14:textId="77777777" w:rsidR="00EB3918" w:rsidRDefault="00000000">
            <w:pPr>
              <w:spacing w:before="60" w:after="60"/>
              <w:ind w:left="101" w:right="58"/>
            </w:pPr>
            <w:r>
              <w:rPr>
                <w:rFonts w:ascii="Calibri" w:hAnsi="Calibri"/>
                <w:color w:val="C00000"/>
                <w:sz w:val="18"/>
              </w:rPr>
              <w:t>42%</w:t>
            </w:r>
          </w:p>
        </w:tc>
        <w:tc>
          <w:tcPr>
            <w:tcW w:w="4464" w:type="dxa"/>
            <w:tcBorders>
              <w:top w:val="single" w:sz="4" w:space="0" w:color="C8D8E8"/>
              <w:left w:val="single" w:sz="4" w:space="0" w:color="C8D8E8"/>
              <w:bottom w:val="single" w:sz="4" w:space="0" w:color="C8D8E8"/>
              <w:right w:val="single" w:sz="4" w:space="0" w:color="C8D8E8"/>
            </w:tcBorders>
            <w:shd w:val="clear" w:color="auto" w:fill="FDECEA"/>
            <w:vAlign w:val="center"/>
          </w:tcPr>
          <w:p w14:paraId="2226B588" w14:textId="77777777" w:rsidR="00EB3918" w:rsidRDefault="00000000">
            <w:pPr>
              <w:spacing w:before="60" w:after="60"/>
              <w:ind w:left="101" w:right="58"/>
            </w:pPr>
            <w:r>
              <w:rPr>
                <w:rFonts w:ascii="Calibri" w:hAnsi="Calibri"/>
                <w:color w:val="C00000"/>
                <w:sz w:val="18"/>
              </w:rPr>
              <w:t>No — unless applicant appeals</w:t>
            </w:r>
          </w:p>
        </w:tc>
      </w:tr>
      <w:tr w:rsidR="00EB3918" w14:paraId="75915C52" w14:textId="77777777">
        <w:tc>
          <w:tcPr>
            <w:tcW w:w="3600" w:type="dxa"/>
            <w:tcBorders>
              <w:top w:val="single" w:sz="4" w:space="0" w:color="C8D8E8"/>
              <w:left w:val="single" w:sz="4" w:space="0" w:color="C8D8E8"/>
              <w:bottom w:val="single" w:sz="4" w:space="0" w:color="C8D8E8"/>
              <w:right w:val="single" w:sz="4" w:space="0" w:color="C8D8E8"/>
            </w:tcBorders>
            <w:shd w:val="clear" w:color="auto" w:fill="EEF4FA"/>
            <w:vAlign w:val="center"/>
          </w:tcPr>
          <w:p w14:paraId="4E6F4DED" w14:textId="77777777" w:rsidR="00EB3918" w:rsidRDefault="00000000">
            <w:pPr>
              <w:spacing w:before="60" w:after="60"/>
              <w:ind w:left="101" w:right="58"/>
            </w:pPr>
            <w:r>
              <w:rPr>
                <w:rFonts w:ascii="Calibri" w:hAnsi="Calibri"/>
                <w:b/>
                <w:color w:val="1F5C99"/>
                <w:sz w:val="18"/>
              </w:rPr>
              <w:t>Manual review</w:t>
            </w:r>
          </w:p>
        </w:tc>
        <w:tc>
          <w:tcPr>
            <w:tcW w:w="2880" w:type="dxa"/>
            <w:tcBorders>
              <w:top w:val="single" w:sz="4" w:space="0" w:color="C8D8E8"/>
              <w:left w:val="single" w:sz="4" w:space="0" w:color="C8D8E8"/>
              <w:bottom w:val="single" w:sz="4" w:space="0" w:color="C8D8E8"/>
              <w:right w:val="single" w:sz="4" w:space="0" w:color="C8D8E8"/>
            </w:tcBorders>
            <w:shd w:val="clear" w:color="auto" w:fill="EEF4FA"/>
            <w:vAlign w:val="center"/>
          </w:tcPr>
          <w:p w14:paraId="1F0D6EEB" w14:textId="77777777" w:rsidR="00EB3918" w:rsidRDefault="00000000">
            <w:pPr>
              <w:spacing w:before="60" w:after="60"/>
              <w:ind w:left="101" w:right="58"/>
            </w:pPr>
            <w:r>
              <w:rPr>
                <w:rFonts w:ascii="Calibri" w:hAnsi="Calibri"/>
                <w:color w:val="1F5C99"/>
                <w:sz w:val="18"/>
              </w:rPr>
              <w:t xml:space="preserve"> 6%</w:t>
            </w:r>
          </w:p>
        </w:tc>
        <w:tc>
          <w:tcPr>
            <w:tcW w:w="4464" w:type="dxa"/>
            <w:tcBorders>
              <w:top w:val="single" w:sz="4" w:space="0" w:color="C8D8E8"/>
              <w:left w:val="single" w:sz="4" w:space="0" w:color="C8D8E8"/>
              <w:bottom w:val="single" w:sz="4" w:space="0" w:color="C8D8E8"/>
              <w:right w:val="single" w:sz="4" w:space="0" w:color="C8D8E8"/>
            </w:tcBorders>
            <w:shd w:val="clear" w:color="auto" w:fill="EEF4FA"/>
            <w:vAlign w:val="center"/>
          </w:tcPr>
          <w:p w14:paraId="6164DD79" w14:textId="77777777" w:rsidR="00EB3918" w:rsidRDefault="00000000">
            <w:pPr>
              <w:spacing w:before="60" w:after="60"/>
              <w:ind w:left="101" w:right="58"/>
            </w:pPr>
            <w:r>
              <w:rPr>
                <w:rFonts w:ascii="Calibri" w:hAnsi="Calibri"/>
                <w:color w:val="1F5C99"/>
                <w:sz w:val="18"/>
              </w:rPr>
              <w:t>Yes — routed to human underwriter</w:t>
            </w:r>
          </w:p>
        </w:tc>
      </w:tr>
    </w:tbl>
    <w:p w14:paraId="648FAF2C" w14:textId="77777777" w:rsidR="00EB3918" w:rsidRDefault="00EB3918">
      <w:pPr>
        <w:spacing w:after="80"/>
      </w:pPr>
    </w:p>
    <w:p w14:paraId="77400EB6" w14:textId="77777777" w:rsidR="00EB3918" w:rsidRDefault="00000000">
      <w:pPr>
        <w:shd w:val="clear" w:color="auto" w:fill="FEF3E2"/>
        <w:spacing w:before="80" w:after="160"/>
        <w:ind w:left="144" w:right="144"/>
      </w:pPr>
      <w:r>
        <w:rPr>
          <w:rFonts w:ascii="Calibri" w:hAnsi="Calibri"/>
          <w:b/>
          <w:color w:val="C06000"/>
          <w:sz w:val="20"/>
        </w:rPr>
        <w:t xml:space="preserve">  Vendor Risk Note: </w:t>
      </w:r>
      <w:r>
        <w:rPr>
          <w:rFonts w:ascii="Calibri" w:hAnsi="Calibri"/>
          <w:color w:val="1A1A1A"/>
          <w:sz w:val="20"/>
        </w:rPr>
        <w:t>A third-party model may influence or directly process 94% of underwriting outcomes. This creates elevated vendor dependency risk and requires robust contractual controls, monitoring, and change management obligations.</w:t>
      </w:r>
    </w:p>
    <w:p w14:paraId="6F815340" w14:textId="77777777" w:rsidR="00EB3918" w:rsidRDefault="00000000">
      <w:pPr>
        <w:shd w:val="clear" w:color="auto" w:fill="1A335C"/>
        <w:spacing w:before="280" w:after="100"/>
      </w:pPr>
      <w:r>
        <w:rPr>
          <w:rFonts w:ascii="Calibri" w:hAnsi="Calibri"/>
          <w:b/>
          <w:color w:val="FFFFFF"/>
          <w:sz w:val="24"/>
        </w:rPr>
        <w:t xml:space="preserve">  5.  INTENDED MODEL CAPABILITIES</w:t>
      </w:r>
    </w:p>
    <w:p w14:paraId="4F63B742" w14:textId="77777777" w:rsidR="00EB3918" w:rsidRDefault="00000000">
      <w:pPr>
        <w:spacing w:before="80" w:after="80"/>
      </w:pPr>
      <w:r>
        <w:rPr>
          <w:rFonts w:ascii="Calibri" w:hAnsi="Calibri"/>
          <w:color w:val="1A1A1A"/>
          <w:sz w:val="20"/>
        </w:rPr>
        <w:t>The model is expected to support the following capabilities. Each capability is relevant to high-risk decisioning because it may affect whether an applicant receives access to credit.</w:t>
      </w:r>
    </w:p>
    <w:tbl>
      <w:tblPr>
        <w:tblStyle w:val="TableGrid"/>
        <w:tblW w:w="0" w:type="auto"/>
        <w:tblLook w:val="04A0" w:firstRow="1" w:lastRow="0" w:firstColumn="1" w:lastColumn="0" w:noHBand="0" w:noVBand="1"/>
      </w:tblPr>
      <w:tblGrid>
        <w:gridCol w:w="3081"/>
        <w:gridCol w:w="6783"/>
      </w:tblGrid>
      <w:tr w:rsidR="00EB3918" w14:paraId="6B2EEA4A" w14:textId="77777777">
        <w:tc>
          <w:tcPr>
            <w:tcW w:w="3312" w:type="dxa"/>
            <w:tcBorders>
              <w:top w:val="single" w:sz="6" w:space="0" w:color="FFFFFF"/>
              <w:left w:val="single" w:sz="6" w:space="0" w:color="FFFFFF"/>
              <w:bottom w:val="single" w:sz="6" w:space="0" w:color="FFFFFF"/>
              <w:right w:val="single" w:sz="6" w:space="0" w:color="FFFFFF"/>
            </w:tcBorders>
            <w:shd w:val="clear" w:color="auto" w:fill="1A335C"/>
          </w:tcPr>
          <w:p w14:paraId="3F7A464E" w14:textId="77777777" w:rsidR="00EB3918" w:rsidRDefault="00000000">
            <w:pPr>
              <w:spacing w:before="60" w:after="60"/>
              <w:ind w:left="101" w:right="58"/>
            </w:pPr>
            <w:r>
              <w:rPr>
                <w:rFonts w:ascii="Calibri" w:hAnsi="Calibri"/>
                <w:b/>
                <w:color w:val="FFFFFF"/>
                <w:sz w:val="18"/>
              </w:rPr>
              <w:t>Capability</w:t>
            </w:r>
          </w:p>
        </w:tc>
        <w:tc>
          <w:tcPr>
            <w:tcW w:w="7632" w:type="dxa"/>
            <w:tcBorders>
              <w:top w:val="single" w:sz="6" w:space="0" w:color="FFFFFF"/>
              <w:left w:val="single" w:sz="6" w:space="0" w:color="FFFFFF"/>
              <w:bottom w:val="single" w:sz="6" w:space="0" w:color="FFFFFF"/>
              <w:right w:val="single" w:sz="6" w:space="0" w:color="FFFFFF"/>
            </w:tcBorders>
            <w:shd w:val="clear" w:color="auto" w:fill="1A335C"/>
          </w:tcPr>
          <w:p w14:paraId="50E7E451" w14:textId="77777777" w:rsidR="00EB3918" w:rsidRDefault="00000000">
            <w:pPr>
              <w:spacing w:before="60" w:after="60"/>
              <w:ind w:left="101" w:right="58"/>
            </w:pPr>
            <w:r>
              <w:rPr>
                <w:rFonts w:ascii="Calibri" w:hAnsi="Calibri"/>
                <w:b/>
                <w:color w:val="FFFFFF"/>
                <w:sz w:val="18"/>
              </w:rPr>
              <w:t>Description</w:t>
            </w:r>
          </w:p>
        </w:tc>
      </w:tr>
      <w:tr w:rsidR="00EB3918" w14:paraId="7A3115A7" w14:textId="77777777">
        <w:tc>
          <w:tcPr>
            <w:tcW w:w="3312" w:type="dxa"/>
            <w:tcBorders>
              <w:top w:val="single" w:sz="4" w:space="0" w:color="B0C4D8"/>
              <w:left w:val="single" w:sz="4" w:space="0" w:color="B0C4D8"/>
              <w:bottom w:val="single" w:sz="4" w:space="0" w:color="B0C4D8"/>
              <w:right w:val="single" w:sz="4" w:space="0" w:color="B0C4D8"/>
            </w:tcBorders>
            <w:shd w:val="clear" w:color="auto" w:fill="D6E4F0"/>
          </w:tcPr>
          <w:p w14:paraId="01DF042F" w14:textId="77777777" w:rsidR="00EB3918" w:rsidRDefault="00000000">
            <w:pPr>
              <w:spacing w:before="60" w:after="60"/>
              <w:ind w:left="101" w:right="58"/>
            </w:pPr>
            <w:r>
              <w:rPr>
                <w:rFonts w:ascii="Calibri" w:hAnsi="Calibri"/>
                <w:b/>
                <w:color w:val="1A335C"/>
                <w:sz w:val="18"/>
              </w:rPr>
              <w:t>Credit Risk Scoring</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63B036BE" w14:textId="77777777" w:rsidR="00EB3918" w:rsidRDefault="00000000">
            <w:pPr>
              <w:spacing w:before="60" w:after="60"/>
              <w:ind w:left="101" w:right="58"/>
            </w:pPr>
            <w:r>
              <w:rPr>
                <w:rFonts w:ascii="Calibri" w:hAnsi="Calibri"/>
                <w:color w:val="1A1A1A"/>
                <w:sz w:val="18"/>
              </w:rPr>
              <w:t>Evaluates application data to produce a numerical risk score</w:t>
            </w:r>
          </w:p>
        </w:tc>
      </w:tr>
      <w:tr w:rsidR="00EB3918" w14:paraId="694467E8" w14:textId="77777777">
        <w:tc>
          <w:tcPr>
            <w:tcW w:w="3312" w:type="dxa"/>
            <w:tcBorders>
              <w:top w:val="single" w:sz="4" w:space="0" w:color="B0C4D8"/>
              <w:left w:val="single" w:sz="4" w:space="0" w:color="B0C4D8"/>
              <w:bottom w:val="single" w:sz="4" w:space="0" w:color="B0C4D8"/>
              <w:right w:val="single" w:sz="4" w:space="0" w:color="B0C4D8"/>
            </w:tcBorders>
            <w:shd w:val="clear" w:color="auto" w:fill="E4EEF8"/>
          </w:tcPr>
          <w:p w14:paraId="48189776" w14:textId="77777777" w:rsidR="00EB3918" w:rsidRDefault="00000000">
            <w:pPr>
              <w:spacing w:before="60" w:after="60"/>
              <w:ind w:left="101" w:right="58"/>
            </w:pPr>
            <w:r>
              <w:rPr>
                <w:rFonts w:ascii="Calibri" w:hAnsi="Calibri"/>
                <w:b/>
                <w:color w:val="1A335C"/>
                <w:sz w:val="18"/>
              </w:rPr>
              <w:lastRenderedPageBreak/>
              <w:t>Underwriting Recommendation</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72776401" w14:textId="77777777" w:rsidR="00EB3918" w:rsidRDefault="00000000">
            <w:pPr>
              <w:spacing w:before="60" w:after="60"/>
              <w:ind w:left="101" w:right="58"/>
            </w:pPr>
            <w:r>
              <w:rPr>
                <w:rFonts w:ascii="Calibri" w:hAnsi="Calibri"/>
                <w:color w:val="1A1A1A"/>
                <w:sz w:val="18"/>
              </w:rPr>
              <w:t>Generates approval or denial recommendations based on risk thresholds</w:t>
            </w:r>
          </w:p>
        </w:tc>
      </w:tr>
      <w:tr w:rsidR="00EB3918" w14:paraId="5D1AB9BA" w14:textId="77777777">
        <w:tc>
          <w:tcPr>
            <w:tcW w:w="3312" w:type="dxa"/>
            <w:tcBorders>
              <w:top w:val="single" w:sz="4" w:space="0" w:color="B0C4D8"/>
              <w:left w:val="single" w:sz="4" w:space="0" w:color="B0C4D8"/>
              <w:bottom w:val="single" w:sz="4" w:space="0" w:color="B0C4D8"/>
              <w:right w:val="single" w:sz="4" w:space="0" w:color="B0C4D8"/>
            </w:tcBorders>
            <w:shd w:val="clear" w:color="auto" w:fill="D6E4F0"/>
          </w:tcPr>
          <w:p w14:paraId="00531EB4" w14:textId="77777777" w:rsidR="00EB3918" w:rsidRDefault="00000000">
            <w:pPr>
              <w:spacing w:before="60" w:after="60"/>
              <w:ind w:left="101" w:right="58"/>
            </w:pPr>
            <w:r>
              <w:rPr>
                <w:rFonts w:ascii="Calibri" w:hAnsi="Calibri"/>
                <w:b/>
                <w:color w:val="1A335C"/>
                <w:sz w:val="18"/>
              </w:rPr>
              <w:t>Automated Approve / Deny</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0FCD96B1" w14:textId="77777777" w:rsidR="00EB3918" w:rsidRDefault="00000000">
            <w:pPr>
              <w:spacing w:before="60" w:after="60"/>
              <w:ind w:left="101" w:right="58"/>
            </w:pPr>
            <w:r>
              <w:rPr>
                <w:rFonts w:ascii="Calibri" w:hAnsi="Calibri"/>
                <w:color w:val="1A1A1A"/>
                <w:sz w:val="18"/>
              </w:rPr>
              <w:t>Routes qualifying or disqualifying applications to automated outcomes</w:t>
            </w:r>
          </w:p>
        </w:tc>
      </w:tr>
      <w:tr w:rsidR="00EB3918" w14:paraId="4349F843" w14:textId="77777777">
        <w:tc>
          <w:tcPr>
            <w:tcW w:w="3312" w:type="dxa"/>
            <w:tcBorders>
              <w:top w:val="single" w:sz="4" w:space="0" w:color="B0C4D8"/>
              <w:left w:val="single" w:sz="4" w:space="0" w:color="B0C4D8"/>
              <w:bottom w:val="single" w:sz="4" w:space="0" w:color="B0C4D8"/>
              <w:right w:val="single" w:sz="4" w:space="0" w:color="B0C4D8"/>
            </w:tcBorders>
            <w:shd w:val="clear" w:color="auto" w:fill="E4EEF8"/>
          </w:tcPr>
          <w:p w14:paraId="6553E9F8" w14:textId="77777777" w:rsidR="00EB3918" w:rsidRDefault="00000000">
            <w:pPr>
              <w:spacing w:before="60" w:after="60"/>
              <w:ind w:left="101" w:right="58"/>
            </w:pPr>
            <w:r>
              <w:rPr>
                <w:rFonts w:ascii="Calibri" w:hAnsi="Calibri"/>
                <w:b/>
                <w:color w:val="1A335C"/>
                <w:sz w:val="18"/>
              </w:rPr>
              <w:t>Manual Review Flagging</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5F43B37F" w14:textId="77777777" w:rsidR="00EB3918" w:rsidRDefault="00000000">
            <w:pPr>
              <w:spacing w:before="60" w:after="60"/>
              <w:ind w:left="101" w:right="58"/>
            </w:pPr>
            <w:r>
              <w:rPr>
                <w:rFonts w:ascii="Calibri" w:hAnsi="Calibri"/>
                <w:color w:val="1A1A1A"/>
                <w:sz w:val="18"/>
              </w:rPr>
              <w:t>Identifies borderline or uncertain applications for human review</w:t>
            </w:r>
          </w:p>
        </w:tc>
      </w:tr>
      <w:tr w:rsidR="00EB3918" w14:paraId="438001D9" w14:textId="77777777">
        <w:tc>
          <w:tcPr>
            <w:tcW w:w="3312" w:type="dxa"/>
            <w:tcBorders>
              <w:top w:val="single" w:sz="4" w:space="0" w:color="B0C4D8"/>
              <w:left w:val="single" w:sz="4" w:space="0" w:color="B0C4D8"/>
              <w:bottom w:val="single" w:sz="4" w:space="0" w:color="B0C4D8"/>
              <w:right w:val="single" w:sz="4" w:space="0" w:color="B0C4D8"/>
            </w:tcBorders>
            <w:shd w:val="clear" w:color="auto" w:fill="D6E4F0"/>
          </w:tcPr>
          <w:p w14:paraId="07C5F61D" w14:textId="77777777" w:rsidR="00EB3918" w:rsidRDefault="00000000">
            <w:pPr>
              <w:spacing w:before="60" w:after="60"/>
              <w:ind w:left="101" w:right="58"/>
            </w:pPr>
            <w:r>
              <w:rPr>
                <w:rFonts w:ascii="Calibri" w:hAnsi="Calibri"/>
                <w:b/>
                <w:color w:val="1A335C"/>
                <w:sz w:val="18"/>
              </w:rPr>
              <w:t>Confidence Scoring</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507F6CDC" w14:textId="77777777" w:rsidR="00EB3918" w:rsidRDefault="00000000">
            <w:pPr>
              <w:spacing w:before="60" w:after="60"/>
              <w:ind w:left="101" w:right="58"/>
            </w:pPr>
            <w:r>
              <w:rPr>
                <w:rFonts w:ascii="Calibri" w:hAnsi="Calibri"/>
                <w:color w:val="1A1A1A"/>
                <w:sz w:val="18"/>
              </w:rPr>
              <w:t>Provides a confidence level associated with each decision recommendation</w:t>
            </w:r>
          </w:p>
        </w:tc>
      </w:tr>
      <w:tr w:rsidR="00EB3918" w14:paraId="21C1082C" w14:textId="77777777">
        <w:tc>
          <w:tcPr>
            <w:tcW w:w="3312" w:type="dxa"/>
            <w:tcBorders>
              <w:top w:val="single" w:sz="4" w:space="0" w:color="B0C4D8"/>
              <w:left w:val="single" w:sz="4" w:space="0" w:color="B0C4D8"/>
              <w:bottom w:val="single" w:sz="4" w:space="0" w:color="B0C4D8"/>
              <w:right w:val="single" w:sz="4" w:space="0" w:color="B0C4D8"/>
            </w:tcBorders>
            <w:shd w:val="clear" w:color="auto" w:fill="E4EEF8"/>
          </w:tcPr>
          <w:p w14:paraId="20D3B814" w14:textId="77777777" w:rsidR="00EB3918" w:rsidRDefault="00000000">
            <w:pPr>
              <w:spacing w:before="60" w:after="60"/>
              <w:ind w:left="101" w:right="58"/>
            </w:pPr>
            <w:r>
              <w:rPr>
                <w:rFonts w:ascii="Calibri" w:hAnsi="Calibri"/>
                <w:b/>
                <w:color w:val="1A335C"/>
                <w:sz w:val="18"/>
              </w:rPr>
              <w:t>Denial Reason Codes</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75498D5C" w14:textId="77777777" w:rsidR="00EB3918" w:rsidRDefault="00000000">
            <w:pPr>
              <w:spacing w:before="60" w:after="60"/>
              <w:ind w:left="101" w:right="58"/>
            </w:pPr>
            <w:r>
              <w:rPr>
                <w:rFonts w:ascii="Calibri" w:hAnsi="Calibri"/>
                <w:color w:val="1A1A1A"/>
                <w:sz w:val="18"/>
              </w:rPr>
              <w:t>Generates reason codes to support adverse action communication</w:t>
            </w:r>
          </w:p>
        </w:tc>
      </w:tr>
      <w:tr w:rsidR="00EB3918" w14:paraId="5534E19F" w14:textId="77777777">
        <w:tc>
          <w:tcPr>
            <w:tcW w:w="3312" w:type="dxa"/>
            <w:tcBorders>
              <w:top w:val="single" w:sz="4" w:space="0" w:color="B0C4D8"/>
              <w:left w:val="single" w:sz="4" w:space="0" w:color="B0C4D8"/>
              <w:bottom w:val="single" w:sz="4" w:space="0" w:color="B0C4D8"/>
              <w:right w:val="single" w:sz="4" w:space="0" w:color="B0C4D8"/>
            </w:tcBorders>
            <w:shd w:val="clear" w:color="auto" w:fill="D6E4F0"/>
          </w:tcPr>
          <w:p w14:paraId="05633C4E" w14:textId="77777777" w:rsidR="00EB3918" w:rsidRDefault="00000000">
            <w:pPr>
              <w:spacing w:before="60" w:after="60"/>
              <w:ind w:left="101" w:right="58"/>
            </w:pPr>
            <w:r>
              <w:rPr>
                <w:rFonts w:ascii="Calibri" w:hAnsi="Calibri"/>
                <w:b/>
                <w:color w:val="1A335C"/>
                <w:sz w:val="18"/>
              </w:rPr>
              <w:t>Risk Segmentation</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4B0D3847" w14:textId="77777777" w:rsidR="00EB3918" w:rsidRDefault="00000000">
            <w:pPr>
              <w:spacing w:before="60" w:after="60"/>
              <w:ind w:left="101" w:right="58"/>
            </w:pPr>
            <w:r>
              <w:rPr>
                <w:rFonts w:ascii="Calibri" w:hAnsi="Calibri"/>
                <w:color w:val="1A1A1A"/>
                <w:sz w:val="18"/>
              </w:rPr>
              <w:t>Segments applications by risk profile for portfolio monitoring</w:t>
            </w:r>
          </w:p>
        </w:tc>
      </w:tr>
      <w:tr w:rsidR="00EB3918" w14:paraId="03541836" w14:textId="77777777">
        <w:tc>
          <w:tcPr>
            <w:tcW w:w="3312" w:type="dxa"/>
            <w:tcBorders>
              <w:top w:val="single" w:sz="4" w:space="0" w:color="B0C4D8"/>
              <w:left w:val="single" w:sz="4" w:space="0" w:color="B0C4D8"/>
              <w:bottom w:val="single" w:sz="4" w:space="0" w:color="B0C4D8"/>
              <w:right w:val="single" w:sz="4" w:space="0" w:color="B0C4D8"/>
            </w:tcBorders>
            <w:shd w:val="clear" w:color="auto" w:fill="E4EEF8"/>
          </w:tcPr>
          <w:p w14:paraId="68C064D4" w14:textId="77777777" w:rsidR="00EB3918" w:rsidRDefault="00000000">
            <w:pPr>
              <w:spacing w:before="60" w:after="60"/>
              <w:ind w:left="101" w:right="58"/>
            </w:pPr>
            <w:r>
              <w:rPr>
                <w:rFonts w:ascii="Calibri" w:hAnsi="Calibri"/>
                <w:b/>
                <w:color w:val="1A335C"/>
                <w:sz w:val="18"/>
              </w:rPr>
              <w:t>Monitoring Support</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37E91193" w14:textId="77777777" w:rsidR="00EB3918" w:rsidRDefault="00000000">
            <w:pPr>
              <w:spacing w:before="60" w:after="60"/>
              <w:ind w:left="101" w:right="58"/>
            </w:pPr>
            <w:r>
              <w:rPr>
                <w:rFonts w:ascii="Calibri" w:hAnsi="Calibri"/>
                <w:color w:val="1A1A1A"/>
                <w:sz w:val="18"/>
              </w:rPr>
              <w:t>Supports portfolio-level performance and drift monitoring</w:t>
            </w:r>
          </w:p>
        </w:tc>
      </w:tr>
    </w:tbl>
    <w:p w14:paraId="4C3180FF" w14:textId="77777777" w:rsidR="00EB3918" w:rsidRDefault="00EB3918">
      <w:pPr>
        <w:spacing w:after="160"/>
      </w:pPr>
    </w:p>
    <w:p w14:paraId="222E8504" w14:textId="77777777" w:rsidR="00EB3918" w:rsidRDefault="00000000">
      <w:pPr>
        <w:shd w:val="clear" w:color="auto" w:fill="1A335C"/>
        <w:spacing w:before="280" w:after="100"/>
      </w:pPr>
      <w:r>
        <w:rPr>
          <w:rFonts w:ascii="Calibri" w:hAnsi="Calibri"/>
          <w:b/>
          <w:color w:val="FFFFFF"/>
          <w:sz w:val="24"/>
        </w:rPr>
        <w:t xml:space="preserve">  6.  KNOWN MODEL LIMITATIONS</w:t>
      </w:r>
    </w:p>
    <w:p w14:paraId="6DB1B4C8" w14:textId="77777777" w:rsidR="00EB3918" w:rsidRDefault="00000000">
      <w:pPr>
        <w:spacing w:before="80" w:after="80"/>
      </w:pPr>
      <w:r>
        <w:rPr>
          <w:rFonts w:ascii="Calibri" w:hAnsi="Calibri"/>
          <w:color w:val="1A1A1A"/>
          <w:sz w:val="20"/>
        </w:rPr>
        <w:t>Based on the current governance review, the following limitations must be addressed before production deployment is approved.</w:t>
      </w:r>
    </w:p>
    <w:tbl>
      <w:tblPr>
        <w:tblStyle w:val="TableGrid"/>
        <w:tblW w:w="0" w:type="auto"/>
        <w:tblLook w:val="04A0" w:firstRow="1" w:lastRow="0" w:firstColumn="1" w:lastColumn="0" w:noHBand="0" w:noVBand="1"/>
      </w:tblPr>
      <w:tblGrid>
        <w:gridCol w:w="3043"/>
        <w:gridCol w:w="6821"/>
      </w:tblGrid>
      <w:tr w:rsidR="00EB3918" w14:paraId="7F1FAEF6" w14:textId="77777777">
        <w:tc>
          <w:tcPr>
            <w:tcW w:w="3312" w:type="dxa"/>
            <w:tcBorders>
              <w:top w:val="single" w:sz="6" w:space="0" w:color="FFFFFF"/>
              <w:left w:val="single" w:sz="6" w:space="0" w:color="FFFFFF"/>
              <w:bottom w:val="single" w:sz="6" w:space="0" w:color="FFFFFF"/>
              <w:right w:val="single" w:sz="6" w:space="0" w:color="FFFFFF"/>
            </w:tcBorders>
            <w:shd w:val="clear" w:color="auto" w:fill="1A335C"/>
          </w:tcPr>
          <w:p w14:paraId="55713DB0" w14:textId="77777777" w:rsidR="00EB3918" w:rsidRDefault="00000000">
            <w:pPr>
              <w:spacing w:before="60" w:after="60"/>
              <w:ind w:left="101" w:right="58"/>
            </w:pPr>
            <w:r>
              <w:rPr>
                <w:rFonts w:ascii="Calibri" w:hAnsi="Calibri"/>
                <w:b/>
                <w:color w:val="FFFFFF"/>
                <w:sz w:val="18"/>
              </w:rPr>
              <w:t>Limitation</w:t>
            </w:r>
          </w:p>
        </w:tc>
        <w:tc>
          <w:tcPr>
            <w:tcW w:w="7632" w:type="dxa"/>
            <w:tcBorders>
              <w:top w:val="single" w:sz="6" w:space="0" w:color="FFFFFF"/>
              <w:left w:val="single" w:sz="6" w:space="0" w:color="FFFFFF"/>
              <w:bottom w:val="single" w:sz="6" w:space="0" w:color="FFFFFF"/>
              <w:right w:val="single" w:sz="6" w:space="0" w:color="FFFFFF"/>
            </w:tcBorders>
            <w:shd w:val="clear" w:color="auto" w:fill="1A335C"/>
          </w:tcPr>
          <w:p w14:paraId="74586B77" w14:textId="77777777" w:rsidR="00EB3918" w:rsidRDefault="00000000">
            <w:pPr>
              <w:spacing w:before="60" w:after="60"/>
              <w:ind w:left="101" w:right="58"/>
            </w:pPr>
            <w:r>
              <w:rPr>
                <w:rFonts w:ascii="Calibri" w:hAnsi="Calibri"/>
                <w:b/>
                <w:color w:val="FFFFFF"/>
                <w:sz w:val="18"/>
              </w:rPr>
              <w:t>Detail</w:t>
            </w:r>
          </w:p>
        </w:tc>
      </w:tr>
      <w:tr w:rsidR="00EB3918" w14:paraId="6E0C4EB1" w14:textId="77777777">
        <w:tc>
          <w:tcPr>
            <w:tcW w:w="3312" w:type="dxa"/>
            <w:tcBorders>
              <w:top w:val="single" w:sz="4" w:space="0" w:color="B0C4D8"/>
              <w:left w:val="single" w:sz="4" w:space="0" w:color="B0C4D8"/>
              <w:bottom w:val="single" w:sz="4" w:space="0" w:color="B0C4D8"/>
              <w:right w:val="single" w:sz="4" w:space="0" w:color="B0C4D8"/>
            </w:tcBorders>
            <w:shd w:val="clear" w:color="auto" w:fill="FEF3E2"/>
          </w:tcPr>
          <w:p w14:paraId="7D880195" w14:textId="77777777" w:rsidR="00EB3918" w:rsidRDefault="00000000">
            <w:pPr>
              <w:spacing w:before="60" w:after="60"/>
              <w:ind w:left="101" w:right="58"/>
            </w:pPr>
            <w:r>
              <w:rPr>
                <w:rFonts w:ascii="Calibri" w:hAnsi="Calibri"/>
                <w:b/>
                <w:color w:val="C06000"/>
                <w:sz w:val="18"/>
              </w:rPr>
              <w:t>Limited Transparency into Training Data</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65B1B8D2" w14:textId="77777777" w:rsidR="00EB3918" w:rsidRDefault="00000000">
            <w:pPr>
              <w:spacing w:before="60" w:after="60"/>
              <w:ind w:left="101" w:right="58"/>
            </w:pPr>
            <w:r>
              <w:rPr>
                <w:rFonts w:ascii="Calibri" w:hAnsi="Calibri"/>
                <w:color w:val="1A1A1A"/>
                <w:sz w:val="18"/>
              </w:rPr>
              <w:t>Meridian does not yet have full visibility into the model's training data sources, representativeness, exclusions, or historical bias controls.</w:t>
            </w:r>
          </w:p>
        </w:tc>
      </w:tr>
      <w:tr w:rsidR="00EB3918" w14:paraId="0C0578F1" w14:textId="77777777">
        <w:tc>
          <w:tcPr>
            <w:tcW w:w="3312" w:type="dxa"/>
            <w:tcBorders>
              <w:top w:val="single" w:sz="4" w:space="0" w:color="B0C4D8"/>
              <w:left w:val="single" w:sz="4" w:space="0" w:color="B0C4D8"/>
              <w:bottom w:val="single" w:sz="4" w:space="0" w:color="B0C4D8"/>
              <w:right w:val="single" w:sz="4" w:space="0" w:color="B0C4D8"/>
            </w:tcBorders>
            <w:shd w:val="clear" w:color="auto" w:fill="FFF9E6"/>
          </w:tcPr>
          <w:p w14:paraId="6933C68C" w14:textId="77777777" w:rsidR="00EB3918" w:rsidRDefault="00000000">
            <w:pPr>
              <w:spacing w:before="60" w:after="60"/>
              <w:ind w:left="101" w:right="58"/>
            </w:pPr>
            <w:r>
              <w:rPr>
                <w:rFonts w:ascii="Calibri" w:hAnsi="Calibri"/>
                <w:b/>
                <w:color w:val="C06000"/>
                <w:sz w:val="18"/>
              </w:rPr>
              <w:t>Limited Visibility into Model Architecture</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0254D895" w14:textId="77777777" w:rsidR="00EB3918" w:rsidRDefault="00000000">
            <w:pPr>
              <w:spacing w:before="60" w:after="60"/>
              <w:ind w:left="101" w:right="58"/>
            </w:pPr>
            <w:r>
              <w:rPr>
                <w:rFonts w:ascii="Calibri" w:hAnsi="Calibri"/>
                <w:color w:val="1A1A1A"/>
                <w:sz w:val="18"/>
              </w:rPr>
              <w:t>Meridian does not yet have sufficient information about model design, feature weighting, performance boundaries, or explainability methodology.</w:t>
            </w:r>
          </w:p>
        </w:tc>
      </w:tr>
      <w:tr w:rsidR="00EB3918" w14:paraId="2CA50BDE" w14:textId="77777777">
        <w:tc>
          <w:tcPr>
            <w:tcW w:w="3312" w:type="dxa"/>
            <w:tcBorders>
              <w:top w:val="single" w:sz="4" w:space="0" w:color="B0C4D8"/>
              <w:left w:val="single" w:sz="4" w:space="0" w:color="B0C4D8"/>
              <w:bottom w:val="single" w:sz="4" w:space="0" w:color="B0C4D8"/>
              <w:right w:val="single" w:sz="4" w:space="0" w:color="B0C4D8"/>
            </w:tcBorders>
            <w:shd w:val="clear" w:color="auto" w:fill="FEF3E2"/>
          </w:tcPr>
          <w:p w14:paraId="48FD5A7E" w14:textId="77777777" w:rsidR="00EB3918" w:rsidRDefault="00000000">
            <w:pPr>
              <w:spacing w:before="60" w:after="60"/>
              <w:ind w:left="101" w:right="58"/>
            </w:pPr>
            <w:r>
              <w:rPr>
                <w:rFonts w:ascii="Calibri" w:hAnsi="Calibri"/>
                <w:b/>
                <w:color w:val="C06000"/>
                <w:sz w:val="18"/>
              </w:rPr>
              <w:t>Reason Code Dependency</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3A85734C" w14:textId="77777777" w:rsidR="00EB3918" w:rsidRDefault="00000000">
            <w:pPr>
              <w:spacing w:before="60" w:after="60"/>
              <w:ind w:left="101" w:right="58"/>
            </w:pPr>
            <w:r>
              <w:rPr>
                <w:rFonts w:ascii="Calibri" w:hAnsi="Calibri"/>
                <w:color w:val="1A1A1A"/>
                <w:sz w:val="18"/>
              </w:rPr>
              <w:t>Meridian depends on vendor-generated reason codes to support adverse action explanations, appeals, and compliance review. The accuracy and adequacy of these codes has not been independently validated.</w:t>
            </w:r>
          </w:p>
        </w:tc>
      </w:tr>
      <w:tr w:rsidR="00EB3918" w14:paraId="762C2DEB" w14:textId="77777777">
        <w:tc>
          <w:tcPr>
            <w:tcW w:w="3312" w:type="dxa"/>
            <w:tcBorders>
              <w:top w:val="single" w:sz="4" w:space="0" w:color="B0C4D8"/>
              <w:left w:val="single" w:sz="4" w:space="0" w:color="B0C4D8"/>
              <w:bottom w:val="single" w:sz="4" w:space="0" w:color="B0C4D8"/>
              <w:right w:val="single" w:sz="4" w:space="0" w:color="B0C4D8"/>
            </w:tcBorders>
            <w:shd w:val="clear" w:color="auto" w:fill="FFF9E6"/>
          </w:tcPr>
          <w:p w14:paraId="52C514A5" w14:textId="77777777" w:rsidR="00EB3918" w:rsidRDefault="00000000">
            <w:pPr>
              <w:spacing w:before="60" w:after="60"/>
              <w:ind w:left="101" w:right="58"/>
            </w:pPr>
            <w:r>
              <w:rPr>
                <w:rFonts w:ascii="Calibri" w:hAnsi="Calibri"/>
                <w:b/>
                <w:color w:val="C06000"/>
                <w:sz w:val="18"/>
              </w:rPr>
              <w:t>Model Update Dependency</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6DB5E557" w14:textId="77777777" w:rsidR="00EB3918" w:rsidRDefault="00000000">
            <w:pPr>
              <w:spacing w:before="60" w:after="60"/>
              <w:ind w:left="101" w:right="58"/>
            </w:pPr>
            <w:r>
              <w:rPr>
                <w:rFonts w:ascii="Calibri" w:hAnsi="Calibri"/>
                <w:color w:val="1A1A1A"/>
                <w:sz w:val="18"/>
              </w:rPr>
              <w:t>Vendor model updates could affect scoring, approval rates, denial rates, fairness outcomes, or reason code behavior without advance notice to Meridian.</w:t>
            </w:r>
          </w:p>
        </w:tc>
      </w:tr>
      <w:tr w:rsidR="00EB3918" w14:paraId="169C8088" w14:textId="77777777">
        <w:tc>
          <w:tcPr>
            <w:tcW w:w="3312" w:type="dxa"/>
            <w:tcBorders>
              <w:top w:val="single" w:sz="4" w:space="0" w:color="B0C4D8"/>
              <w:left w:val="single" w:sz="4" w:space="0" w:color="B0C4D8"/>
              <w:bottom w:val="single" w:sz="4" w:space="0" w:color="B0C4D8"/>
              <w:right w:val="single" w:sz="4" w:space="0" w:color="B0C4D8"/>
            </w:tcBorders>
            <w:shd w:val="clear" w:color="auto" w:fill="FEF3E2"/>
          </w:tcPr>
          <w:p w14:paraId="17EA7F31" w14:textId="77777777" w:rsidR="00EB3918" w:rsidRDefault="00000000">
            <w:pPr>
              <w:spacing w:before="60" w:after="60"/>
              <w:ind w:left="101" w:right="58"/>
            </w:pPr>
            <w:r>
              <w:rPr>
                <w:rFonts w:ascii="Calibri" w:hAnsi="Calibri"/>
                <w:b/>
                <w:color w:val="C06000"/>
                <w:sz w:val="18"/>
              </w:rPr>
              <w:t>Potential Performance Drift</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1A1E4728" w14:textId="77777777" w:rsidR="00EB3918" w:rsidRDefault="00000000">
            <w:pPr>
              <w:spacing w:before="60" w:after="60"/>
              <w:ind w:left="101" w:right="58"/>
            </w:pPr>
            <w:r>
              <w:rPr>
                <w:rFonts w:ascii="Calibri" w:hAnsi="Calibri"/>
                <w:color w:val="1A1A1A"/>
                <w:sz w:val="18"/>
              </w:rPr>
              <w:t>Model performance may degrade due to economic shifts, portfolio changes, borrower behavior changes, industry volatility, or changes in credit conditions.</w:t>
            </w:r>
          </w:p>
        </w:tc>
      </w:tr>
      <w:tr w:rsidR="00EB3918" w14:paraId="448DF62B" w14:textId="77777777">
        <w:tc>
          <w:tcPr>
            <w:tcW w:w="3312" w:type="dxa"/>
            <w:tcBorders>
              <w:top w:val="single" w:sz="4" w:space="0" w:color="B0C4D8"/>
              <w:left w:val="single" w:sz="4" w:space="0" w:color="B0C4D8"/>
              <w:bottom w:val="single" w:sz="4" w:space="0" w:color="B0C4D8"/>
              <w:right w:val="single" w:sz="4" w:space="0" w:color="B0C4D8"/>
            </w:tcBorders>
            <w:shd w:val="clear" w:color="auto" w:fill="FFF9E6"/>
          </w:tcPr>
          <w:p w14:paraId="0CFBA153" w14:textId="77777777" w:rsidR="00EB3918" w:rsidRDefault="00000000">
            <w:pPr>
              <w:spacing w:before="60" w:after="60"/>
              <w:ind w:left="101" w:right="58"/>
            </w:pPr>
            <w:r>
              <w:rPr>
                <w:rFonts w:ascii="Calibri" w:hAnsi="Calibri"/>
                <w:b/>
                <w:color w:val="C06000"/>
                <w:sz w:val="18"/>
              </w:rPr>
              <w:t>Limited Independent Validation</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2C689E4F" w14:textId="77777777" w:rsidR="00EB3918" w:rsidRDefault="00000000">
            <w:pPr>
              <w:spacing w:before="60" w:after="60"/>
              <w:ind w:left="101" w:right="58"/>
            </w:pPr>
            <w:r>
              <w:rPr>
                <w:rFonts w:ascii="Calibri" w:hAnsi="Calibri"/>
                <w:color w:val="1A1A1A"/>
                <w:sz w:val="18"/>
              </w:rPr>
              <w:t>Meridian has not yet completed independent validation of the model's fairness, accuracy, stability, explainability, and monitoring thresholds.</w:t>
            </w:r>
          </w:p>
        </w:tc>
      </w:tr>
    </w:tbl>
    <w:p w14:paraId="1529B5AD" w14:textId="77777777" w:rsidR="00EB3918" w:rsidRDefault="00EB3918">
      <w:pPr>
        <w:spacing w:after="160"/>
      </w:pPr>
    </w:p>
    <w:p w14:paraId="7C2B7075" w14:textId="77777777" w:rsidR="00EB3918" w:rsidRDefault="00000000">
      <w:pPr>
        <w:shd w:val="clear" w:color="auto" w:fill="1A335C"/>
        <w:spacing w:before="280" w:after="100"/>
      </w:pPr>
      <w:r>
        <w:rPr>
          <w:rFonts w:ascii="Calibri" w:hAnsi="Calibri"/>
          <w:b/>
          <w:color w:val="FFFFFF"/>
          <w:sz w:val="24"/>
        </w:rPr>
        <w:t xml:space="preserve">  7.  DATA DEPENDENCY REVIEW</w:t>
      </w:r>
    </w:p>
    <w:p w14:paraId="298624B4" w14:textId="77777777" w:rsidR="00EB3918" w:rsidRDefault="00000000">
      <w:pPr>
        <w:spacing w:before="80" w:after="80"/>
      </w:pPr>
      <w:r>
        <w:rPr>
          <w:rFonts w:ascii="Calibri" w:hAnsi="Calibri"/>
          <w:color w:val="1A1A1A"/>
          <w:sz w:val="20"/>
        </w:rPr>
        <w:t>The model may process or rely on the following data categories. The model must not directly use protected characteristics. However, proxy-bias risk remains because several variables may correlate with protected or disadvantaged groups.</w:t>
      </w:r>
    </w:p>
    <w:tbl>
      <w:tblPr>
        <w:tblStyle w:val="TableGrid"/>
        <w:tblW w:w="0" w:type="auto"/>
        <w:tblLook w:val="04A0" w:firstRow="1" w:lastRow="0" w:firstColumn="1" w:lastColumn="0" w:noHBand="0" w:noVBand="1"/>
      </w:tblPr>
      <w:tblGrid>
        <w:gridCol w:w="2790"/>
        <w:gridCol w:w="7074"/>
      </w:tblGrid>
      <w:tr w:rsidR="00EB3918" w14:paraId="4AB118FF" w14:textId="77777777">
        <w:tc>
          <w:tcPr>
            <w:tcW w:w="3024" w:type="dxa"/>
            <w:tcBorders>
              <w:top w:val="single" w:sz="6" w:space="0" w:color="FFFFFF"/>
              <w:left w:val="single" w:sz="6" w:space="0" w:color="FFFFFF"/>
              <w:bottom w:val="single" w:sz="6" w:space="0" w:color="FFFFFF"/>
              <w:right w:val="single" w:sz="6" w:space="0" w:color="FFFFFF"/>
            </w:tcBorders>
            <w:shd w:val="clear" w:color="auto" w:fill="1A335C"/>
          </w:tcPr>
          <w:p w14:paraId="1A3ACBF5" w14:textId="77777777" w:rsidR="00EB3918" w:rsidRDefault="00000000">
            <w:pPr>
              <w:spacing w:before="60" w:after="60"/>
              <w:ind w:left="101" w:right="58"/>
            </w:pPr>
            <w:r>
              <w:rPr>
                <w:rFonts w:ascii="Calibri" w:hAnsi="Calibri"/>
                <w:b/>
                <w:color w:val="FFFFFF"/>
                <w:sz w:val="18"/>
              </w:rPr>
              <w:t>Data Category</w:t>
            </w:r>
          </w:p>
        </w:tc>
        <w:tc>
          <w:tcPr>
            <w:tcW w:w="7920" w:type="dxa"/>
            <w:tcBorders>
              <w:top w:val="single" w:sz="6" w:space="0" w:color="FFFFFF"/>
              <w:left w:val="single" w:sz="6" w:space="0" w:color="FFFFFF"/>
              <w:bottom w:val="single" w:sz="6" w:space="0" w:color="FFFFFF"/>
              <w:right w:val="single" w:sz="6" w:space="0" w:color="FFFFFF"/>
            </w:tcBorders>
            <w:shd w:val="clear" w:color="auto" w:fill="1A335C"/>
          </w:tcPr>
          <w:p w14:paraId="5CAF432E" w14:textId="77777777" w:rsidR="00EB3918" w:rsidRDefault="00000000">
            <w:pPr>
              <w:spacing w:before="60" w:after="60"/>
              <w:ind w:left="101" w:right="58"/>
            </w:pPr>
            <w:r>
              <w:rPr>
                <w:rFonts w:ascii="Calibri" w:hAnsi="Calibri"/>
                <w:b/>
                <w:color w:val="FFFFFF"/>
                <w:sz w:val="18"/>
              </w:rPr>
              <w:t>Data Elements</w:t>
            </w:r>
          </w:p>
        </w:tc>
      </w:tr>
      <w:tr w:rsidR="00EB3918" w14:paraId="1B6638AF"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718CDF3" w14:textId="77777777" w:rsidR="00EB3918" w:rsidRDefault="00000000">
            <w:pPr>
              <w:spacing w:before="60" w:after="60"/>
              <w:ind w:left="101" w:right="58"/>
            </w:pPr>
            <w:r>
              <w:rPr>
                <w:rFonts w:ascii="Calibri" w:hAnsi="Calibri"/>
                <w:b/>
                <w:color w:val="1A335C"/>
                <w:sz w:val="18"/>
              </w:rPr>
              <w:t>Loan Application Data</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5DA1988D" w14:textId="77777777" w:rsidR="00EB3918" w:rsidRDefault="00000000">
            <w:pPr>
              <w:spacing w:before="60" w:after="60"/>
              <w:ind w:left="101" w:right="58"/>
            </w:pPr>
            <w:r>
              <w:rPr>
                <w:rFonts w:ascii="Calibri" w:hAnsi="Calibri"/>
                <w:color w:val="1A1A1A"/>
                <w:sz w:val="18"/>
              </w:rPr>
              <w:t>Requested loan amount, loan purpose, loan term</w:t>
            </w:r>
          </w:p>
        </w:tc>
      </w:tr>
      <w:tr w:rsidR="00EB3918" w14:paraId="049C3A20"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3B9954C9" w14:textId="77777777" w:rsidR="00EB3918" w:rsidRDefault="00000000">
            <w:pPr>
              <w:spacing w:before="60" w:after="60"/>
              <w:ind w:left="101" w:right="58"/>
            </w:pPr>
            <w:r>
              <w:rPr>
                <w:rFonts w:ascii="Calibri" w:hAnsi="Calibri"/>
                <w:b/>
                <w:color w:val="1A335C"/>
                <w:sz w:val="18"/>
              </w:rPr>
              <w:t>Business Financial Data</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04567A3D" w14:textId="77777777" w:rsidR="00EB3918" w:rsidRDefault="00000000">
            <w:pPr>
              <w:spacing w:before="60" w:after="60"/>
              <w:ind w:left="101" w:right="58"/>
            </w:pPr>
            <w:r>
              <w:rPr>
                <w:rFonts w:ascii="Calibri" w:hAnsi="Calibri"/>
                <w:color w:val="1A1A1A"/>
                <w:sz w:val="18"/>
              </w:rPr>
              <w:t>Annual revenue, monthly revenue, monthly cash flow, existing debt, debt service coverage ratio</w:t>
            </w:r>
          </w:p>
        </w:tc>
      </w:tr>
      <w:tr w:rsidR="00EB3918" w14:paraId="38AF5078"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786E876F" w14:textId="77777777" w:rsidR="00EB3918" w:rsidRDefault="00000000">
            <w:pPr>
              <w:spacing w:before="60" w:after="60"/>
              <w:ind w:left="101" w:right="58"/>
            </w:pPr>
            <w:r>
              <w:rPr>
                <w:rFonts w:ascii="Calibri" w:hAnsi="Calibri"/>
                <w:b/>
                <w:color w:val="1A335C"/>
                <w:sz w:val="18"/>
              </w:rPr>
              <w:t>Credit Data</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434E94CD" w14:textId="77777777" w:rsidR="00EB3918" w:rsidRDefault="00000000">
            <w:pPr>
              <w:spacing w:before="60" w:after="60"/>
              <w:ind w:left="101" w:right="58"/>
            </w:pPr>
            <w:r>
              <w:rPr>
                <w:rFonts w:ascii="Calibri" w:hAnsi="Calibri"/>
                <w:color w:val="1A1A1A"/>
                <w:sz w:val="18"/>
              </w:rPr>
              <w:t>Business credit score, guarantor credit score, credit utilization, prior defaults, recent delinquencies</w:t>
            </w:r>
          </w:p>
        </w:tc>
      </w:tr>
      <w:tr w:rsidR="00EB3918" w14:paraId="4FB7FB59"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38AED6D3" w14:textId="77777777" w:rsidR="00EB3918" w:rsidRDefault="00000000">
            <w:pPr>
              <w:spacing w:before="60" w:after="60"/>
              <w:ind w:left="101" w:right="58"/>
            </w:pPr>
            <w:r>
              <w:rPr>
                <w:rFonts w:ascii="Calibri" w:hAnsi="Calibri"/>
                <w:b/>
                <w:color w:val="1A335C"/>
                <w:sz w:val="18"/>
              </w:rPr>
              <w:t>Banking Data</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26741E37" w14:textId="77777777" w:rsidR="00EB3918" w:rsidRDefault="00000000">
            <w:pPr>
              <w:spacing w:before="60" w:after="60"/>
              <w:ind w:left="101" w:right="58"/>
            </w:pPr>
            <w:r>
              <w:rPr>
                <w:rFonts w:ascii="Calibri" w:hAnsi="Calibri"/>
                <w:color w:val="1A1A1A"/>
                <w:sz w:val="18"/>
              </w:rPr>
              <w:t>Bank transaction data, average account balance, overdraft activity, revenue volatility indicators</w:t>
            </w:r>
          </w:p>
        </w:tc>
      </w:tr>
      <w:tr w:rsidR="00EB3918" w14:paraId="4250EA03"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6032573A" w14:textId="77777777" w:rsidR="00EB3918" w:rsidRDefault="00000000">
            <w:pPr>
              <w:spacing w:before="60" w:after="60"/>
              <w:ind w:left="101" w:right="58"/>
            </w:pPr>
            <w:r>
              <w:rPr>
                <w:rFonts w:ascii="Calibri" w:hAnsi="Calibri"/>
                <w:b/>
                <w:color w:val="1A335C"/>
                <w:sz w:val="18"/>
              </w:rPr>
              <w:t>Business Profile Data</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06493A5E" w14:textId="77777777" w:rsidR="00EB3918" w:rsidRDefault="00000000">
            <w:pPr>
              <w:spacing w:before="60" w:after="60"/>
              <w:ind w:left="101" w:right="58"/>
            </w:pPr>
            <w:r>
              <w:rPr>
                <w:rFonts w:ascii="Calibri" w:hAnsi="Calibri"/>
                <w:color w:val="1A1A1A"/>
                <w:sz w:val="18"/>
              </w:rPr>
              <w:t>Industry classification, business age, geographic region (state / ZIP3 level only)</w:t>
            </w:r>
          </w:p>
        </w:tc>
      </w:tr>
      <w:tr w:rsidR="00EB3918" w14:paraId="4B72ACA8"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352E41F8" w14:textId="77777777" w:rsidR="00EB3918" w:rsidRDefault="00000000">
            <w:pPr>
              <w:spacing w:before="60" w:after="60"/>
              <w:ind w:left="101" w:right="58"/>
            </w:pPr>
            <w:r>
              <w:rPr>
                <w:rFonts w:ascii="Calibri" w:hAnsi="Calibri"/>
                <w:b/>
                <w:color w:val="1A335C"/>
                <w:sz w:val="18"/>
              </w:rPr>
              <w:t>Risk and Compliance Data</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4AA58881" w14:textId="77777777" w:rsidR="00EB3918" w:rsidRDefault="00000000">
            <w:pPr>
              <w:spacing w:before="60" w:after="60"/>
              <w:ind w:left="101" w:right="58"/>
            </w:pPr>
            <w:r>
              <w:rPr>
                <w:rFonts w:ascii="Calibri" w:hAnsi="Calibri"/>
                <w:color w:val="1A1A1A"/>
                <w:sz w:val="18"/>
              </w:rPr>
              <w:t>Fraud screening indicators, compliance flags, missing documentation flags</w:t>
            </w:r>
          </w:p>
        </w:tc>
      </w:tr>
      <w:tr w:rsidR="00EB3918" w14:paraId="41DA9887"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956832C" w14:textId="77777777" w:rsidR="00EB3918" w:rsidRDefault="00000000">
            <w:pPr>
              <w:spacing w:before="60" w:after="60"/>
              <w:ind w:left="101" w:right="58"/>
            </w:pPr>
            <w:r>
              <w:rPr>
                <w:rFonts w:ascii="Calibri" w:hAnsi="Calibri"/>
                <w:b/>
                <w:color w:val="1A335C"/>
                <w:sz w:val="18"/>
              </w:rPr>
              <w:t>Historical Data</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56F2F62A" w14:textId="77777777" w:rsidR="00EB3918" w:rsidRDefault="00000000">
            <w:pPr>
              <w:spacing w:before="60" w:after="60"/>
              <w:ind w:left="101" w:right="58"/>
            </w:pPr>
            <w:r>
              <w:rPr>
                <w:rFonts w:ascii="Calibri" w:hAnsi="Calibri"/>
                <w:color w:val="1A1A1A"/>
                <w:sz w:val="18"/>
              </w:rPr>
              <w:t>Historical repayment and default data used for model training and scoring</w:t>
            </w:r>
          </w:p>
        </w:tc>
      </w:tr>
    </w:tbl>
    <w:p w14:paraId="7A1A42C3" w14:textId="77777777" w:rsidR="00EB3918" w:rsidRDefault="00EB3918">
      <w:pPr>
        <w:spacing w:after="80"/>
      </w:pPr>
    </w:p>
    <w:p w14:paraId="5C803D3B" w14:textId="77777777" w:rsidR="00EB3918" w:rsidRDefault="00000000">
      <w:pPr>
        <w:shd w:val="clear" w:color="auto" w:fill="FEF3E2"/>
        <w:spacing w:before="80" w:after="160"/>
        <w:ind w:left="144" w:right="144"/>
      </w:pPr>
      <w:r>
        <w:rPr>
          <w:rFonts w:ascii="Calibri" w:hAnsi="Calibri"/>
          <w:b/>
          <w:color w:val="C06000"/>
          <w:sz w:val="20"/>
        </w:rPr>
        <w:t xml:space="preserve">  Proxy Bias Risk: </w:t>
      </w:r>
      <w:r>
        <w:rPr>
          <w:rFonts w:ascii="Calibri" w:hAnsi="Calibri"/>
          <w:color w:val="1A1A1A"/>
          <w:sz w:val="20"/>
        </w:rPr>
        <w:t>Variables such as geography, industry classification, business age, credit history, and cash-flow volatility may correlate with protected or disadvantaged groups. Proxy-bias analysis is required before production deployment.</w:t>
      </w:r>
    </w:p>
    <w:p w14:paraId="3EB9ED28" w14:textId="77777777" w:rsidR="00EB3918" w:rsidRDefault="00000000">
      <w:pPr>
        <w:shd w:val="clear" w:color="auto" w:fill="1A335C"/>
        <w:spacing w:before="280" w:after="100"/>
      </w:pPr>
      <w:r>
        <w:rPr>
          <w:rFonts w:ascii="Calibri" w:hAnsi="Calibri"/>
          <w:b/>
          <w:color w:val="FFFFFF"/>
          <w:sz w:val="24"/>
        </w:rPr>
        <w:t xml:space="preserve">  8.  BIAS AND FAIRNESS CONCERNS</w:t>
      </w:r>
    </w:p>
    <w:p w14:paraId="7DCBE082" w14:textId="77777777" w:rsidR="00EB3918" w:rsidRDefault="00000000">
      <w:pPr>
        <w:spacing w:before="80" w:after="80"/>
      </w:pPr>
      <w:r>
        <w:rPr>
          <w:rFonts w:ascii="Calibri" w:hAnsi="Calibri"/>
          <w:color w:val="1A1A1A"/>
          <w:sz w:val="20"/>
        </w:rPr>
        <w:t>The following bias and fairness concerns require review and documented mitigation before production deployment. Meridian must require evidence of fairness testing, disparate impact analysis, proxy-bias review, and segment-level outcome monitoring.</w:t>
      </w:r>
    </w:p>
    <w:p w14:paraId="1170D849" w14:textId="77777777" w:rsidR="00EB3918" w:rsidRDefault="00000000">
      <w:pPr>
        <w:pStyle w:val="ListBullet"/>
        <w:spacing w:before="20" w:after="20"/>
      </w:pPr>
      <w:r>
        <w:rPr>
          <w:rFonts w:ascii="Calibri" w:hAnsi="Calibri"/>
          <w:color w:val="C00000"/>
          <w:sz w:val="20"/>
        </w:rPr>
        <w:t>Historical lending data may reflect prior disparities in credit access</w:t>
      </w:r>
    </w:p>
    <w:p w14:paraId="31262224" w14:textId="77777777" w:rsidR="00EB3918" w:rsidRDefault="00000000">
      <w:pPr>
        <w:pStyle w:val="ListBullet"/>
        <w:spacing w:before="20" w:after="20"/>
      </w:pPr>
      <w:r>
        <w:rPr>
          <w:rFonts w:ascii="Calibri" w:hAnsi="Calibri"/>
          <w:color w:val="C00000"/>
          <w:sz w:val="20"/>
        </w:rPr>
        <w:t>Geography may act as a proxy for protected or disadvantaged groups</w:t>
      </w:r>
    </w:p>
    <w:p w14:paraId="1EF88CB5" w14:textId="77777777" w:rsidR="00EB3918" w:rsidRDefault="00000000">
      <w:pPr>
        <w:pStyle w:val="ListBullet"/>
        <w:spacing w:before="20" w:after="20"/>
      </w:pPr>
      <w:r>
        <w:rPr>
          <w:rFonts w:ascii="Calibri" w:hAnsi="Calibri"/>
          <w:color w:val="C00000"/>
          <w:sz w:val="20"/>
        </w:rPr>
        <w:t>Industry classification may disadvantage businesses concentrated in certain communities</w:t>
      </w:r>
    </w:p>
    <w:p w14:paraId="403AB620" w14:textId="77777777" w:rsidR="00EB3918" w:rsidRDefault="00000000">
      <w:pPr>
        <w:pStyle w:val="ListBullet"/>
        <w:spacing w:before="20" w:after="20"/>
      </w:pPr>
      <w:r>
        <w:rPr>
          <w:rFonts w:ascii="Calibri" w:hAnsi="Calibri"/>
          <w:color w:val="C00000"/>
          <w:sz w:val="20"/>
        </w:rPr>
        <w:t>Business age may disadvantage newer businesses with limited credit history</w:t>
      </w:r>
    </w:p>
    <w:p w14:paraId="2769B036" w14:textId="77777777" w:rsidR="00EB3918" w:rsidRDefault="00000000">
      <w:pPr>
        <w:pStyle w:val="ListBullet"/>
        <w:spacing w:before="20" w:after="20"/>
      </w:pPr>
      <w:r>
        <w:rPr>
          <w:rFonts w:ascii="Calibri" w:hAnsi="Calibri"/>
          <w:color w:val="C00000"/>
          <w:sz w:val="20"/>
        </w:rPr>
        <w:t>Thin credit files may result in higher denial rates for underbanked applicants</w:t>
      </w:r>
    </w:p>
    <w:p w14:paraId="1C99BF24" w14:textId="77777777" w:rsidR="00EB3918" w:rsidRDefault="00000000">
      <w:pPr>
        <w:pStyle w:val="ListBullet"/>
        <w:spacing w:before="20" w:after="20"/>
      </w:pPr>
      <w:r>
        <w:rPr>
          <w:rFonts w:ascii="Calibri" w:hAnsi="Calibri"/>
          <w:color w:val="C00000"/>
          <w:sz w:val="20"/>
        </w:rPr>
        <w:t>Cash-flow volatility may disadvantage seasonal or smaller businesses</w:t>
      </w:r>
    </w:p>
    <w:p w14:paraId="51469268" w14:textId="77777777" w:rsidR="00EB3918" w:rsidRDefault="00000000">
      <w:pPr>
        <w:pStyle w:val="ListBullet"/>
        <w:spacing w:before="20" w:after="20"/>
      </w:pPr>
      <w:r>
        <w:rPr>
          <w:rFonts w:ascii="Calibri" w:hAnsi="Calibri"/>
          <w:color w:val="C00000"/>
          <w:sz w:val="20"/>
        </w:rPr>
        <w:t>Credit bureau data may reflect historical inequities or incomplete financial context</w:t>
      </w:r>
    </w:p>
    <w:p w14:paraId="1B6B80D1" w14:textId="77777777" w:rsidR="00EB3918" w:rsidRDefault="00000000">
      <w:pPr>
        <w:pStyle w:val="ListBullet"/>
        <w:spacing w:before="20" w:after="20"/>
      </w:pPr>
      <w:r>
        <w:rPr>
          <w:rFonts w:ascii="Calibri" w:hAnsi="Calibri"/>
          <w:color w:val="C00000"/>
          <w:sz w:val="20"/>
        </w:rPr>
        <w:t>Automated denials may create customer harm if reason codes are inaccurate or incomplete</w:t>
      </w:r>
    </w:p>
    <w:p w14:paraId="06398E06" w14:textId="77777777" w:rsidR="00EB3918" w:rsidRDefault="00EB3918">
      <w:pPr>
        <w:spacing w:after="120"/>
      </w:pPr>
    </w:p>
    <w:p w14:paraId="690A2337" w14:textId="77777777" w:rsidR="00EB3918" w:rsidRDefault="00000000">
      <w:pPr>
        <w:shd w:val="clear" w:color="auto" w:fill="1A335C"/>
        <w:spacing w:before="280" w:after="100"/>
      </w:pPr>
      <w:r>
        <w:rPr>
          <w:rFonts w:ascii="Calibri" w:hAnsi="Calibri"/>
          <w:b/>
          <w:color w:val="FFFFFF"/>
          <w:sz w:val="24"/>
        </w:rPr>
        <w:t xml:space="preserve">  9.  EXPLAINABILITY REVIEW</w:t>
      </w:r>
    </w:p>
    <w:p w14:paraId="44F5E72C" w14:textId="77777777" w:rsidR="00EB3918" w:rsidRDefault="00000000">
      <w:pPr>
        <w:spacing w:before="80" w:after="80"/>
      </w:pPr>
      <w:r>
        <w:rPr>
          <w:rFonts w:ascii="Calibri" w:hAnsi="Calibri"/>
          <w:color w:val="1A1A1A"/>
          <w:sz w:val="20"/>
        </w:rPr>
        <w:t>The model is expected to generate denial reason codes for adverse decisions. Reason code governance is critical because Meridian must be able to explain automated denial decisions to applicants, underwriters, compliance reviewers, and auditors.</w:t>
      </w:r>
    </w:p>
    <w:p w14:paraId="28B255EF" w14:textId="77777777" w:rsidR="00EB3918" w:rsidRDefault="00000000">
      <w:pPr>
        <w:spacing w:before="40" w:after="60"/>
      </w:pPr>
      <w:r>
        <w:rPr>
          <w:rFonts w:ascii="Calibri" w:hAnsi="Calibri"/>
          <w:color w:val="1A1A1A"/>
          <w:sz w:val="20"/>
        </w:rPr>
        <w:t>The following explainability concerns remain open:</w:t>
      </w:r>
    </w:p>
    <w:p w14:paraId="5C976839" w14:textId="77777777" w:rsidR="00EB3918" w:rsidRDefault="00000000">
      <w:pPr>
        <w:pStyle w:val="ListBullet"/>
        <w:spacing w:before="20" w:after="20"/>
      </w:pPr>
      <w:r>
        <w:rPr>
          <w:rFonts w:ascii="Calibri" w:hAnsi="Calibri"/>
          <w:color w:val="856004"/>
          <w:sz w:val="20"/>
        </w:rPr>
        <w:t>Whether reason codes accurately reflect the model factors that drove the decision</w:t>
      </w:r>
    </w:p>
    <w:p w14:paraId="3786279A" w14:textId="77777777" w:rsidR="00EB3918" w:rsidRDefault="00000000">
      <w:pPr>
        <w:pStyle w:val="ListBullet"/>
        <w:spacing w:before="20" w:after="20"/>
      </w:pPr>
      <w:r>
        <w:rPr>
          <w:rFonts w:ascii="Calibri" w:hAnsi="Calibri"/>
          <w:color w:val="856004"/>
          <w:sz w:val="20"/>
        </w:rPr>
        <w:t>Whether reason codes are specific enough to support applicant understanding</w:t>
      </w:r>
    </w:p>
    <w:p w14:paraId="30AA1111" w14:textId="77777777" w:rsidR="00EB3918" w:rsidRDefault="00000000">
      <w:pPr>
        <w:pStyle w:val="ListBullet"/>
        <w:spacing w:before="20" w:after="20"/>
      </w:pPr>
      <w:r>
        <w:rPr>
          <w:rFonts w:ascii="Calibri" w:hAnsi="Calibri"/>
          <w:color w:val="856004"/>
          <w:sz w:val="20"/>
        </w:rPr>
        <w:t>Whether reason codes are consistent across similar decisions</w:t>
      </w:r>
    </w:p>
    <w:p w14:paraId="075D9604" w14:textId="77777777" w:rsidR="00EB3918" w:rsidRDefault="00000000">
      <w:pPr>
        <w:pStyle w:val="ListBullet"/>
        <w:spacing w:before="20" w:after="20"/>
      </w:pPr>
      <w:r>
        <w:rPr>
          <w:rFonts w:ascii="Calibri" w:hAnsi="Calibri"/>
          <w:color w:val="856004"/>
          <w:sz w:val="20"/>
        </w:rPr>
        <w:t>Whether reason codes can be independently validated by Meridian</w:t>
      </w:r>
    </w:p>
    <w:p w14:paraId="2C50CCF4" w14:textId="77777777" w:rsidR="00EB3918" w:rsidRDefault="00000000">
      <w:pPr>
        <w:pStyle w:val="ListBullet"/>
        <w:spacing w:before="20" w:after="20"/>
      </w:pPr>
      <w:r>
        <w:rPr>
          <w:rFonts w:ascii="Calibri" w:hAnsi="Calibri"/>
          <w:color w:val="856004"/>
          <w:sz w:val="20"/>
        </w:rPr>
        <w:t>Whether human reviewers can understand and meaningfully challenge model outputs</w:t>
      </w:r>
    </w:p>
    <w:p w14:paraId="32D37AA4" w14:textId="77777777" w:rsidR="00EB3918" w:rsidRDefault="00000000">
      <w:pPr>
        <w:pStyle w:val="ListBullet"/>
        <w:spacing w:before="20" w:after="20"/>
      </w:pPr>
      <w:r>
        <w:rPr>
          <w:rFonts w:ascii="Calibri" w:hAnsi="Calibri"/>
          <w:color w:val="856004"/>
          <w:sz w:val="20"/>
        </w:rPr>
        <w:t>Whether limitations in explainability are clearly documented by the vendor</w:t>
      </w:r>
    </w:p>
    <w:p w14:paraId="7614C2C9" w14:textId="34DBEAE6" w:rsidR="00EB3918" w:rsidRDefault="00000000">
      <w:pPr>
        <w:shd w:val="clear" w:color="auto" w:fill="FDECEA"/>
        <w:spacing w:before="80" w:after="160"/>
        <w:ind w:left="144" w:right="144"/>
      </w:pPr>
      <w:r>
        <w:rPr>
          <w:rFonts w:ascii="Calibri" w:hAnsi="Calibri"/>
          <w:b/>
          <w:color w:val="C00000"/>
          <w:sz w:val="20"/>
        </w:rPr>
        <w:t xml:space="preserve">Production Gate: </w:t>
      </w:r>
      <w:r>
        <w:rPr>
          <w:rFonts w:ascii="Calibri" w:hAnsi="Calibri"/>
          <w:color w:val="1A1A1A"/>
          <w:sz w:val="20"/>
        </w:rPr>
        <w:t>Production deployment must be delayed if denial reason codes cannot support adverse action notices, applicant appeals, and governance review.</w:t>
      </w:r>
    </w:p>
    <w:p w14:paraId="158197BA" w14:textId="77777777" w:rsidR="00EB3918" w:rsidRDefault="00000000">
      <w:pPr>
        <w:shd w:val="clear" w:color="auto" w:fill="1A335C"/>
        <w:spacing w:before="280" w:after="100"/>
      </w:pPr>
      <w:r>
        <w:rPr>
          <w:rFonts w:ascii="Calibri" w:hAnsi="Calibri"/>
          <w:b/>
          <w:color w:val="FFFFFF"/>
          <w:sz w:val="24"/>
        </w:rPr>
        <w:t xml:space="preserve">  10.  SECURITY AND PRIVACY REVIEW</w:t>
      </w:r>
    </w:p>
    <w:p w14:paraId="27A6740B" w14:textId="77777777" w:rsidR="00EB3918" w:rsidRDefault="00000000">
      <w:pPr>
        <w:spacing w:before="80" w:after="80"/>
      </w:pPr>
      <w:r>
        <w:rPr>
          <w:rFonts w:ascii="Calibri" w:hAnsi="Calibri"/>
          <w:color w:val="1A1A1A"/>
          <w:sz w:val="20"/>
        </w:rPr>
        <w:t>The security and privacy review is not yet complete. The following items must be confirmed before production approval is granted.</w:t>
      </w:r>
    </w:p>
    <w:tbl>
      <w:tblPr>
        <w:tblStyle w:val="TableGrid"/>
        <w:tblW w:w="0" w:type="auto"/>
        <w:tblLook w:val="04A0" w:firstRow="1" w:lastRow="0" w:firstColumn="1" w:lastColumn="0" w:noHBand="0" w:noVBand="1"/>
      </w:tblPr>
      <w:tblGrid>
        <w:gridCol w:w="2803"/>
        <w:gridCol w:w="7061"/>
      </w:tblGrid>
      <w:tr w:rsidR="00EB3918" w14:paraId="6E23D20E" w14:textId="77777777">
        <w:tc>
          <w:tcPr>
            <w:tcW w:w="3024" w:type="dxa"/>
            <w:tcBorders>
              <w:top w:val="single" w:sz="6" w:space="0" w:color="FFFFFF"/>
              <w:left w:val="single" w:sz="6" w:space="0" w:color="FFFFFF"/>
              <w:bottom w:val="single" w:sz="6" w:space="0" w:color="FFFFFF"/>
              <w:right w:val="single" w:sz="6" w:space="0" w:color="FFFFFF"/>
            </w:tcBorders>
            <w:shd w:val="clear" w:color="auto" w:fill="1A335C"/>
          </w:tcPr>
          <w:p w14:paraId="37BE89B0" w14:textId="77777777" w:rsidR="00EB3918" w:rsidRDefault="00000000">
            <w:pPr>
              <w:spacing w:before="60" w:after="60"/>
              <w:ind w:left="101" w:right="58"/>
            </w:pPr>
            <w:r>
              <w:rPr>
                <w:rFonts w:ascii="Calibri" w:hAnsi="Calibri"/>
                <w:b/>
                <w:color w:val="FFFFFF"/>
                <w:sz w:val="18"/>
              </w:rPr>
              <w:t>Review Area</w:t>
            </w:r>
          </w:p>
        </w:tc>
        <w:tc>
          <w:tcPr>
            <w:tcW w:w="7920" w:type="dxa"/>
            <w:tcBorders>
              <w:top w:val="single" w:sz="6" w:space="0" w:color="FFFFFF"/>
              <w:left w:val="single" w:sz="6" w:space="0" w:color="FFFFFF"/>
              <w:bottom w:val="single" w:sz="6" w:space="0" w:color="FFFFFF"/>
              <w:right w:val="single" w:sz="6" w:space="0" w:color="FFFFFF"/>
            </w:tcBorders>
            <w:shd w:val="clear" w:color="auto" w:fill="1A335C"/>
          </w:tcPr>
          <w:p w14:paraId="23B4E78D" w14:textId="77777777" w:rsidR="00EB3918" w:rsidRDefault="00000000">
            <w:pPr>
              <w:spacing w:before="60" w:after="60"/>
              <w:ind w:left="101" w:right="58"/>
            </w:pPr>
            <w:r>
              <w:rPr>
                <w:rFonts w:ascii="Calibri" w:hAnsi="Calibri"/>
                <w:b/>
                <w:color w:val="FFFFFF"/>
                <w:sz w:val="18"/>
              </w:rPr>
              <w:t>Requirement</w:t>
            </w:r>
          </w:p>
        </w:tc>
      </w:tr>
      <w:tr w:rsidR="00EB3918" w14:paraId="773873B7"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6F3E4803" w14:textId="77777777" w:rsidR="00EB3918" w:rsidRDefault="00000000">
            <w:pPr>
              <w:spacing w:before="60" w:after="60"/>
              <w:ind w:left="101" w:right="58"/>
            </w:pPr>
            <w:r>
              <w:rPr>
                <w:rFonts w:ascii="Calibri" w:hAnsi="Calibri"/>
                <w:b/>
                <w:color w:val="1A335C"/>
                <w:sz w:val="18"/>
              </w:rPr>
              <w:t>API Security</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435D8EB4" w14:textId="77777777" w:rsidR="00EB3918" w:rsidRDefault="00000000">
            <w:pPr>
              <w:spacing w:before="60" w:after="60"/>
              <w:ind w:left="101" w:right="58"/>
            </w:pPr>
            <w:r>
              <w:rPr>
                <w:rFonts w:ascii="Calibri" w:hAnsi="Calibri"/>
                <w:color w:val="1A1A1A"/>
                <w:sz w:val="18"/>
              </w:rPr>
              <w:t>Authentication, authorization controls, and API key management</w:t>
            </w:r>
          </w:p>
        </w:tc>
      </w:tr>
      <w:tr w:rsidR="00EB3918" w14:paraId="09DFFDE2"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4BBC3C00" w14:textId="77777777" w:rsidR="00EB3918" w:rsidRDefault="00000000">
            <w:pPr>
              <w:spacing w:before="60" w:after="60"/>
              <w:ind w:left="101" w:right="58"/>
            </w:pPr>
            <w:r>
              <w:rPr>
                <w:rFonts w:ascii="Calibri" w:hAnsi="Calibri"/>
                <w:b/>
                <w:color w:val="1A335C"/>
                <w:sz w:val="18"/>
              </w:rPr>
              <w:t>Data Encryption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0F56A40B" w14:textId="77777777" w:rsidR="00EB3918" w:rsidRDefault="00000000">
            <w:pPr>
              <w:spacing w:before="60" w:after="60"/>
              <w:ind w:left="101" w:right="58"/>
            </w:pPr>
            <w:r>
              <w:rPr>
                <w:rFonts w:ascii="Calibri" w:hAnsi="Calibri"/>
                <w:color w:val="1A1A1A"/>
                <w:sz w:val="18"/>
              </w:rPr>
              <w:t>Encryption of data in transit and at rest</w:t>
            </w:r>
          </w:p>
        </w:tc>
      </w:tr>
      <w:tr w:rsidR="00EB3918" w14:paraId="3217035F"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711B904E" w14:textId="77777777" w:rsidR="00EB3918" w:rsidRDefault="00000000">
            <w:pPr>
              <w:spacing w:before="60" w:after="60"/>
              <w:ind w:left="101" w:right="58"/>
            </w:pPr>
            <w:r>
              <w:rPr>
                <w:rFonts w:ascii="Calibri" w:hAnsi="Calibri"/>
                <w:b/>
                <w:color w:val="1A335C"/>
                <w:sz w:val="18"/>
              </w:rPr>
              <w:t>Access Controls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497BEBEF" w14:textId="77777777" w:rsidR="00EB3918" w:rsidRDefault="00000000">
            <w:pPr>
              <w:spacing w:before="60" w:after="60"/>
              <w:ind w:left="101" w:right="58"/>
            </w:pPr>
            <w:r>
              <w:rPr>
                <w:rFonts w:ascii="Calibri" w:hAnsi="Calibri"/>
                <w:color w:val="1A1A1A"/>
                <w:sz w:val="18"/>
              </w:rPr>
              <w:t>Least privilege practices and role-based access to model outputs and logs</w:t>
            </w:r>
          </w:p>
        </w:tc>
      </w:tr>
      <w:tr w:rsidR="00EB3918" w14:paraId="2A40EAE4"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37E91B4B" w14:textId="77777777" w:rsidR="00EB3918" w:rsidRDefault="00000000">
            <w:pPr>
              <w:spacing w:before="60" w:after="60"/>
              <w:ind w:left="101" w:right="58"/>
            </w:pPr>
            <w:r>
              <w:rPr>
                <w:rFonts w:ascii="Calibri" w:hAnsi="Calibri"/>
                <w:b/>
                <w:color w:val="1A335C"/>
                <w:sz w:val="18"/>
              </w:rPr>
              <w:t>Data Retention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04C8E68A" w14:textId="77777777" w:rsidR="00EB3918" w:rsidRDefault="00000000">
            <w:pPr>
              <w:spacing w:before="60" w:after="60"/>
              <w:ind w:left="101" w:right="58"/>
            </w:pPr>
            <w:r>
              <w:rPr>
                <w:rFonts w:ascii="Calibri" w:hAnsi="Calibri"/>
                <w:color w:val="1A1A1A"/>
                <w:sz w:val="18"/>
              </w:rPr>
              <w:t>Retention and deletion requirements for Meridian data processed by the vendor</w:t>
            </w:r>
          </w:p>
        </w:tc>
      </w:tr>
      <w:tr w:rsidR="00EB3918" w14:paraId="62700CDF"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177FED7E" w14:textId="77777777" w:rsidR="00EB3918" w:rsidRDefault="00000000">
            <w:pPr>
              <w:spacing w:before="60" w:after="60"/>
              <w:ind w:left="101" w:right="58"/>
            </w:pPr>
            <w:r>
              <w:rPr>
                <w:rFonts w:ascii="Calibri" w:hAnsi="Calibri"/>
                <w:b/>
                <w:color w:val="1A335C"/>
                <w:sz w:val="18"/>
              </w:rPr>
              <w:t>Logging and Monitoring</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1C6CB40" w14:textId="77777777" w:rsidR="00EB3918" w:rsidRDefault="00000000">
            <w:pPr>
              <w:spacing w:before="60" w:after="60"/>
              <w:ind w:left="101" w:right="58"/>
            </w:pPr>
            <w:r>
              <w:rPr>
                <w:rFonts w:ascii="Calibri" w:hAnsi="Calibri"/>
                <w:color w:val="1A1A1A"/>
                <w:sz w:val="18"/>
              </w:rPr>
              <w:t>Vendor access logging and monitoring for unauthorized activity</w:t>
            </w:r>
          </w:p>
        </w:tc>
      </w:tr>
      <w:tr w:rsidR="00EB3918" w14:paraId="10C9E4D4"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FAAB0CF" w14:textId="77777777" w:rsidR="00EB3918" w:rsidRDefault="00000000">
            <w:pPr>
              <w:spacing w:before="60" w:after="60"/>
              <w:ind w:left="101" w:right="58"/>
            </w:pPr>
            <w:r>
              <w:rPr>
                <w:rFonts w:ascii="Calibri" w:hAnsi="Calibri"/>
                <w:b/>
                <w:color w:val="1A335C"/>
                <w:sz w:val="18"/>
              </w:rPr>
              <w:lastRenderedPageBreak/>
              <w:t>Incident Notification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524DE152" w14:textId="77777777" w:rsidR="00EB3918" w:rsidRDefault="00000000">
            <w:pPr>
              <w:spacing w:before="60" w:after="60"/>
              <w:ind w:left="101" w:right="58"/>
            </w:pPr>
            <w:r>
              <w:rPr>
                <w:rFonts w:ascii="Calibri" w:hAnsi="Calibri"/>
                <w:color w:val="1A1A1A"/>
                <w:sz w:val="18"/>
              </w:rPr>
              <w:t>Timelines and procedures for notifying Meridian of security incidents</w:t>
            </w:r>
          </w:p>
        </w:tc>
      </w:tr>
      <w:tr w:rsidR="00EB3918" w14:paraId="4B00F219"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C5C4AEB" w14:textId="77777777" w:rsidR="00EB3918" w:rsidRDefault="00000000">
            <w:pPr>
              <w:spacing w:before="60" w:after="60"/>
              <w:ind w:left="101" w:right="58"/>
            </w:pPr>
            <w:r>
              <w:rPr>
                <w:rFonts w:ascii="Calibri" w:hAnsi="Calibri"/>
                <w:b/>
                <w:color w:val="1A335C"/>
                <w:sz w:val="18"/>
              </w:rPr>
              <w:t>Vulnerability Management</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6BB2F229" w14:textId="77777777" w:rsidR="00EB3918" w:rsidRDefault="00000000">
            <w:pPr>
              <w:spacing w:before="60" w:after="60"/>
              <w:ind w:left="101" w:right="58"/>
            </w:pPr>
            <w:r>
              <w:rPr>
                <w:rFonts w:ascii="Calibri" w:hAnsi="Calibri"/>
                <w:color w:val="1A1A1A"/>
                <w:sz w:val="18"/>
              </w:rPr>
              <w:t>Vendor practices for identifying and remediating security vulnerabilities</w:t>
            </w:r>
          </w:p>
        </w:tc>
      </w:tr>
      <w:tr w:rsidR="00EB3918" w14:paraId="423BD0C5"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E5495CD" w14:textId="77777777" w:rsidR="00EB3918" w:rsidRDefault="00000000">
            <w:pPr>
              <w:spacing w:before="60" w:after="60"/>
              <w:ind w:left="101" w:right="58"/>
            </w:pPr>
            <w:r>
              <w:rPr>
                <w:rFonts w:ascii="Calibri" w:hAnsi="Calibri"/>
                <w:b/>
                <w:color w:val="1A335C"/>
                <w:sz w:val="18"/>
              </w:rPr>
              <w:t>Privacy Impact</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0E03C8D2" w14:textId="77777777" w:rsidR="00EB3918" w:rsidRDefault="00000000">
            <w:pPr>
              <w:spacing w:before="60" w:after="60"/>
              <w:ind w:left="101" w:right="58"/>
            </w:pPr>
            <w:r>
              <w:rPr>
                <w:rFonts w:ascii="Calibri" w:hAnsi="Calibri"/>
                <w:color w:val="1A1A1A"/>
                <w:sz w:val="18"/>
              </w:rPr>
              <w:t>Privacy impact considerations for data transmitted to the vendor API</w:t>
            </w:r>
          </w:p>
        </w:tc>
      </w:tr>
      <w:tr w:rsidR="00EB3918" w14:paraId="1568F652"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BC4DD0D" w14:textId="77777777" w:rsidR="00EB3918" w:rsidRDefault="00000000">
            <w:pPr>
              <w:spacing w:before="60" w:after="60"/>
              <w:ind w:left="101" w:right="58"/>
            </w:pPr>
            <w:r>
              <w:rPr>
                <w:rFonts w:ascii="Calibri" w:hAnsi="Calibri"/>
                <w:b/>
                <w:color w:val="1A335C"/>
                <w:sz w:val="18"/>
              </w:rPr>
              <w:t>Data Processing Terms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1A60FA24" w14:textId="77777777" w:rsidR="00EB3918" w:rsidRDefault="00000000">
            <w:pPr>
              <w:spacing w:before="60" w:after="60"/>
              <w:ind w:left="101" w:right="58"/>
            </w:pPr>
            <w:r>
              <w:rPr>
                <w:rFonts w:ascii="Calibri" w:hAnsi="Calibri"/>
                <w:color w:val="1A1A1A"/>
                <w:sz w:val="18"/>
              </w:rPr>
              <w:t>Contractual terms governing how vendor processes and stores Meridian data</w:t>
            </w:r>
          </w:p>
        </w:tc>
      </w:tr>
      <w:tr w:rsidR="00EB3918" w14:paraId="394FF05C"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6BE66F3" w14:textId="77777777" w:rsidR="00EB3918" w:rsidRDefault="00000000">
            <w:pPr>
              <w:spacing w:before="60" w:after="60"/>
              <w:ind w:left="101" w:right="58"/>
            </w:pPr>
            <w:r>
              <w:rPr>
                <w:rFonts w:ascii="Calibri" w:hAnsi="Calibri"/>
                <w:b/>
                <w:color w:val="1A335C"/>
                <w:sz w:val="18"/>
              </w:rPr>
              <w:t>Secondary Use Restriction</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01807D34" w14:textId="77777777" w:rsidR="00EB3918" w:rsidRDefault="00000000">
            <w:pPr>
              <w:spacing w:before="60" w:after="60"/>
              <w:ind w:left="101" w:right="58"/>
            </w:pPr>
            <w:r>
              <w:rPr>
                <w:rFonts w:ascii="Calibri" w:hAnsi="Calibri"/>
                <w:color w:val="1A1A1A"/>
                <w:sz w:val="18"/>
              </w:rPr>
              <w:t>Prohibition on using Meridian data for vendor model training without approval</w:t>
            </w:r>
          </w:p>
        </w:tc>
      </w:tr>
    </w:tbl>
    <w:p w14:paraId="4AC4C34D" w14:textId="77777777" w:rsidR="00EB3918" w:rsidRDefault="00EB3918">
      <w:pPr>
        <w:spacing w:after="80"/>
      </w:pPr>
    </w:p>
    <w:p w14:paraId="79854A05" w14:textId="70E7DC14" w:rsidR="00EB3918" w:rsidRDefault="00000000">
      <w:pPr>
        <w:shd w:val="clear" w:color="auto" w:fill="FDECEA"/>
        <w:spacing w:before="80" w:after="160"/>
        <w:ind w:left="144" w:right="144"/>
      </w:pPr>
      <w:r>
        <w:rPr>
          <w:rFonts w:ascii="Calibri" w:hAnsi="Calibri"/>
          <w:b/>
          <w:color w:val="C00000"/>
          <w:sz w:val="20"/>
        </w:rPr>
        <w:t xml:space="preserve">Current Status: </w:t>
      </w:r>
      <w:r>
        <w:rPr>
          <w:rFonts w:ascii="Calibri" w:hAnsi="Calibri"/>
          <w:color w:val="1A1A1A"/>
          <w:sz w:val="20"/>
        </w:rPr>
        <w:t>Security and privacy assessment is pending completion. Production approval must not be granted until this review is documented and accepted.</w:t>
      </w:r>
    </w:p>
    <w:p w14:paraId="097594FC" w14:textId="77777777" w:rsidR="00EB3918" w:rsidRDefault="00000000">
      <w:pPr>
        <w:shd w:val="clear" w:color="auto" w:fill="1A335C"/>
        <w:spacing w:before="280" w:after="100"/>
      </w:pPr>
      <w:r>
        <w:rPr>
          <w:rFonts w:ascii="Calibri" w:hAnsi="Calibri"/>
          <w:b/>
          <w:color w:val="FFFFFF"/>
          <w:sz w:val="24"/>
        </w:rPr>
        <w:t xml:space="preserve">  11.  VENDOR DOCUMENTATION REQUIRED</w:t>
      </w:r>
    </w:p>
    <w:p w14:paraId="7EE14210" w14:textId="77777777" w:rsidR="00EB3918" w:rsidRDefault="00000000">
      <w:pPr>
        <w:spacing w:before="80" w:after="80"/>
      </w:pPr>
      <w:r>
        <w:rPr>
          <w:rFonts w:ascii="Calibri" w:hAnsi="Calibri"/>
          <w:color w:val="1A1A1A"/>
          <w:sz w:val="20"/>
        </w:rPr>
        <w:t>Before production deployment, Meridian must obtain and review the following documentation from CrediSure AI. All items are currently outstanding.</w:t>
      </w:r>
    </w:p>
    <w:tbl>
      <w:tblPr>
        <w:tblStyle w:val="TableGrid"/>
        <w:tblW w:w="0" w:type="auto"/>
        <w:tblLook w:val="04A0" w:firstRow="1" w:lastRow="0" w:firstColumn="1" w:lastColumn="0" w:noHBand="0" w:noVBand="1"/>
      </w:tblPr>
      <w:tblGrid>
        <w:gridCol w:w="2769"/>
        <w:gridCol w:w="5083"/>
        <w:gridCol w:w="2012"/>
      </w:tblGrid>
      <w:tr w:rsidR="00EB3918" w14:paraId="37C3FD48" w14:textId="77777777">
        <w:tc>
          <w:tcPr>
            <w:tcW w:w="3024" w:type="dxa"/>
            <w:tcBorders>
              <w:top w:val="single" w:sz="6" w:space="0" w:color="FFFFFF"/>
              <w:left w:val="single" w:sz="6" w:space="0" w:color="FFFFFF"/>
              <w:bottom w:val="single" w:sz="6" w:space="0" w:color="FFFFFF"/>
              <w:right w:val="single" w:sz="6" w:space="0" w:color="FFFFFF"/>
            </w:tcBorders>
            <w:shd w:val="clear" w:color="auto" w:fill="1A335C"/>
          </w:tcPr>
          <w:p w14:paraId="22B05AB2" w14:textId="77777777" w:rsidR="00EB3918" w:rsidRDefault="00000000">
            <w:pPr>
              <w:spacing w:before="60" w:after="60"/>
              <w:ind w:left="101" w:right="58"/>
            </w:pPr>
            <w:r>
              <w:rPr>
                <w:rFonts w:ascii="Calibri" w:hAnsi="Calibri"/>
                <w:b/>
                <w:color w:val="FFFFFF"/>
                <w:sz w:val="18"/>
              </w:rPr>
              <w:t>Document</w:t>
            </w:r>
          </w:p>
        </w:tc>
        <w:tc>
          <w:tcPr>
            <w:tcW w:w="5760" w:type="dxa"/>
            <w:tcBorders>
              <w:top w:val="single" w:sz="6" w:space="0" w:color="FFFFFF"/>
              <w:left w:val="single" w:sz="6" w:space="0" w:color="FFFFFF"/>
              <w:bottom w:val="single" w:sz="6" w:space="0" w:color="FFFFFF"/>
              <w:right w:val="single" w:sz="6" w:space="0" w:color="FFFFFF"/>
            </w:tcBorders>
            <w:shd w:val="clear" w:color="auto" w:fill="1A335C"/>
          </w:tcPr>
          <w:p w14:paraId="6294344E" w14:textId="77777777" w:rsidR="00EB3918" w:rsidRDefault="00000000">
            <w:pPr>
              <w:spacing w:before="60" w:after="60"/>
              <w:ind w:left="101" w:right="58"/>
            </w:pPr>
            <w:r>
              <w:rPr>
                <w:rFonts w:ascii="Calibri" w:hAnsi="Calibri"/>
                <w:b/>
                <w:color w:val="FFFFFF"/>
                <w:sz w:val="18"/>
              </w:rPr>
              <w:t>Description</w:t>
            </w:r>
          </w:p>
        </w:tc>
        <w:tc>
          <w:tcPr>
            <w:tcW w:w="2160" w:type="dxa"/>
            <w:tcBorders>
              <w:top w:val="single" w:sz="6" w:space="0" w:color="FFFFFF"/>
              <w:left w:val="single" w:sz="6" w:space="0" w:color="FFFFFF"/>
              <w:bottom w:val="single" w:sz="6" w:space="0" w:color="FFFFFF"/>
              <w:right w:val="single" w:sz="6" w:space="0" w:color="FFFFFF"/>
            </w:tcBorders>
            <w:shd w:val="clear" w:color="auto" w:fill="1A335C"/>
          </w:tcPr>
          <w:p w14:paraId="6AA785C6" w14:textId="77777777" w:rsidR="00EB3918" w:rsidRDefault="00000000">
            <w:pPr>
              <w:spacing w:before="60" w:after="60"/>
              <w:ind w:left="101" w:right="58"/>
            </w:pPr>
            <w:r>
              <w:rPr>
                <w:rFonts w:ascii="Calibri" w:hAnsi="Calibri"/>
                <w:b/>
                <w:color w:val="FFFFFF"/>
                <w:sz w:val="18"/>
              </w:rPr>
              <w:t>Status</w:t>
            </w:r>
          </w:p>
        </w:tc>
      </w:tr>
      <w:tr w:rsidR="00EB3918" w14:paraId="74B33410"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74D892C3" w14:textId="77777777" w:rsidR="00EB3918" w:rsidRDefault="00000000">
            <w:pPr>
              <w:spacing w:before="60" w:after="60"/>
              <w:ind w:left="101" w:right="58"/>
            </w:pPr>
            <w:r>
              <w:rPr>
                <w:rFonts w:ascii="Calibri" w:hAnsi="Calibri"/>
                <w:b/>
                <w:color w:val="1A335C"/>
                <w:sz w:val="18"/>
              </w:rPr>
              <w:t>Model Card / Model Documentation</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Pr>
          <w:p w14:paraId="33833A5A" w14:textId="77777777" w:rsidR="00EB3918" w:rsidRDefault="00000000">
            <w:pPr>
              <w:spacing w:before="60" w:after="60"/>
              <w:ind w:left="101" w:right="58"/>
            </w:pPr>
            <w:r>
              <w:rPr>
                <w:rFonts w:ascii="Calibri" w:hAnsi="Calibri"/>
                <w:color w:val="1A1A1A"/>
                <w:sz w:val="18"/>
              </w:rPr>
              <w:t>Intended use, out-of-scope use, known limitations, and version history</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4C625DBF" w14:textId="77777777" w:rsidR="00EB3918" w:rsidRDefault="00000000">
            <w:pPr>
              <w:spacing w:before="60" w:after="60"/>
              <w:ind w:left="101" w:right="58"/>
            </w:pPr>
            <w:r>
              <w:rPr>
                <w:rFonts w:ascii="Calibri" w:hAnsi="Calibri"/>
                <w:b/>
                <w:color w:val="856004"/>
                <w:sz w:val="18"/>
              </w:rPr>
              <w:t>Outstanding</w:t>
            </w:r>
          </w:p>
        </w:tc>
      </w:tr>
      <w:tr w:rsidR="00EB3918" w14:paraId="641A1F33"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19E13530" w14:textId="77777777" w:rsidR="00EB3918" w:rsidRDefault="00000000">
            <w:pPr>
              <w:spacing w:before="60" w:after="60"/>
              <w:ind w:left="101" w:right="58"/>
            </w:pPr>
            <w:r>
              <w:rPr>
                <w:rFonts w:ascii="Calibri" w:hAnsi="Calibri"/>
                <w:b/>
                <w:color w:val="1A335C"/>
                <w:sz w:val="18"/>
              </w:rPr>
              <w:t>Training Data Summary</w:t>
            </w:r>
          </w:p>
        </w:tc>
        <w:tc>
          <w:tcPr>
            <w:tcW w:w="5760" w:type="dxa"/>
            <w:tcBorders>
              <w:top w:val="single" w:sz="4" w:space="0" w:color="B0C4D8"/>
              <w:left w:val="single" w:sz="4" w:space="0" w:color="B0C4D8"/>
              <w:bottom w:val="single" w:sz="4" w:space="0" w:color="B0C4D8"/>
              <w:right w:val="single" w:sz="4" w:space="0" w:color="B0C4D8"/>
            </w:tcBorders>
            <w:shd w:val="clear" w:color="auto" w:fill="FAFCFF"/>
          </w:tcPr>
          <w:p w14:paraId="6FC23126" w14:textId="77777777" w:rsidR="00EB3918" w:rsidRDefault="00000000">
            <w:pPr>
              <w:spacing w:before="60" w:after="60"/>
              <w:ind w:left="101" w:right="58"/>
            </w:pPr>
            <w:r>
              <w:rPr>
                <w:rFonts w:ascii="Calibri" w:hAnsi="Calibri"/>
                <w:color w:val="1A1A1A"/>
                <w:sz w:val="18"/>
              </w:rPr>
              <w:t>Data sources, representativeness, exclusions, and historical bias controls</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07E48049" w14:textId="77777777" w:rsidR="00EB3918" w:rsidRDefault="00000000">
            <w:pPr>
              <w:spacing w:before="60" w:after="60"/>
              <w:ind w:left="101" w:right="58"/>
            </w:pPr>
            <w:r>
              <w:rPr>
                <w:rFonts w:ascii="Calibri" w:hAnsi="Calibri"/>
                <w:b/>
                <w:color w:val="856004"/>
                <w:sz w:val="18"/>
              </w:rPr>
              <w:t>Outstanding</w:t>
            </w:r>
          </w:p>
        </w:tc>
      </w:tr>
      <w:tr w:rsidR="00EB3918" w14:paraId="1D517345"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592BC796" w14:textId="77777777" w:rsidR="00EB3918" w:rsidRDefault="00000000">
            <w:pPr>
              <w:spacing w:before="60" w:after="60"/>
              <w:ind w:left="101" w:right="58"/>
            </w:pPr>
            <w:r>
              <w:rPr>
                <w:rFonts w:ascii="Calibri" w:hAnsi="Calibri"/>
                <w:b/>
                <w:color w:val="1A335C"/>
                <w:sz w:val="18"/>
              </w:rPr>
              <w:t>Feature Category Summary</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Pr>
          <w:p w14:paraId="7F949A15" w14:textId="77777777" w:rsidR="00EB3918" w:rsidRDefault="00000000">
            <w:pPr>
              <w:spacing w:before="60" w:after="60"/>
              <w:ind w:left="101" w:right="58"/>
            </w:pPr>
            <w:r>
              <w:rPr>
                <w:rFonts w:ascii="Calibri" w:hAnsi="Calibri"/>
                <w:color w:val="1A1A1A"/>
                <w:sz w:val="18"/>
              </w:rPr>
              <w:t>Categories of input variables used by the model</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02E81A9C" w14:textId="77777777" w:rsidR="00EB3918" w:rsidRDefault="00000000">
            <w:pPr>
              <w:spacing w:before="60" w:after="60"/>
              <w:ind w:left="101" w:right="58"/>
            </w:pPr>
            <w:r>
              <w:rPr>
                <w:rFonts w:ascii="Calibri" w:hAnsi="Calibri"/>
                <w:b/>
                <w:color w:val="856004"/>
                <w:sz w:val="18"/>
              </w:rPr>
              <w:t>Outstanding</w:t>
            </w:r>
          </w:p>
        </w:tc>
      </w:tr>
      <w:tr w:rsidR="00EB3918" w14:paraId="7CB9192A"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58BFD211" w14:textId="77777777" w:rsidR="00EB3918" w:rsidRDefault="00000000">
            <w:pPr>
              <w:spacing w:before="60" w:after="60"/>
              <w:ind w:left="101" w:right="58"/>
            </w:pPr>
            <w:r>
              <w:rPr>
                <w:rFonts w:ascii="Calibri" w:hAnsi="Calibri"/>
                <w:b/>
                <w:color w:val="1A335C"/>
                <w:sz w:val="18"/>
              </w:rPr>
              <w:t>Validation Results</w:t>
            </w:r>
          </w:p>
        </w:tc>
        <w:tc>
          <w:tcPr>
            <w:tcW w:w="5760" w:type="dxa"/>
            <w:tcBorders>
              <w:top w:val="single" w:sz="4" w:space="0" w:color="B0C4D8"/>
              <w:left w:val="single" w:sz="4" w:space="0" w:color="B0C4D8"/>
              <w:bottom w:val="single" w:sz="4" w:space="0" w:color="B0C4D8"/>
              <w:right w:val="single" w:sz="4" w:space="0" w:color="B0C4D8"/>
            </w:tcBorders>
            <w:shd w:val="clear" w:color="auto" w:fill="FAFCFF"/>
          </w:tcPr>
          <w:p w14:paraId="51EAC944" w14:textId="77777777" w:rsidR="00EB3918" w:rsidRDefault="00000000">
            <w:pPr>
              <w:spacing w:before="60" w:after="60"/>
              <w:ind w:left="101" w:right="58"/>
            </w:pPr>
            <w:r>
              <w:rPr>
                <w:rFonts w:ascii="Calibri" w:hAnsi="Calibri"/>
                <w:color w:val="1A1A1A"/>
                <w:sz w:val="18"/>
              </w:rPr>
              <w:t>Model performance metrics, accuracy, stability, and validation methodology</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37380F8B" w14:textId="77777777" w:rsidR="00EB3918" w:rsidRDefault="00000000">
            <w:pPr>
              <w:spacing w:before="60" w:after="60"/>
              <w:ind w:left="101" w:right="58"/>
            </w:pPr>
            <w:r>
              <w:rPr>
                <w:rFonts w:ascii="Calibri" w:hAnsi="Calibri"/>
                <w:b/>
                <w:color w:val="856004"/>
                <w:sz w:val="18"/>
              </w:rPr>
              <w:t>Outstanding</w:t>
            </w:r>
          </w:p>
        </w:tc>
      </w:tr>
      <w:tr w:rsidR="00EB3918" w14:paraId="716CD694"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64076002" w14:textId="77777777" w:rsidR="00EB3918" w:rsidRDefault="00000000">
            <w:pPr>
              <w:spacing w:before="60" w:after="60"/>
              <w:ind w:left="101" w:right="58"/>
            </w:pPr>
            <w:r>
              <w:rPr>
                <w:rFonts w:ascii="Calibri" w:hAnsi="Calibri"/>
                <w:b/>
                <w:color w:val="1A335C"/>
                <w:sz w:val="18"/>
              </w:rPr>
              <w:t>Fairness Testing Summary</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Pr>
          <w:p w14:paraId="09FB2165" w14:textId="77777777" w:rsidR="00EB3918" w:rsidRDefault="00000000">
            <w:pPr>
              <w:spacing w:before="60" w:after="60"/>
              <w:ind w:left="101" w:right="58"/>
            </w:pPr>
            <w:r>
              <w:rPr>
                <w:rFonts w:ascii="Calibri" w:hAnsi="Calibri"/>
                <w:color w:val="1A1A1A"/>
                <w:sz w:val="18"/>
              </w:rPr>
              <w:t>Disparate impact analysis, segment-level outcomes, and bias mitigation approach</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023CCC0E" w14:textId="77777777" w:rsidR="00EB3918" w:rsidRDefault="00000000">
            <w:pPr>
              <w:spacing w:before="60" w:after="60"/>
              <w:ind w:left="101" w:right="58"/>
            </w:pPr>
            <w:r>
              <w:rPr>
                <w:rFonts w:ascii="Calibri" w:hAnsi="Calibri"/>
                <w:b/>
                <w:color w:val="856004"/>
                <w:sz w:val="18"/>
              </w:rPr>
              <w:t>Outstanding</w:t>
            </w:r>
          </w:p>
        </w:tc>
      </w:tr>
      <w:tr w:rsidR="00EB3918" w14:paraId="5BC079E5"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770CD06" w14:textId="77777777" w:rsidR="00EB3918" w:rsidRDefault="00000000">
            <w:pPr>
              <w:spacing w:before="60" w:after="60"/>
              <w:ind w:left="101" w:right="58"/>
            </w:pPr>
            <w:r>
              <w:rPr>
                <w:rFonts w:ascii="Calibri" w:hAnsi="Calibri"/>
                <w:b/>
                <w:color w:val="1A335C"/>
                <w:sz w:val="18"/>
              </w:rPr>
              <w:t>Reason Code Methodology</w:t>
            </w:r>
          </w:p>
        </w:tc>
        <w:tc>
          <w:tcPr>
            <w:tcW w:w="5760" w:type="dxa"/>
            <w:tcBorders>
              <w:top w:val="single" w:sz="4" w:space="0" w:color="B0C4D8"/>
              <w:left w:val="single" w:sz="4" w:space="0" w:color="B0C4D8"/>
              <w:bottom w:val="single" w:sz="4" w:space="0" w:color="B0C4D8"/>
              <w:right w:val="single" w:sz="4" w:space="0" w:color="B0C4D8"/>
            </w:tcBorders>
            <w:shd w:val="clear" w:color="auto" w:fill="FAFCFF"/>
          </w:tcPr>
          <w:p w14:paraId="3D764741" w14:textId="77777777" w:rsidR="00EB3918" w:rsidRDefault="00000000">
            <w:pPr>
              <w:spacing w:before="60" w:after="60"/>
              <w:ind w:left="101" w:right="58"/>
            </w:pPr>
            <w:r>
              <w:rPr>
                <w:rFonts w:ascii="Calibri" w:hAnsi="Calibri"/>
                <w:color w:val="1A1A1A"/>
                <w:sz w:val="18"/>
              </w:rPr>
              <w:t>How reason codes are generated, validated, and mapped to model factors</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7D986DFD" w14:textId="77777777" w:rsidR="00EB3918" w:rsidRDefault="00000000">
            <w:pPr>
              <w:spacing w:before="60" w:after="60"/>
              <w:ind w:left="101" w:right="58"/>
            </w:pPr>
            <w:r>
              <w:rPr>
                <w:rFonts w:ascii="Calibri" w:hAnsi="Calibri"/>
                <w:b/>
                <w:color w:val="856004"/>
                <w:sz w:val="18"/>
              </w:rPr>
              <w:t>Outstanding</w:t>
            </w:r>
          </w:p>
        </w:tc>
      </w:tr>
      <w:tr w:rsidR="00EB3918" w14:paraId="7818A0FD"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0211311E" w14:textId="77777777" w:rsidR="00EB3918" w:rsidRDefault="00000000">
            <w:pPr>
              <w:spacing w:before="60" w:after="60"/>
              <w:ind w:left="101" w:right="58"/>
            </w:pPr>
            <w:r>
              <w:rPr>
                <w:rFonts w:ascii="Calibri" w:hAnsi="Calibri"/>
                <w:b/>
                <w:color w:val="1A335C"/>
                <w:sz w:val="18"/>
              </w:rPr>
              <w:t>Monitoring Approach</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Pr>
          <w:p w14:paraId="68960717" w14:textId="77777777" w:rsidR="00EB3918" w:rsidRDefault="00000000">
            <w:pPr>
              <w:spacing w:before="60" w:after="60"/>
              <w:ind w:left="101" w:right="58"/>
            </w:pPr>
            <w:r>
              <w:rPr>
                <w:rFonts w:ascii="Calibri" w:hAnsi="Calibri"/>
                <w:color w:val="1A1A1A"/>
                <w:sz w:val="18"/>
              </w:rPr>
              <w:t>Drift detection, performance monitoring, and alerting processes</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5E9AEA3A" w14:textId="77777777" w:rsidR="00EB3918" w:rsidRDefault="00000000">
            <w:pPr>
              <w:spacing w:before="60" w:after="60"/>
              <w:ind w:left="101" w:right="58"/>
            </w:pPr>
            <w:r>
              <w:rPr>
                <w:rFonts w:ascii="Calibri" w:hAnsi="Calibri"/>
                <w:b/>
                <w:color w:val="856004"/>
                <w:sz w:val="18"/>
              </w:rPr>
              <w:t>Outstanding</w:t>
            </w:r>
          </w:p>
        </w:tc>
      </w:tr>
      <w:tr w:rsidR="00EB3918" w14:paraId="439F6298"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63E4F5A8" w14:textId="77777777" w:rsidR="00EB3918" w:rsidRDefault="00000000">
            <w:pPr>
              <w:spacing w:before="60" w:after="60"/>
              <w:ind w:left="101" w:right="58"/>
            </w:pPr>
            <w:r>
              <w:rPr>
                <w:rFonts w:ascii="Calibri" w:hAnsi="Calibri"/>
                <w:b/>
                <w:color w:val="1A335C"/>
                <w:sz w:val="18"/>
              </w:rPr>
              <w:t>Model Update Process</w:t>
            </w:r>
          </w:p>
        </w:tc>
        <w:tc>
          <w:tcPr>
            <w:tcW w:w="5760" w:type="dxa"/>
            <w:tcBorders>
              <w:top w:val="single" w:sz="4" w:space="0" w:color="B0C4D8"/>
              <w:left w:val="single" w:sz="4" w:space="0" w:color="B0C4D8"/>
              <w:bottom w:val="single" w:sz="4" w:space="0" w:color="B0C4D8"/>
              <w:right w:val="single" w:sz="4" w:space="0" w:color="B0C4D8"/>
            </w:tcBorders>
            <w:shd w:val="clear" w:color="auto" w:fill="FAFCFF"/>
          </w:tcPr>
          <w:p w14:paraId="61B10FA9" w14:textId="77777777" w:rsidR="00EB3918" w:rsidRDefault="00000000">
            <w:pPr>
              <w:spacing w:before="60" w:after="60"/>
              <w:ind w:left="101" w:right="58"/>
            </w:pPr>
            <w:r>
              <w:rPr>
                <w:rFonts w:ascii="Calibri" w:hAnsi="Calibri"/>
                <w:color w:val="1A1A1A"/>
                <w:sz w:val="18"/>
              </w:rPr>
              <w:t>How model changes are managed, tested, and communicated to deployers</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60B2BA3B" w14:textId="77777777" w:rsidR="00EB3918" w:rsidRDefault="00000000">
            <w:pPr>
              <w:spacing w:before="60" w:after="60"/>
              <w:ind w:left="101" w:right="58"/>
            </w:pPr>
            <w:r>
              <w:rPr>
                <w:rFonts w:ascii="Calibri" w:hAnsi="Calibri"/>
                <w:b/>
                <w:color w:val="856004"/>
                <w:sz w:val="18"/>
              </w:rPr>
              <w:t>Outstanding</w:t>
            </w:r>
          </w:p>
        </w:tc>
      </w:tr>
      <w:tr w:rsidR="00EB3918" w14:paraId="57CB0D16"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5496300B" w14:textId="77777777" w:rsidR="00EB3918" w:rsidRDefault="00000000">
            <w:pPr>
              <w:spacing w:before="60" w:after="60"/>
              <w:ind w:left="101" w:right="58"/>
            </w:pPr>
            <w:r>
              <w:rPr>
                <w:rFonts w:ascii="Calibri" w:hAnsi="Calibri"/>
                <w:b/>
                <w:color w:val="1A335C"/>
                <w:sz w:val="18"/>
              </w:rPr>
              <w:t>Incident Notification Procedure</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Pr>
          <w:p w14:paraId="20BDF322" w14:textId="77777777" w:rsidR="00EB3918" w:rsidRDefault="00000000">
            <w:pPr>
              <w:spacing w:before="60" w:after="60"/>
              <w:ind w:left="101" w:right="58"/>
            </w:pPr>
            <w:r>
              <w:rPr>
                <w:rFonts w:ascii="Calibri" w:hAnsi="Calibri"/>
                <w:color w:val="1A1A1A"/>
                <w:sz w:val="18"/>
              </w:rPr>
              <w:t>Timelines, contacts, and escalation process for security or model incidents</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322530BA" w14:textId="77777777" w:rsidR="00EB3918" w:rsidRDefault="00000000">
            <w:pPr>
              <w:spacing w:before="60" w:after="60"/>
              <w:ind w:left="101" w:right="58"/>
            </w:pPr>
            <w:r>
              <w:rPr>
                <w:rFonts w:ascii="Calibri" w:hAnsi="Calibri"/>
                <w:b/>
                <w:color w:val="856004"/>
                <w:sz w:val="18"/>
              </w:rPr>
              <w:t>Outstanding</w:t>
            </w:r>
          </w:p>
        </w:tc>
      </w:tr>
      <w:tr w:rsidR="00EB3918" w14:paraId="7AFC5AF0"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23C1E3B4" w14:textId="77777777" w:rsidR="00EB3918" w:rsidRDefault="00000000">
            <w:pPr>
              <w:spacing w:before="60" w:after="60"/>
              <w:ind w:left="101" w:right="58"/>
            </w:pPr>
            <w:r>
              <w:rPr>
                <w:rFonts w:ascii="Calibri" w:hAnsi="Calibri"/>
                <w:b/>
                <w:color w:val="1A335C"/>
                <w:sz w:val="18"/>
              </w:rPr>
              <w:t>Security Documentation</w:t>
            </w:r>
          </w:p>
        </w:tc>
        <w:tc>
          <w:tcPr>
            <w:tcW w:w="5760" w:type="dxa"/>
            <w:tcBorders>
              <w:top w:val="single" w:sz="4" w:space="0" w:color="B0C4D8"/>
              <w:left w:val="single" w:sz="4" w:space="0" w:color="B0C4D8"/>
              <w:bottom w:val="single" w:sz="4" w:space="0" w:color="B0C4D8"/>
              <w:right w:val="single" w:sz="4" w:space="0" w:color="B0C4D8"/>
            </w:tcBorders>
            <w:shd w:val="clear" w:color="auto" w:fill="FAFCFF"/>
          </w:tcPr>
          <w:p w14:paraId="60493AA5" w14:textId="77777777" w:rsidR="00EB3918" w:rsidRDefault="00000000">
            <w:pPr>
              <w:spacing w:before="60" w:after="60"/>
              <w:ind w:left="101" w:right="58"/>
            </w:pPr>
            <w:r>
              <w:rPr>
                <w:rFonts w:ascii="Calibri" w:hAnsi="Calibri"/>
                <w:color w:val="1A1A1A"/>
                <w:sz w:val="18"/>
              </w:rPr>
              <w:t>API security controls, encryption, access management, and audit logging</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745BA601" w14:textId="77777777" w:rsidR="00EB3918" w:rsidRDefault="00000000">
            <w:pPr>
              <w:spacing w:before="60" w:after="60"/>
              <w:ind w:left="101" w:right="58"/>
            </w:pPr>
            <w:r>
              <w:rPr>
                <w:rFonts w:ascii="Calibri" w:hAnsi="Calibri"/>
                <w:b/>
                <w:color w:val="856004"/>
                <w:sz w:val="18"/>
              </w:rPr>
              <w:t>Outstanding</w:t>
            </w:r>
          </w:p>
        </w:tc>
      </w:tr>
      <w:tr w:rsidR="00EB3918" w14:paraId="24A8D1FA"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3E399CA7" w14:textId="77777777" w:rsidR="00EB3918" w:rsidRDefault="00000000">
            <w:pPr>
              <w:spacing w:before="60" w:after="60"/>
              <w:ind w:left="101" w:right="58"/>
            </w:pPr>
            <w:r>
              <w:rPr>
                <w:rFonts w:ascii="Calibri" w:hAnsi="Calibri"/>
                <w:b/>
                <w:color w:val="1A335C"/>
                <w:sz w:val="18"/>
              </w:rPr>
              <w:t>Privacy and Data Processing Docs</w:t>
            </w:r>
          </w:p>
        </w:tc>
        <w:tc>
          <w:tcPr>
            <w:tcW w:w="5760" w:type="dxa"/>
            <w:tcBorders>
              <w:top w:val="single" w:sz="4" w:space="0" w:color="B0C4D8"/>
              <w:left w:val="single" w:sz="4" w:space="0" w:color="B0C4D8"/>
              <w:bottom w:val="single" w:sz="4" w:space="0" w:color="B0C4D8"/>
              <w:right w:val="single" w:sz="4" w:space="0" w:color="B0C4D8"/>
            </w:tcBorders>
            <w:shd w:val="clear" w:color="auto" w:fill="FFFFFF"/>
          </w:tcPr>
          <w:p w14:paraId="433B890F" w14:textId="77777777" w:rsidR="00EB3918" w:rsidRDefault="00000000">
            <w:pPr>
              <w:spacing w:before="60" w:after="60"/>
              <w:ind w:left="101" w:right="58"/>
            </w:pPr>
            <w:r>
              <w:rPr>
                <w:rFonts w:ascii="Calibri" w:hAnsi="Calibri"/>
                <w:color w:val="1A1A1A"/>
                <w:sz w:val="18"/>
              </w:rPr>
              <w:t>Data processing terms, retention, deletion, and secondary use restrictions</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5E05EED9" w14:textId="77777777" w:rsidR="00EB3918" w:rsidRDefault="00000000">
            <w:pPr>
              <w:spacing w:before="60" w:after="60"/>
              <w:ind w:left="101" w:right="58"/>
            </w:pPr>
            <w:r>
              <w:rPr>
                <w:rFonts w:ascii="Calibri" w:hAnsi="Calibri"/>
                <w:b/>
                <w:color w:val="856004"/>
                <w:sz w:val="18"/>
              </w:rPr>
              <w:t>Outstanding</w:t>
            </w:r>
          </w:p>
        </w:tc>
      </w:tr>
      <w:tr w:rsidR="00EB3918" w14:paraId="189FB9B6"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B8C20CF" w14:textId="77777777" w:rsidR="00EB3918" w:rsidRDefault="00000000">
            <w:pPr>
              <w:spacing w:before="60" w:after="60"/>
              <w:ind w:left="101" w:right="58"/>
            </w:pPr>
            <w:r>
              <w:rPr>
                <w:rFonts w:ascii="Calibri" w:hAnsi="Calibri"/>
                <w:b/>
                <w:color w:val="1A335C"/>
                <w:sz w:val="18"/>
              </w:rPr>
              <w:t>Audit Support Commitments</w:t>
            </w:r>
          </w:p>
        </w:tc>
        <w:tc>
          <w:tcPr>
            <w:tcW w:w="5760" w:type="dxa"/>
            <w:tcBorders>
              <w:top w:val="single" w:sz="4" w:space="0" w:color="B0C4D8"/>
              <w:left w:val="single" w:sz="4" w:space="0" w:color="B0C4D8"/>
              <w:bottom w:val="single" w:sz="4" w:space="0" w:color="B0C4D8"/>
              <w:right w:val="single" w:sz="4" w:space="0" w:color="B0C4D8"/>
            </w:tcBorders>
            <w:shd w:val="clear" w:color="auto" w:fill="FAFCFF"/>
          </w:tcPr>
          <w:p w14:paraId="49D39FDB" w14:textId="77777777" w:rsidR="00EB3918" w:rsidRDefault="00000000">
            <w:pPr>
              <w:spacing w:before="60" w:after="60"/>
              <w:ind w:left="101" w:right="58"/>
            </w:pPr>
            <w:r>
              <w:rPr>
                <w:rFonts w:ascii="Calibri" w:hAnsi="Calibri"/>
                <w:color w:val="1A1A1A"/>
                <w:sz w:val="18"/>
              </w:rPr>
              <w:t>Vendor obligations to support Meridian audits and regulatory inquiries</w:t>
            </w:r>
          </w:p>
        </w:tc>
        <w:tc>
          <w:tcPr>
            <w:tcW w:w="2160" w:type="dxa"/>
            <w:tcBorders>
              <w:top w:val="single" w:sz="4" w:space="0" w:color="B0C4D8"/>
              <w:left w:val="single" w:sz="4" w:space="0" w:color="B0C4D8"/>
              <w:bottom w:val="single" w:sz="4" w:space="0" w:color="B0C4D8"/>
              <w:right w:val="single" w:sz="4" w:space="0" w:color="B0C4D8"/>
            </w:tcBorders>
            <w:shd w:val="clear" w:color="auto" w:fill="FFF9E6"/>
          </w:tcPr>
          <w:p w14:paraId="56A87BBC" w14:textId="77777777" w:rsidR="00EB3918" w:rsidRDefault="00000000">
            <w:pPr>
              <w:spacing w:before="60" w:after="60"/>
              <w:ind w:left="101" w:right="58"/>
            </w:pPr>
            <w:r>
              <w:rPr>
                <w:rFonts w:ascii="Calibri" w:hAnsi="Calibri"/>
                <w:b/>
                <w:color w:val="856004"/>
                <w:sz w:val="18"/>
              </w:rPr>
              <w:t>Outstanding</w:t>
            </w:r>
          </w:p>
        </w:tc>
      </w:tr>
    </w:tbl>
    <w:p w14:paraId="42A4297F" w14:textId="77777777" w:rsidR="00EB3918" w:rsidRDefault="00EB3918">
      <w:pPr>
        <w:spacing w:after="160"/>
      </w:pPr>
    </w:p>
    <w:p w14:paraId="2ED8D7B0" w14:textId="77777777" w:rsidR="00EB3918" w:rsidRDefault="00000000">
      <w:pPr>
        <w:shd w:val="clear" w:color="auto" w:fill="1A335C"/>
        <w:spacing w:before="280" w:after="100"/>
      </w:pPr>
      <w:r>
        <w:rPr>
          <w:rFonts w:ascii="Calibri" w:hAnsi="Calibri"/>
          <w:b/>
          <w:color w:val="FFFFFF"/>
          <w:sz w:val="24"/>
        </w:rPr>
        <w:t xml:space="preserve">  12.  REQUIRED VENDOR OBLIGATIONS</w:t>
      </w:r>
    </w:p>
    <w:p w14:paraId="4FD739A7" w14:textId="48376138" w:rsidR="00EB3918" w:rsidRDefault="00000000">
      <w:pPr>
        <w:spacing w:before="80" w:after="80"/>
      </w:pPr>
      <w:r>
        <w:rPr>
          <w:rFonts w:ascii="Calibri" w:hAnsi="Calibri"/>
          <w:color w:val="1A1A1A"/>
          <w:sz w:val="20"/>
        </w:rPr>
        <w:t>The vendor agreement must include contractual obligations for the following areas. Meridian must not rely solely on vendor claims key controls and outputs must be independently reviewed by AI governance, compliance, model risk, and security teams.</w:t>
      </w:r>
    </w:p>
    <w:tbl>
      <w:tblPr>
        <w:tblStyle w:val="TableGrid"/>
        <w:tblW w:w="0" w:type="auto"/>
        <w:tblLook w:val="04A0" w:firstRow="1" w:lastRow="0" w:firstColumn="1" w:lastColumn="0" w:noHBand="0" w:noVBand="1"/>
      </w:tblPr>
      <w:tblGrid>
        <w:gridCol w:w="2820"/>
        <w:gridCol w:w="7044"/>
      </w:tblGrid>
      <w:tr w:rsidR="00EB3918" w14:paraId="29B8F216" w14:textId="77777777">
        <w:tc>
          <w:tcPr>
            <w:tcW w:w="3024" w:type="dxa"/>
            <w:tcBorders>
              <w:top w:val="single" w:sz="6" w:space="0" w:color="FFFFFF"/>
              <w:left w:val="single" w:sz="6" w:space="0" w:color="FFFFFF"/>
              <w:bottom w:val="single" w:sz="6" w:space="0" w:color="FFFFFF"/>
              <w:right w:val="single" w:sz="6" w:space="0" w:color="FFFFFF"/>
            </w:tcBorders>
            <w:shd w:val="clear" w:color="auto" w:fill="1A335C"/>
          </w:tcPr>
          <w:p w14:paraId="0ECB96C9" w14:textId="77777777" w:rsidR="00EB3918" w:rsidRDefault="00000000">
            <w:pPr>
              <w:spacing w:before="60" w:after="60"/>
              <w:ind w:left="101" w:right="58"/>
            </w:pPr>
            <w:r>
              <w:rPr>
                <w:rFonts w:ascii="Calibri" w:hAnsi="Calibri"/>
                <w:b/>
                <w:color w:val="FFFFFF"/>
                <w:sz w:val="18"/>
              </w:rPr>
              <w:t>Obligation Area</w:t>
            </w:r>
          </w:p>
        </w:tc>
        <w:tc>
          <w:tcPr>
            <w:tcW w:w="7920" w:type="dxa"/>
            <w:tcBorders>
              <w:top w:val="single" w:sz="6" w:space="0" w:color="FFFFFF"/>
              <w:left w:val="single" w:sz="6" w:space="0" w:color="FFFFFF"/>
              <w:bottom w:val="single" w:sz="6" w:space="0" w:color="FFFFFF"/>
              <w:right w:val="single" w:sz="6" w:space="0" w:color="FFFFFF"/>
            </w:tcBorders>
            <w:shd w:val="clear" w:color="auto" w:fill="1A335C"/>
          </w:tcPr>
          <w:p w14:paraId="33644BB3" w14:textId="77777777" w:rsidR="00EB3918" w:rsidRDefault="00000000">
            <w:pPr>
              <w:spacing w:before="60" w:after="60"/>
              <w:ind w:left="101" w:right="58"/>
            </w:pPr>
            <w:r>
              <w:rPr>
                <w:rFonts w:ascii="Calibri" w:hAnsi="Calibri"/>
                <w:b/>
                <w:color w:val="FFFFFF"/>
                <w:sz w:val="18"/>
              </w:rPr>
              <w:t>Requirement</w:t>
            </w:r>
          </w:p>
        </w:tc>
      </w:tr>
      <w:tr w:rsidR="00EB3918" w14:paraId="00C747C5"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372C0A96" w14:textId="77777777" w:rsidR="00EB3918" w:rsidRDefault="00000000">
            <w:pPr>
              <w:spacing w:before="60" w:after="60"/>
              <w:ind w:left="101" w:right="58"/>
            </w:pPr>
            <w:r>
              <w:rPr>
                <w:rFonts w:ascii="Calibri" w:hAnsi="Calibri"/>
                <w:b/>
                <w:color w:val="1A335C"/>
                <w:sz w:val="18"/>
              </w:rPr>
              <w:t>Documentation Access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F9EF91B" w14:textId="77777777" w:rsidR="00EB3918" w:rsidRDefault="00000000">
            <w:pPr>
              <w:spacing w:before="60" w:after="60"/>
              <w:ind w:left="101" w:right="58"/>
            </w:pPr>
            <w:r>
              <w:rPr>
                <w:rFonts w:ascii="Calibri" w:hAnsi="Calibri"/>
                <w:color w:val="1A1A1A"/>
                <w:sz w:val="18"/>
              </w:rPr>
              <w:t xml:space="preserve">Right to receive and review model documentation, validation evidence, and fairness </w:t>
            </w:r>
            <w:r>
              <w:rPr>
                <w:rFonts w:ascii="Calibri" w:hAnsi="Calibri"/>
                <w:color w:val="1A1A1A"/>
                <w:sz w:val="18"/>
              </w:rPr>
              <w:lastRenderedPageBreak/>
              <w:t>testing results</w:t>
            </w:r>
          </w:p>
        </w:tc>
      </w:tr>
      <w:tr w:rsidR="00EB3918" w14:paraId="5896C95C"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8190490" w14:textId="77777777" w:rsidR="00EB3918" w:rsidRDefault="00000000">
            <w:pPr>
              <w:spacing w:before="60" w:after="60"/>
              <w:ind w:left="101" w:right="58"/>
            </w:pPr>
            <w:r>
              <w:rPr>
                <w:rFonts w:ascii="Calibri" w:hAnsi="Calibri"/>
                <w:b/>
                <w:color w:val="1A335C"/>
                <w:sz w:val="18"/>
              </w:rPr>
              <w:lastRenderedPageBreak/>
              <w:t>Validation Evidence</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72D10AC3" w14:textId="77777777" w:rsidR="00EB3918" w:rsidRDefault="00000000">
            <w:pPr>
              <w:spacing w:before="60" w:after="60"/>
              <w:ind w:left="101" w:right="58"/>
            </w:pPr>
            <w:r>
              <w:rPr>
                <w:rFonts w:ascii="Calibri" w:hAnsi="Calibri"/>
                <w:color w:val="1A1A1A"/>
                <w:sz w:val="18"/>
              </w:rPr>
              <w:t>Obligation to provide model performance and validation results on request</w:t>
            </w:r>
          </w:p>
        </w:tc>
      </w:tr>
      <w:tr w:rsidR="00EB3918" w14:paraId="5E3D94DA"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BB7A544" w14:textId="77777777" w:rsidR="00EB3918" w:rsidRDefault="00000000">
            <w:pPr>
              <w:spacing w:before="60" w:after="60"/>
              <w:ind w:left="101" w:right="58"/>
            </w:pPr>
            <w:r>
              <w:rPr>
                <w:rFonts w:ascii="Calibri" w:hAnsi="Calibri"/>
                <w:b/>
                <w:color w:val="1A335C"/>
                <w:sz w:val="18"/>
              </w:rPr>
              <w:t>Fairness Testing Support</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3F4BE92F" w14:textId="77777777" w:rsidR="00EB3918" w:rsidRDefault="00000000">
            <w:pPr>
              <w:spacing w:before="60" w:after="60"/>
              <w:ind w:left="101" w:right="58"/>
            </w:pPr>
            <w:r>
              <w:rPr>
                <w:rFonts w:ascii="Calibri" w:hAnsi="Calibri"/>
                <w:color w:val="1A1A1A"/>
                <w:sz w:val="18"/>
              </w:rPr>
              <w:t>Obligation to provide disparate impact analysis and bias mitigation evidence</w:t>
            </w:r>
          </w:p>
        </w:tc>
      </w:tr>
      <w:tr w:rsidR="00EB3918" w14:paraId="46837AD9"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B8454CB" w14:textId="77777777" w:rsidR="00EB3918" w:rsidRDefault="00000000">
            <w:pPr>
              <w:spacing w:before="60" w:after="60"/>
              <w:ind w:left="101" w:right="58"/>
            </w:pPr>
            <w:r>
              <w:rPr>
                <w:rFonts w:ascii="Calibri" w:hAnsi="Calibri"/>
                <w:b/>
                <w:color w:val="1A335C"/>
                <w:sz w:val="18"/>
              </w:rPr>
              <w:t>Reason Code Transparency</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EB5FBA4" w14:textId="77777777" w:rsidR="00EB3918" w:rsidRDefault="00000000">
            <w:pPr>
              <w:spacing w:before="60" w:after="60"/>
              <w:ind w:left="101" w:right="58"/>
            </w:pPr>
            <w:r>
              <w:rPr>
                <w:rFonts w:ascii="Calibri" w:hAnsi="Calibri"/>
                <w:color w:val="1A1A1A"/>
                <w:sz w:val="18"/>
              </w:rPr>
              <w:t>Obligation to explain and validate denial reason code methodology</w:t>
            </w:r>
          </w:p>
        </w:tc>
      </w:tr>
      <w:tr w:rsidR="00EB3918" w14:paraId="339786DA"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3D0CC07B" w14:textId="77777777" w:rsidR="00EB3918" w:rsidRDefault="00000000">
            <w:pPr>
              <w:spacing w:before="60" w:after="60"/>
              <w:ind w:left="101" w:right="58"/>
            </w:pPr>
            <w:r>
              <w:rPr>
                <w:rFonts w:ascii="Calibri" w:hAnsi="Calibri"/>
                <w:b/>
                <w:color w:val="1A335C"/>
                <w:sz w:val="18"/>
              </w:rPr>
              <w:t>Model Update Notification</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2D410CDF" w14:textId="77777777" w:rsidR="00EB3918" w:rsidRDefault="00000000">
            <w:pPr>
              <w:spacing w:before="60" w:after="60"/>
              <w:ind w:left="101" w:right="58"/>
            </w:pPr>
            <w:r>
              <w:rPr>
                <w:rFonts w:ascii="Calibri" w:hAnsi="Calibri"/>
                <w:color w:val="1A1A1A"/>
                <w:sz w:val="18"/>
              </w:rPr>
              <w:t>Advance notice of material model changes before promotion to production</w:t>
            </w:r>
          </w:p>
        </w:tc>
      </w:tr>
      <w:tr w:rsidR="00EB3918" w14:paraId="210AF980"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571D29BE" w14:textId="77777777" w:rsidR="00EB3918" w:rsidRDefault="00000000">
            <w:pPr>
              <w:spacing w:before="60" w:after="60"/>
              <w:ind w:left="101" w:right="58"/>
            </w:pPr>
            <w:r>
              <w:rPr>
                <w:rFonts w:ascii="Calibri" w:hAnsi="Calibri"/>
                <w:b/>
                <w:color w:val="1A335C"/>
                <w:sz w:val="18"/>
              </w:rPr>
              <w:t>Material Change Review</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4D741FB" w14:textId="77777777" w:rsidR="00EB3918" w:rsidRDefault="00000000">
            <w:pPr>
              <w:spacing w:before="60" w:after="60"/>
              <w:ind w:left="101" w:right="58"/>
            </w:pPr>
            <w:r>
              <w:rPr>
                <w:rFonts w:ascii="Calibri" w:hAnsi="Calibri"/>
                <w:color w:val="1A1A1A"/>
                <w:sz w:val="18"/>
              </w:rPr>
              <w:t>Meridian right to review and approve material changes before deployment</w:t>
            </w:r>
          </w:p>
        </w:tc>
      </w:tr>
      <w:tr w:rsidR="00EB3918" w14:paraId="5C7467F0"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3D1269A2" w14:textId="77777777" w:rsidR="00EB3918" w:rsidRDefault="00000000">
            <w:pPr>
              <w:spacing w:before="60" w:after="60"/>
              <w:ind w:left="101" w:right="58"/>
            </w:pPr>
            <w:r>
              <w:rPr>
                <w:rFonts w:ascii="Calibri" w:hAnsi="Calibri"/>
                <w:b/>
                <w:color w:val="1A335C"/>
                <w:sz w:val="18"/>
              </w:rPr>
              <w:t>Incident Notification</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066B464B" w14:textId="77777777" w:rsidR="00EB3918" w:rsidRDefault="00000000">
            <w:pPr>
              <w:spacing w:before="60" w:after="60"/>
              <w:ind w:left="101" w:right="58"/>
            </w:pPr>
            <w:r>
              <w:rPr>
                <w:rFonts w:ascii="Calibri" w:hAnsi="Calibri"/>
                <w:color w:val="1A1A1A"/>
                <w:sz w:val="18"/>
              </w:rPr>
              <w:t>Defined timelines and procedures for notifying Meridian of security or model incidents</w:t>
            </w:r>
          </w:p>
        </w:tc>
      </w:tr>
      <w:tr w:rsidR="00EB3918" w14:paraId="62992627"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8C440F8" w14:textId="77777777" w:rsidR="00EB3918" w:rsidRDefault="00000000">
            <w:pPr>
              <w:spacing w:before="60" w:after="60"/>
              <w:ind w:left="101" w:right="58"/>
            </w:pPr>
            <w:r>
              <w:rPr>
                <w:rFonts w:ascii="Calibri" w:hAnsi="Calibri"/>
                <w:b/>
                <w:color w:val="1A335C"/>
                <w:sz w:val="18"/>
              </w:rPr>
              <w:t>Security Requirements</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BFD61AF" w14:textId="77777777" w:rsidR="00EB3918" w:rsidRDefault="00000000">
            <w:pPr>
              <w:spacing w:before="60" w:after="60"/>
              <w:ind w:left="101" w:right="58"/>
            </w:pPr>
            <w:r>
              <w:rPr>
                <w:rFonts w:ascii="Calibri" w:hAnsi="Calibri"/>
                <w:color w:val="1A1A1A"/>
                <w:sz w:val="18"/>
              </w:rPr>
              <w:t>Contractual security standards for API, data transmission, and access controls</w:t>
            </w:r>
          </w:p>
        </w:tc>
      </w:tr>
      <w:tr w:rsidR="00EB3918" w14:paraId="053BEB50"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28598D1F" w14:textId="77777777" w:rsidR="00EB3918" w:rsidRDefault="00000000">
            <w:pPr>
              <w:spacing w:before="60" w:after="60"/>
              <w:ind w:left="101" w:right="58"/>
            </w:pPr>
            <w:r>
              <w:rPr>
                <w:rFonts w:ascii="Calibri" w:hAnsi="Calibri"/>
                <w:b/>
                <w:color w:val="1A335C"/>
                <w:sz w:val="18"/>
              </w:rPr>
              <w:t>Data Protection</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0E87A7C5" w14:textId="77777777" w:rsidR="00EB3918" w:rsidRDefault="00000000">
            <w:pPr>
              <w:spacing w:before="60" w:after="60"/>
              <w:ind w:left="101" w:right="58"/>
            </w:pPr>
            <w:r>
              <w:rPr>
                <w:rFonts w:ascii="Calibri" w:hAnsi="Calibri"/>
                <w:color w:val="1A1A1A"/>
                <w:sz w:val="18"/>
              </w:rPr>
              <w:t>Restrictions on data retention, secondary use, and vendor model training use</w:t>
            </w:r>
          </w:p>
        </w:tc>
      </w:tr>
      <w:tr w:rsidR="00EB3918" w14:paraId="737CAB7B"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66BF1F1F" w14:textId="77777777" w:rsidR="00EB3918" w:rsidRDefault="00000000">
            <w:pPr>
              <w:spacing w:before="60" w:after="60"/>
              <w:ind w:left="101" w:right="58"/>
            </w:pPr>
            <w:r>
              <w:rPr>
                <w:rFonts w:ascii="Calibri" w:hAnsi="Calibri"/>
                <w:b/>
                <w:color w:val="1A335C"/>
                <w:sz w:val="18"/>
              </w:rPr>
              <w:t>Audit Support</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4D19D7E8" w14:textId="77777777" w:rsidR="00EB3918" w:rsidRDefault="00000000">
            <w:pPr>
              <w:spacing w:before="60" w:after="60"/>
              <w:ind w:left="101" w:right="58"/>
            </w:pPr>
            <w:r>
              <w:rPr>
                <w:rFonts w:ascii="Calibri" w:hAnsi="Calibri"/>
                <w:color w:val="1A1A1A"/>
                <w:sz w:val="18"/>
              </w:rPr>
              <w:t>Obligation to support Meridian audits and regulatory or supervisory inquiries</w:t>
            </w:r>
          </w:p>
        </w:tc>
      </w:tr>
      <w:tr w:rsidR="00EB3918" w14:paraId="38890C4E" w14:textId="77777777">
        <w:tc>
          <w:tcPr>
            <w:tcW w:w="3024" w:type="dxa"/>
            <w:tcBorders>
              <w:top w:val="single" w:sz="4" w:space="0" w:color="B0C4D8"/>
              <w:left w:val="single" w:sz="4" w:space="0" w:color="B0C4D8"/>
              <w:bottom w:val="single" w:sz="4" w:space="0" w:color="B0C4D8"/>
              <w:right w:val="single" w:sz="4" w:space="0" w:color="B0C4D8"/>
            </w:tcBorders>
            <w:shd w:val="clear" w:color="auto" w:fill="D6E4F0"/>
          </w:tcPr>
          <w:p w14:paraId="10CB8379" w14:textId="77777777" w:rsidR="00EB3918" w:rsidRDefault="00000000">
            <w:pPr>
              <w:spacing w:before="60" w:after="60"/>
              <w:ind w:left="101" w:right="58"/>
            </w:pPr>
            <w:r>
              <w:rPr>
                <w:rFonts w:ascii="Calibri" w:hAnsi="Calibri"/>
                <w:b/>
                <w:color w:val="1A335C"/>
                <w:sz w:val="18"/>
              </w:rPr>
              <w:t>Service-Level Commitments</w:t>
            </w:r>
          </w:p>
        </w:tc>
        <w:tc>
          <w:tcPr>
            <w:tcW w:w="7920" w:type="dxa"/>
            <w:tcBorders>
              <w:top w:val="single" w:sz="4" w:space="0" w:color="B0C4D8"/>
              <w:left w:val="single" w:sz="4" w:space="0" w:color="B0C4D8"/>
              <w:bottom w:val="single" w:sz="4" w:space="0" w:color="B0C4D8"/>
              <w:right w:val="single" w:sz="4" w:space="0" w:color="B0C4D8"/>
            </w:tcBorders>
            <w:shd w:val="clear" w:color="auto" w:fill="FFFFFF"/>
          </w:tcPr>
          <w:p w14:paraId="6A7F811C" w14:textId="77777777" w:rsidR="00EB3918" w:rsidRDefault="00000000">
            <w:pPr>
              <w:spacing w:before="60" w:after="60"/>
              <w:ind w:left="101" w:right="58"/>
            </w:pPr>
            <w:r>
              <w:rPr>
                <w:rFonts w:ascii="Calibri" w:hAnsi="Calibri"/>
                <w:color w:val="1A1A1A"/>
                <w:sz w:val="18"/>
              </w:rPr>
              <w:t>API availability, response time, and support commitments</w:t>
            </w:r>
          </w:p>
        </w:tc>
      </w:tr>
      <w:tr w:rsidR="00EB3918" w14:paraId="29C4B02A" w14:textId="77777777">
        <w:tc>
          <w:tcPr>
            <w:tcW w:w="3024" w:type="dxa"/>
            <w:tcBorders>
              <w:top w:val="single" w:sz="4" w:space="0" w:color="B0C4D8"/>
              <w:left w:val="single" w:sz="4" w:space="0" w:color="B0C4D8"/>
              <w:bottom w:val="single" w:sz="4" w:space="0" w:color="B0C4D8"/>
              <w:right w:val="single" w:sz="4" w:space="0" w:color="B0C4D8"/>
            </w:tcBorders>
            <w:shd w:val="clear" w:color="auto" w:fill="E4EEF8"/>
          </w:tcPr>
          <w:p w14:paraId="7CA9CCD9" w14:textId="77777777" w:rsidR="00EB3918" w:rsidRDefault="00000000">
            <w:pPr>
              <w:spacing w:before="60" w:after="60"/>
              <w:ind w:left="101" w:right="58"/>
            </w:pPr>
            <w:r>
              <w:rPr>
                <w:rFonts w:ascii="Calibri" w:hAnsi="Calibri"/>
                <w:b/>
                <w:color w:val="1A335C"/>
                <w:sz w:val="18"/>
              </w:rPr>
              <w:t>Unauthorized Data Reuse</w:t>
            </w:r>
          </w:p>
        </w:tc>
        <w:tc>
          <w:tcPr>
            <w:tcW w:w="7920" w:type="dxa"/>
            <w:tcBorders>
              <w:top w:val="single" w:sz="4" w:space="0" w:color="B0C4D8"/>
              <w:left w:val="single" w:sz="4" w:space="0" w:color="B0C4D8"/>
              <w:bottom w:val="single" w:sz="4" w:space="0" w:color="B0C4D8"/>
              <w:right w:val="single" w:sz="4" w:space="0" w:color="B0C4D8"/>
            </w:tcBorders>
            <w:shd w:val="clear" w:color="auto" w:fill="FAFCFF"/>
          </w:tcPr>
          <w:p w14:paraId="192489BC" w14:textId="77777777" w:rsidR="00EB3918" w:rsidRDefault="00000000">
            <w:pPr>
              <w:spacing w:before="60" w:after="60"/>
              <w:ind w:left="101" w:right="58"/>
            </w:pPr>
            <w:r>
              <w:rPr>
                <w:rFonts w:ascii="Calibri" w:hAnsi="Calibri"/>
                <w:color w:val="1A1A1A"/>
                <w:sz w:val="18"/>
              </w:rPr>
              <w:t>Explicit prohibition on using Meridian data for vendor model training without approval</w:t>
            </w:r>
          </w:p>
        </w:tc>
      </w:tr>
    </w:tbl>
    <w:p w14:paraId="79A6FDF1" w14:textId="77777777" w:rsidR="00EB3918" w:rsidRDefault="00EB3918">
      <w:pPr>
        <w:spacing w:after="160"/>
      </w:pPr>
    </w:p>
    <w:p w14:paraId="1668F9B8" w14:textId="77777777" w:rsidR="00EB3918" w:rsidRDefault="00000000">
      <w:pPr>
        <w:shd w:val="clear" w:color="auto" w:fill="1A335C"/>
        <w:spacing w:before="280" w:after="100"/>
      </w:pPr>
      <w:r>
        <w:rPr>
          <w:rFonts w:ascii="Calibri" w:hAnsi="Calibri"/>
          <w:b/>
          <w:color w:val="FFFFFF"/>
          <w:sz w:val="24"/>
        </w:rPr>
        <w:t xml:space="preserve">  13.  MODEL CHANGE MANAGEMENT REQUIREMENTS</w:t>
      </w:r>
    </w:p>
    <w:p w14:paraId="5440C25D" w14:textId="77777777" w:rsidR="00EB3918" w:rsidRDefault="00000000">
      <w:pPr>
        <w:spacing w:before="80" w:after="80"/>
      </w:pPr>
      <w:r>
        <w:rPr>
          <w:rFonts w:ascii="Calibri" w:hAnsi="Calibri"/>
          <w:color w:val="1A1A1A"/>
          <w:sz w:val="20"/>
        </w:rPr>
        <w:t>CrediSure AI must notify Meridian before any material change that could affect the following model behaviors or outputs. No material model change may be promoted into production without review and approval by the designated Meridian reviewers.</w:t>
      </w:r>
    </w:p>
    <w:p w14:paraId="536D3E4E" w14:textId="77777777" w:rsidR="00EB3918" w:rsidRDefault="00000000">
      <w:pPr>
        <w:pBdr>
          <w:bottom w:val="single" w:sz="8" w:space="1" w:color="1F5C99"/>
        </w:pBdr>
        <w:spacing w:before="160" w:after="60"/>
      </w:pPr>
      <w:r>
        <w:rPr>
          <w:rFonts w:ascii="Calibri" w:hAnsi="Calibri"/>
          <w:b/>
          <w:color w:val="1F5C99"/>
        </w:rPr>
        <w:t>Notification Triggers — Material Changes Requiring Advance Notice</w:t>
      </w:r>
    </w:p>
    <w:p w14:paraId="20FC0BFB" w14:textId="77777777" w:rsidR="00EB3918" w:rsidRDefault="00000000">
      <w:pPr>
        <w:pStyle w:val="ListBullet"/>
        <w:spacing w:before="20" w:after="20"/>
      </w:pPr>
      <w:r>
        <w:rPr>
          <w:rFonts w:ascii="Calibri" w:hAnsi="Calibri"/>
          <w:color w:val="1A1A1A"/>
          <w:sz w:val="20"/>
        </w:rPr>
        <w:t>Model scoring logic or risk threshold changes</w:t>
      </w:r>
    </w:p>
    <w:p w14:paraId="00646744" w14:textId="77777777" w:rsidR="00EB3918" w:rsidRDefault="00000000">
      <w:pPr>
        <w:pStyle w:val="ListBullet"/>
        <w:spacing w:before="20" w:after="20"/>
      </w:pPr>
      <w:r>
        <w:rPr>
          <w:rFonts w:ascii="Calibri" w:hAnsi="Calibri"/>
          <w:color w:val="1A1A1A"/>
          <w:sz w:val="20"/>
        </w:rPr>
        <w:t>Approval rate, denial rate, or manual review rate changes</w:t>
      </w:r>
    </w:p>
    <w:p w14:paraId="26DA4F55" w14:textId="77777777" w:rsidR="00EB3918" w:rsidRDefault="00000000">
      <w:pPr>
        <w:pStyle w:val="ListBullet"/>
        <w:spacing w:before="20" w:after="20"/>
      </w:pPr>
      <w:r>
        <w:rPr>
          <w:rFonts w:ascii="Calibri" w:hAnsi="Calibri"/>
          <w:color w:val="1A1A1A"/>
          <w:sz w:val="20"/>
        </w:rPr>
        <w:t>Reason code behavior or mapping changes</w:t>
      </w:r>
    </w:p>
    <w:p w14:paraId="20222921" w14:textId="77777777" w:rsidR="00EB3918" w:rsidRDefault="00000000">
      <w:pPr>
        <w:pStyle w:val="ListBullet"/>
        <w:spacing w:before="20" w:after="20"/>
      </w:pPr>
      <w:r>
        <w:rPr>
          <w:rFonts w:ascii="Calibri" w:hAnsi="Calibri"/>
          <w:color w:val="1A1A1A"/>
          <w:sz w:val="20"/>
        </w:rPr>
        <w:t>Fairness outcomes or segment-level performance changes</w:t>
      </w:r>
    </w:p>
    <w:p w14:paraId="59909028" w14:textId="77777777" w:rsidR="00EB3918" w:rsidRDefault="00000000">
      <w:pPr>
        <w:pStyle w:val="ListBullet"/>
        <w:spacing w:before="20" w:after="20"/>
      </w:pPr>
      <w:r>
        <w:rPr>
          <w:rFonts w:ascii="Calibri" w:hAnsi="Calibri"/>
          <w:color w:val="1A1A1A"/>
          <w:sz w:val="20"/>
        </w:rPr>
        <w:t>Model confidence score distribution changes</w:t>
      </w:r>
    </w:p>
    <w:p w14:paraId="19F73F14" w14:textId="77777777" w:rsidR="00EB3918" w:rsidRDefault="00000000">
      <w:pPr>
        <w:pStyle w:val="ListBullet"/>
        <w:spacing w:before="20" w:after="20"/>
      </w:pPr>
      <w:r>
        <w:rPr>
          <w:rFonts w:ascii="Calibri" w:hAnsi="Calibri"/>
          <w:color w:val="1A1A1A"/>
          <w:sz w:val="20"/>
        </w:rPr>
        <w:t>API behavior, input schema, or output format changes</w:t>
      </w:r>
    </w:p>
    <w:p w14:paraId="3D3B8F00" w14:textId="77777777" w:rsidR="00EB3918" w:rsidRDefault="00000000">
      <w:pPr>
        <w:pStyle w:val="ListBullet"/>
        <w:spacing w:before="20" w:after="20"/>
      </w:pPr>
      <w:r>
        <w:rPr>
          <w:rFonts w:ascii="Calibri" w:hAnsi="Calibri"/>
          <w:color w:val="1A1A1A"/>
          <w:sz w:val="20"/>
        </w:rPr>
        <w:t>Data processing practices or retention policy changes</w:t>
      </w:r>
    </w:p>
    <w:p w14:paraId="30E9B756" w14:textId="77777777" w:rsidR="00EB3918" w:rsidRDefault="00000000">
      <w:pPr>
        <w:pStyle w:val="ListBullet"/>
        <w:spacing w:before="20" w:after="20"/>
      </w:pPr>
      <w:r>
        <w:rPr>
          <w:rFonts w:ascii="Calibri" w:hAnsi="Calibri"/>
          <w:color w:val="1A1A1A"/>
          <w:sz w:val="20"/>
        </w:rPr>
        <w:t>Security posture or access control changes</w:t>
      </w:r>
    </w:p>
    <w:p w14:paraId="112B2AE6" w14:textId="77777777" w:rsidR="00EB3918" w:rsidRDefault="00EB3918">
      <w:pPr>
        <w:spacing w:after="80"/>
      </w:pPr>
    </w:p>
    <w:p w14:paraId="40196610" w14:textId="77777777" w:rsidR="00EB3918" w:rsidRDefault="00000000">
      <w:pPr>
        <w:pBdr>
          <w:bottom w:val="single" w:sz="8" w:space="1" w:color="1F5C99"/>
        </w:pBdr>
        <w:spacing w:before="160" w:after="60"/>
      </w:pPr>
      <w:r>
        <w:rPr>
          <w:rFonts w:ascii="Calibri" w:hAnsi="Calibri"/>
          <w:b/>
          <w:color w:val="1F5C99"/>
        </w:rPr>
        <w:t>Review Responsibilities — Material Change Review Team</w:t>
      </w:r>
    </w:p>
    <w:p w14:paraId="296D499B" w14:textId="77777777" w:rsidR="00EB3918" w:rsidRDefault="00000000">
      <w:pPr>
        <w:pStyle w:val="ListBullet"/>
        <w:spacing w:before="20" w:after="20"/>
      </w:pPr>
      <w:r>
        <w:rPr>
          <w:rFonts w:ascii="Calibri" w:hAnsi="Calibri"/>
          <w:color w:val="1A1A1A"/>
          <w:sz w:val="20"/>
        </w:rPr>
        <w:t>AI Governance Lead — overall governance impact assessment</w:t>
      </w:r>
    </w:p>
    <w:p w14:paraId="60AD9852" w14:textId="77777777" w:rsidR="00EB3918" w:rsidRDefault="00000000">
      <w:pPr>
        <w:pStyle w:val="ListBullet"/>
        <w:spacing w:before="20" w:after="20"/>
      </w:pPr>
      <w:r>
        <w:rPr>
          <w:rFonts w:ascii="Calibri" w:hAnsi="Calibri"/>
          <w:color w:val="1A1A1A"/>
          <w:sz w:val="20"/>
        </w:rPr>
        <w:t>Credit Risk Owner — underwriting policy and threshold impact</w:t>
      </w:r>
    </w:p>
    <w:p w14:paraId="7EB979E5" w14:textId="77777777" w:rsidR="00EB3918" w:rsidRDefault="00000000">
      <w:pPr>
        <w:pStyle w:val="ListBullet"/>
        <w:spacing w:before="20" w:after="20"/>
      </w:pPr>
      <w:r>
        <w:rPr>
          <w:rFonts w:ascii="Calibri" w:hAnsi="Calibri"/>
          <w:color w:val="1A1A1A"/>
          <w:sz w:val="20"/>
        </w:rPr>
        <w:t>Model Risk Reviewer — model performance and validation impact</w:t>
      </w:r>
    </w:p>
    <w:p w14:paraId="2C864CEA" w14:textId="77777777" w:rsidR="00EB3918" w:rsidRDefault="00000000">
      <w:pPr>
        <w:pStyle w:val="ListBullet"/>
        <w:spacing w:before="20" w:after="20"/>
      </w:pPr>
      <w:r>
        <w:rPr>
          <w:rFonts w:ascii="Calibri" w:hAnsi="Calibri"/>
          <w:color w:val="1A1A1A"/>
          <w:sz w:val="20"/>
        </w:rPr>
        <w:t>Compliance Reviewer — fair lending and regulatory impact</w:t>
      </w:r>
    </w:p>
    <w:p w14:paraId="37417743" w14:textId="77777777" w:rsidR="00EB3918" w:rsidRDefault="00000000">
      <w:pPr>
        <w:pStyle w:val="ListBullet"/>
        <w:spacing w:before="20" w:after="20"/>
      </w:pPr>
      <w:r>
        <w:rPr>
          <w:rFonts w:ascii="Calibri" w:hAnsi="Calibri"/>
          <w:color w:val="1A1A1A"/>
          <w:sz w:val="20"/>
        </w:rPr>
        <w:t>Vendor Risk Owner — contractual and vendor relationship impact</w:t>
      </w:r>
    </w:p>
    <w:p w14:paraId="65891F67" w14:textId="77777777" w:rsidR="00EB3918" w:rsidRDefault="00000000">
      <w:pPr>
        <w:pStyle w:val="ListBullet"/>
        <w:spacing w:before="20" w:after="20"/>
      </w:pPr>
      <w:r>
        <w:rPr>
          <w:rFonts w:ascii="Calibri" w:hAnsi="Calibri"/>
          <w:color w:val="1A1A1A"/>
          <w:sz w:val="20"/>
        </w:rPr>
        <w:t>Security / Privacy Reviewer — security and data protection impact</w:t>
      </w:r>
    </w:p>
    <w:p w14:paraId="588698FE" w14:textId="77777777" w:rsidR="00EB3918" w:rsidRDefault="00EB3918">
      <w:pPr>
        <w:spacing w:after="120"/>
      </w:pPr>
    </w:p>
    <w:p w14:paraId="3EA83BAA" w14:textId="77777777" w:rsidR="00EB3918" w:rsidRDefault="00000000">
      <w:pPr>
        <w:shd w:val="clear" w:color="auto" w:fill="1A335C"/>
        <w:spacing w:before="280" w:after="100"/>
      </w:pPr>
      <w:r>
        <w:rPr>
          <w:rFonts w:ascii="Calibri" w:hAnsi="Calibri"/>
          <w:b/>
          <w:color w:val="FFFFFF"/>
          <w:sz w:val="24"/>
        </w:rPr>
        <w:t xml:space="preserve">  14.  MONITORING REQUIREMENTS</w:t>
      </w:r>
    </w:p>
    <w:p w14:paraId="5705B81B" w14:textId="77777777" w:rsidR="00EB3918" w:rsidRDefault="00000000">
      <w:pPr>
        <w:spacing w:before="80" w:after="80"/>
      </w:pPr>
      <w:r>
        <w:rPr>
          <w:rFonts w:ascii="Calibri" w:hAnsi="Calibri"/>
          <w:color w:val="1A1A1A"/>
          <w:sz w:val="20"/>
        </w:rPr>
        <w:t>Meridian must monitor vendor model performance at launch, during pilot deployment, and throughout production use. The following metrics and indicators must be tracked.</w:t>
      </w:r>
    </w:p>
    <w:tbl>
      <w:tblPr>
        <w:tblStyle w:val="TableGrid"/>
        <w:tblW w:w="0" w:type="auto"/>
        <w:tblLook w:val="04A0" w:firstRow="1" w:lastRow="0" w:firstColumn="1" w:lastColumn="0" w:noHBand="0" w:noVBand="1"/>
      </w:tblPr>
      <w:tblGrid>
        <w:gridCol w:w="2679"/>
        <w:gridCol w:w="7185"/>
      </w:tblGrid>
      <w:tr w:rsidR="00EB3918" w14:paraId="4BB0B433" w14:textId="77777777">
        <w:tc>
          <w:tcPr>
            <w:tcW w:w="2880" w:type="dxa"/>
            <w:tcBorders>
              <w:top w:val="single" w:sz="6" w:space="0" w:color="FFFFFF"/>
              <w:left w:val="single" w:sz="6" w:space="0" w:color="FFFFFF"/>
              <w:bottom w:val="single" w:sz="6" w:space="0" w:color="FFFFFF"/>
              <w:right w:val="single" w:sz="6" w:space="0" w:color="FFFFFF"/>
            </w:tcBorders>
            <w:shd w:val="clear" w:color="auto" w:fill="1A335C"/>
          </w:tcPr>
          <w:p w14:paraId="1174CB5D" w14:textId="77777777" w:rsidR="00EB3918" w:rsidRDefault="00000000">
            <w:pPr>
              <w:spacing w:before="60" w:after="60"/>
              <w:ind w:left="101" w:right="58"/>
            </w:pPr>
            <w:r>
              <w:rPr>
                <w:rFonts w:ascii="Calibri" w:hAnsi="Calibri"/>
                <w:b/>
                <w:color w:val="FFFFFF"/>
                <w:sz w:val="18"/>
              </w:rPr>
              <w:lastRenderedPageBreak/>
              <w:t>Monitoring Area</w:t>
            </w:r>
          </w:p>
        </w:tc>
        <w:tc>
          <w:tcPr>
            <w:tcW w:w="8064" w:type="dxa"/>
            <w:tcBorders>
              <w:top w:val="single" w:sz="6" w:space="0" w:color="FFFFFF"/>
              <w:left w:val="single" w:sz="6" w:space="0" w:color="FFFFFF"/>
              <w:bottom w:val="single" w:sz="6" w:space="0" w:color="FFFFFF"/>
              <w:right w:val="single" w:sz="6" w:space="0" w:color="FFFFFF"/>
            </w:tcBorders>
            <w:shd w:val="clear" w:color="auto" w:fill="1A335C"/>
          </w:tcPr>
          <w:p w14:paraId="48AA634F" w14:textId="77777777" w:rsidR="00EB3918" w:rsidRDefault="00000000">
            <w:pPr>
              <w:spacing w:before="60" w:after="60"/>
              <w:ind w:left="101" w:right="58"/>
            </w:pPr>
            <w:r>
              <w:rPr>
                <w:rFonts w:ascii="Calibri" w:hAnsi="Calibri"/>
                <w:b/>
                <w:color w:val="FFFFFF"/>
                <w:sz w:val="18"/>
              </w:rPr>
              <w:t>Metrics and Indicators</w:t>
            </w:r>
          </w:p>
        </w:tc>
      </w:tr>
      <w:tr w:rsidR="00EB3918" w14:paraId="0FA34391"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54FDF4F3" w14:textId="77777777" w:rsidR="00EB3918" w:rsidRDefault="00000000">
            <w:pPr>
              <w:spacing w:before="60" w:after="60"/>
              <w:ind w:left="101" w:right="58"/>
            </w:pPr>
            <w:r>
              <w:rPr>
                <w:rFonts w:ascii="Calibri" w:hAnsi="Calibri"/>
                <w:b/>
                <w:color w:val="1A335C"/>
                <w:sz w:val="18"/>
              </w:rPr>
              <w:t>Decision Outcomes</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2DAAE1C0" w14:textId="77777777" w:rsidR="00EB3918" w:rsidRDefault="00000000">
            <w:pPr>
              <w:spacing w:before="60" w:after="60"/>
              <w:ind w:left="101" w:right="58"/>
            </w:pPr>
            <w:r>
              <w:rPr>
                <w:rFonts w:ascii="Calibri" w:hAnsi="Calibri"/>
                <w:color w:val="1A1A1A"/>
                <w:sz w:val="18"/>
              </w:rPr>
              <w:t>Approval rate, denial rate, manual review rate — tracked over time and by segment</w:t>
            </w:r>
          </w:p>
        </w:tc>
      </w:tr>
      <w:tr w:rsidR="00EB3918" w14:paraId="5B985ED3" w14:textId="77777777">
        <w:tc>
          <w:tcPr>
            <w:tcW w:w="2880" w:type="dxa"/>
            <w:tcBorders>
              <w:top w:val="single" w:sz="4" w:space="0" w:color="B0C4D8"/>
              <w:left w:val="single" w:sz="4" w:space="0" w:color="B0C4D8"/>
              <w:bottom w:val="single" w:sz="4" w:space="0" w:color="B0C4D8"/>
              <w:right w:val="single" w:sz="4" w:space="0" w:color="B0C4D8"/>
            </w:tcBorders>
            <w:shd w:val="clear" w:color="auto" w:fill="E4EEF8"/>
          </w:tcPr>
          <w:p w14:paraId="0563C9BA" w14:textId="77777777" w:rsidR="00EB3918" w:rsidRDefault="00000000">
            <w:pPr>
              <w:spacing w:before="60" w:after="60"/>
              <w:ind w:left="101" w:right="58"/>
            </w:pPr>
            <w:r>
              <w:rPr>
                <w:rFonts w:ascii="Calibri" w:hAnsi="Calibri"/>
                <w:b/>
                <w:color w:val="1A335C"/>
                <w:sz w:val="18"/>
              </w:rPr>
              <w:t>Appeals and Overrides</w:t>
            </w:r>
          </w:p>
        </w:tc>
        <w:tc>
          <w:tcPr>
            <w:tcW w:w="8064" w:type="dxa"/>
            <w:tcBorders>
              <w:top w:val="single" w:sz="4" w:space="0" w:color="B0C4D8"/>
              <w:left w:val="single" w:sz="4" w:space="0" w:color="B0C4D8"/>
              <w:bottom w:val="single" w:sz="4" w:space="0" w:color="B0C4D8"/>
              <w:right w:val="single" w:sz="4" w:space="0" w:color="B0C4D8"/>
            </w:tcBorders>
            <w:shd w:val="clear" w:color="auto" w:fill="FAFCFF"/>
          </w:tcPr>
          <w:p w14:paraId="603E92F3" w14:textId="77777777" w:rsidR="00EB3918" w:rsidRDefault="00000000">
            <w:pPr>
              <w:spacing w:before="60" w:after="60"/>
              <w:ind w:left="101" w:right="58"/>
            </w:pPr>
            <w:r>
              <w:rPr>
                <w:rFonts w:ascii="Calibri" w:hAnsi="Calibri"/>
                <w:color w:val="1A1A1A"/>
                <w:sz w:val="18"/>
              </w:rPr>
              <w:t>Appeal rate, appeal success rate, and manual override rate</w:t>
            </w:r>
          </w:p>
        </w:tc>
      </w:tr>
      <w:tr w:rsidR="00EB3918" w14:paraId="47620F67"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7F7AA9BA" w14:textId="77777777" w:rsidR="00EB3918" w:rsidRDefault="00000000">
            <w:pPr>
              <w:spacing w:before="60" w:after="60"/>
              <w:ind w:left="101" w:right="58"/>
            </w:pPr>
            <w:r>
              <w:rPr>
                <w:rFonts w:ascii="Calibri" w:hAnsi="Calibri"/>
                <w:b/>
                <w:color w:val="1A335C"/>
                <w:sz w:val="18"/>
              </w:rPr>
              <w:t>Credit Performance</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1FCE460C" w14:textId="77777777" w:rsidR="00EB3918" w:rsidRDefault="00000000">
            <w:pPr>
              <w:spacing w:before="60" w:after="60"/>
              <w:ind w:left="101" w:right="58"/>
            </w:pPr>
            <w:r>
              <w:rPr>
                <w:rFonts w:ascii="Calibri" w:hAnsi="Calibri"/>
                <w:color w:val="1A1A1A"/>
                <w:sz w:val="18"/>
              </w:rPr>
              <w:t>Default rate and portfolio performance by decision cohort</w:t>
            </w:r>
          </w:p>
        </w:tc>
      </w:tr>
      <w:tr w:rsidR="00EB3918" w14:paraId="11D46B9F" w14:textId="77777777">
        <w:tc>
          <w:tcPr>
            <w:tcW w:w="2880" w:type="dxa"/>
            <w:tcBorders>
              <w:top w:val="single" w:sz="4" w:space="0" w:color="B0C4D8"/>
              <w:left w:val="single" w:sz="4" w:space="0" w:color="B0C4D8"/>
              <w:bottom w:val="single" w:sz="4" w:space="0" w:color="B0C4D8"/>
              <w:right w:val="single" w:sz="4" w:space="0" w:color="B0C4D8"/>
            </w:tcBorders>
            <w:shd w:val="clear" w:color="auto" w:fill="E4EEF8"/>
          </w:tcPr>
          <w:p w14:paraId="17F5C27B" w14:textId="77777777" w:rsidR="00EB3918" w:rsidRDefault="00000000">
            <w:pPr>
              <w:spacing w:before="60" w:after="60"/>
              <w:ind w:left="101" w:right="58"/>
            </w:pPr>
            <w:r>
              <w:rPr>
                <w:rFonts w:ascii="Calibri" w:hAnsi="Calibri"/>
                <w:b/>
                <w:color w:val="1A335C"/>
                <w:sz w:val="18"/>
              </w:rPr>
              <w:t>Complaints</w:t>
            </w:r>
          </w:p>
        </w:tc>
        <w:tc>
          <w:tcPr>
            <w:tcW w:w="8064" w:type="dxa"/>
            <w:tcBorders>
              <w:top w:val="single" w:sz="4" w:space="0" w:color="B0C4D8"/>
              <w:left w:val="single" w:sz="4" w:space="0" w:color="B0C4D8"/>
              <w:bottom w:val="single" w:sz="4" w:space="0" w:color="B0C4D8"/>
              <w:right w:val="single" w:sz="4" w:space="0" w:color="B0C4D8"/>
            </w:tcBorders>
            <w:shd w:val="clear" w:color="auto" w:fill="FAFCFF"/>
          </w:tcPr>
          <w:p w14:paraId="4A3296EA" w14:textId="77777777" w:rsidR="00EB3918" w:rsidRDefault="00000000">
            <w:pPr>
              <w:spacing w:before="60" w:after="60"/>
              <w:ind w:left="101" w:right="58"/>
            </w:pPr>
            <w:r>
              <w:rPr>
                <w:rFonts w:ascii="Calibri" w:hAnsi="Calibri"/>
                <w:color w:val="1A1A1A"/>
                <w:sz w:val="18"/>
              </w:rPr>
              <w:t>Complaint volume, categories, and resolution outcomes</w:t>
            </w:r>
          </w:p>
        </w:tc>
      </w:tr>
      <w:tr w:rsidR="00EB3918" w14:paraId="321F6758"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1D3179B9" w14:textId="77777777" w:rsidR="00EB3918" w:rsidRDefault="00000000">
            <w:pPr>
              <w:spacing w:before="60" w:after="60"/>
              <w:ind w:left="101" w:right="58"/>
            </w:pPr>
            <w:r>
              <w:rPr>
                <w:rFonts w:ascii="Calibri" w:hAnsi="Calibri"/>
                <w:b/>
                <w:color w:val="1A335C"/>
                <w:sz w:val="18"/>
              </w:rPr>
              <w:t>Model Quality</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0E176236" w14:textId="77777777" w:rsidR="00EB3918" w:rsidRDefault="00000000">
            <w:pPr>
              <w:spacing w:before="60" w:after="60"/>
              <w:ind w:left="101" w:right="58"/>
            </w:pPr>
            <w:r>
              <w:rPr>
                <w:rFonts w:ascii="Calibri" w:hAnsi="Calibri"/>
                <w:color w:val="1A1A1A"/>
                <w:sz w:val="18"/>
              </w:rPr>
              <w:t>Confidence score distribution, reason code distribution, and drift indicators</w:t>
            </w:r>
          </w:p>
        </w:tc>
      </w:tr>
      <w:tr w:rsidR="00EB3918" w14:paraId="2D7E5B3A" w14:textId="77777777">
        <w:tc>
          <w:tcPr>
            <w:tcW w:w="2880" w:type="dxa"/>
            <w:tcBorders>
              <w:top w:val="single" w:sz="4" w:space="0" w:color="B0C4D8"/>
              <w:left w:val="single" w:sz="4" w:space="0" w:color="B0C4D8"/>
              <w:bottom w:val="single" w:sz="4" w:space="0" w:color="B0C4D8"/>
              <w:right w:val="single" w:sz="4" w:space="0" w:color="B0C4D8"/>
            </w:tcBorders>
            <w:shd w:val="clear" w:color="auto" w:fill="E4EEF8"/>
          </w:tcPr>
          <w:p w14:paraId="79CC5782" w14:textId="77777777" w:rsidR="00EB3918" w:rsidRDefault="00000000">
            <w:pPr>
              <w:spacing w:before="60" w:after="60"/>
              <w:ind w:left="101" w:right="58"/>
            </w:pPr>
            <w:r>
              <w:rPr>
                <w:rFonts w:ascii="Calibri" w:hAnsi="Calibri"/>
                <w:b/>
                <w:color w:val="1A335C"/>
                <w:sz w:val="18"/>
              </w:rPr>
              <w:t>Fairness Metrics</w:t>
            </w:r>
          </w:p>
        </w:tc>
        <w:tc>
          <w:tcPr>
            <w:tcW w:w="8064" w:type="dxa"/>
            <w:tcBorders>
              <w:top w:val="single" w:sz="4" w:space="0" w:color="B0C4D8"/>
              <w:left w:val="single" w:sz="4" w:space="0" w:color="B0C4D8"/>
              <w:bottom w:val="single" w:sz="4" w:space="0" w:color="B0C4D8"/>
              <w:right w:val="single" w:sz="4" w:space="0" w:color="B0C4D8"/>
            </w:tcBorders>
            <w:shd w:val="clear" w:color="auto" w:fill="FAFCFF"/>
          </w:tcPr>
          <w:p w14:paraId="2F460D70" w14:textId="77777777" w:rsidR="00EB3918" w:rsidRDefault="00000000">
            <w:pPr>
              <w:spacing w:before="60" w:after="60"/>
              <w:ind w:left="101" w:right="58"/>
            </w:pPr>
            <w:r>
              <w:rPr>
                <w:rFonts w:ascii="Calibri" w:hAnsi="Calibri"/>
                <w:color w:val="1A1A1A"/>
                <w:sz w:val="18"/>
              </w:rPr>
              <w:t>Segment-level outcome differences and disparate impact indicators</w:t>
            </w:r>
          </w:p>
        </w:tc>
      </w:tr>
      <w:tr w:rsidR="00EB3918" w14:paraId="283A3C6D"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637E9C3B" w14:textId="77777777" w:rsidR="00EB3918" w:rsidRDefault="00000000">
            <w:pPr>
              <w:spacing w:before="60" w:after="60"/>
              <w:ind w:left="101" w:right="58"/>
            </w:pPr>
            <w:r>
              <w:rPr>
                <w:rFonts w:ascii="Calibri" w:hAnsi="Calibri"/>
                <w:b/>
                <w:color w:val="1A335C"/>
                <w:sz w:val="18"/>
              </w:rPr>
              <w:t>Vendor Changes</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0B3C6D50" w14:textId="77777777" w:rsidR="00EB3918" w:rsidRDefault="00000000">
            <w:pPr>
              <w:spacing w:before="60" w:after="60"/>
              <w:ind w:left="101" w:right="58"/>
            </w:pPr>
            <w:r>
              <w:rPr>
                <w:rFonts w:ascii="Calibri" w:hAnsi="Calibri"/>
                <w:color w:val="1A1A1A"/>
                <w:sz w:val="18"/>
              </w:rPr>
              <w:t>Model version changes and observed impact on decision outcomes</w:t>
            </w:r>
          </w:p>
        </w:tc>
      </w:tr>
      <w:tr w:rsidR="00EB3918" w14:paraId="7C57A7CF" w14:textId="77777777">
        <w:tc>
          <w:tcPr>
            <w:tcW w:w="2880" w:type="dxa"/>
            <w:tcBorders>
              <w:top w:val="single" w:sz="4" w:space="0" w:color="B0C4D8"/>
              <w:left w:val="single" w:sz="4" w:space="0" w:color="B0C4D8"/>
              <w:bottom w:val="single" w:sz="4" w:space="0" w:color="B0C4D8"/>
              <w:right w:val="single" w:sz="4" w:space="0" w:color="B0C4D8"/>
            </w:tcBorders>
            <w:shd w:val="clear" w:color="auto" w:fill="E4EEF8"/>
          </w:tcPr>
          <w:p w14:paraId="5D2CFB6F" w14:textId="77777777" w:rsidR="00EB3918" w:rsidRDefault="00000000">
            <w:pPr>
              <w:spacing w:before="60" w:after="60"/>
              <w:ind w:left="101" w:right="58"/>
            </w:pPr>
            <w:r>
              <w:rPr>
                <w:rFonts w:ascii="Calibri" w:hAnsi="Calibri"/>
                <w:b/>
                <w:color w:val="1A335C"/>
                <w:sz w:val="18"/>
              </w:rPr>
              <w:t>API and Security</w:t>
            </w:r>
          </w:p>
        </w:tc>
        <w:tc>
          <w:tcPr>
            <w:tcW w:w="8064" w:type="dxa"/>
            <w:tcBorders>
              <w:top w:val="single" w:sz="4" w:space="0" w:color="B0C4D8"/>
              <w:left w:val="single" w:sz="4" w:space="0" w:color="B0C4D8"/>
              <w:bottom w:val="single" w:sz="4" w:space="0" w:color="B0C4D8"/>
              <w:right w:val="single" w:sz="4" w:space="0" w:color="B0C4D8"/>
            </w:tcBorders>
            <w:shd w:val="clear" w:color="auto" w:fill="FAFCFF"/>
          </w:tcPr>
          <w:p w14:paraId="21B6C95D" w14:textId="77777777" w:rsidR="00EB3918" w:rsidRDefault="00000000">
            <w:pPr>
              <w:spacing w:before="60" w:after="60"/>
              <w:ind w:left="101" w:right="58"/>
            </w:pPr>
            <w:r>
              <w:rPr>
                <w:rFonts w:ascii="Calibri" w:hAnsi="Calibri"/>
                <w:color w:val="1A1A1A"/>
                <w:sz w:val="18"/>
              </w:rPr>
              <w:t>API availability, response times, and security incident reports</w:t>
            </w:r>
          </w:p>
        </w:tc>
      </w:tr>
      <w:tr w:rsidR="00EB3918" w14:paraId="7EC6FBB0"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49CDA4CA" w14:textId="77777777" w:rsidR="00EB3918" w:rsidRDefault="00000000">
            <w:pPr>
              <w:spacing w:before="60" w:after="60"/>
              <w:ind w:left="101" w:right="58"/>
            </w:pPr>
            <w:r>
              <w:rPr>
                <w:rFonts w:ascii="Calibri" w:hAnsi="Calibri"/>
                <w:b/>
                <w:color w:val="1A335C"/>
                <w:sz w:val="18"/>
              </w:rPr>
              <w:t>Model Update Frequency</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7137A522" w14:textId="77777777" w:rsidR="00EB3918" w:rsidRDefault="00000000">
            <w:pPr>
              <w:spacing w:before="60" w:after="60"/>
              <w:ind w:left="101" w:right="58"/>
            </w:pPr>
            <w:r>
              <w:rPr>
                <w:rFonts w:ascii="Calibri" w:hAnsi="Calibri"/>
                <w:color w:val="1A1A1A"/>
                <w:sz w:val="18"/>
              </w:rPr>
              <w:t>Frequency and nature of vendor model updates</w:t>
            </w:r>
          </w:p>
        </w:tc>
      </w:tr>
    </w:tbl>
    <w:p w14:paraId="32B29656" w14:textId="77777777" w:rsidR="00EB3918" w:rsidRDefault="00EB3918">
      <w:pPr>
        <w:spacing w:after="160"/>
      </w:pPr>
    </w:p>
    <w:p w14:paraId="083E1D6A" w14:textId="77777777" w:rsidR="00EB3918" w:rsidRDefault="00000000">
      <w:pPr>
        <w:shd w:val="clear" w:color="auto" w:fill="1A335C"/>
        <w:spacing w:before="280" w:after="100"/>
      </w:pPr>
      <w:r>
        <w:rPr>
          <w:rFonts w:ascii="Calibri" w:hAnsi="Calibri"/>
          <w:b/>
          <w:color w:val="FFFFFF"/>
          <w:sz w:val="24"/>
        </w:rPr>
        <w:t xml:space="preserve">  15.  KEY VENDOR AND MODEL RISKS</w:t>
      </w:r>
    </w:p>
    <w:p w14:paraId="51FB1983" w14:textId="77777777" w:rsidR="00EB3918" w:rsidRDefault="00000000">
      <w:pPr>
        <w:spacing w:before="80" w:after="80"/>
      </w:pPr>
      <w:r>
        <w:rPr>
          <w:rFonts w:ascii="Calibri" w:hAnsi="Calibri"/>
          <w:color w:val="1A1A1A"/>
          <w:sz w:val="20"/>
        </w:rPr>
        <w:t>The following risks are directly relevant to this vendor and model review. Each risk must be addressed through controls, contractual obligations, or documented risk acceptance.</w:t>
      </w:r>
    </w:p>
    <w:tbl>
      <w:tblPr>
        <w:tblStyle w:val="TableGrid"/>
        <w:tblW w:w="0" w:type="auto"/>
        <w:tblLook w:val="04A0" w:firstRow="1" w:lastRow="0" w:firstColumn="1" w:lastColumn="0" w:noHBand="0" w:noVBand="1"/>
      </w:tblPr>
      <w:tblGrid>
        <w:gridCol w:w="3063"/>
        <w:gridCol w:w="6801"/>
      </w:tblGrid>
      <w:tr w:rsidR="00EB3918" w14:paraId="093AD7B9" w14:textId="77777777">
        <w:tc>
          <w:tcPr>
            <w:tcW w:w="3312" w:type="dxa"/>
            <w:tcBorders>
              <w:top w:val="single" w:sz="6" w:space="0" w:color="FFFFFF"/>
              <w:left w:val="single" w:sz="6" w:space="0" w:color="FFFFFF"/>
              <w:bottom w:val="single" w:sz="6" w:space="0" w:color="FFFFFF"/>
              <w:right w:val="single" w:sz="6" w:space="0" w:color="FFFFFF"/>
            </w:tcBorders>
            <w:shd w:val="clear" w:color="auto" w:fill="1A335C"/>
          </w:tcPr>
          <w:p w14:paraId="290EA4A9" w14:textId="77777777" w:rsidR="00EB3918" w:rsidRDefault="00000000">
            <w:pPr>
              <w:spacing w:before="60" w:after="60"/>
              <w:ind w:left="101" w:right="58"/>
            </w:pPr>
            <w:r>
              <w:rPr>
                <w:rFonts w:ascii="Calibri" w:hAnsi="Calibri"/>
                <w:b/>
                <w:color w:val="FFFFFF"/>
                <w:sz w:val="18"/>
              </w:rPr>
              <w:t>Risk</w:t>
            </w:r>
          </w:p>
        </w:tc>
        <w:tc>
          <w:tcPr>
            <w:tcW w:w="7632" w:type="dxa"/>
            <w:tcBorders>
              <w:top w:val="single" w:sz="6" w:space="0" w:color="FFFFFF"/>
              <w:left w:val="single" w:sz="6" w:space="0" w:color="FFFFFF"/>
              <w:bottom w:val="single" w:sz="6" w:space="0" w:color="FFFFFF"/>
              <w:right w:val="single" w:sz="6" w:space="0" w:color="FFFFFF"/>
            </w:tcBorders>
            <w:shd w:val="clear" w:color="auto" w:fill="1A335C"/>
          </w:tcPr>
          <w:p w14:paraId="31CFBAB7" w14:textId="77777777" w:rsidR="00EB3918" w:rsidRDefault="00000000">
            <w:pPr>
              <w:spacing w:before="60" w:after="60"/>
              <w:ind w:left="101" w:right="58"/>
            </w:pPr>
            <w:r>
              <w:rPr>
                <w:rFonts w:ascii="Calibri" w:hAnsi="Calibri"/>
                <w:b/>
                <w:color w:val="FFFFFF"/>
                <w:sz w:val="18"/>
              </w:rPr>
              <w:t>Description</w:t>
            </w:r>
          </w:p>
        </w:tc>
      </w:tr>
      <w:tr w:rsidR="00EB3918" w14:paraId="06870395" w14:textId="77777777">
        <w:tc>
          <w:tcPr>
            <w:tcW w:w="3312" w:type="dxa"/>
            <w:tcBorders>
              <w:top w:val="single" w:sz="4" w:space="0" w:color="B0C4D8"/>
              <w:left w:val="single" w:sz="4" w:space="0" w:color="B0C4D8"/>
              <w:bottom w:val="single" w:sz="4" w:space="0" w:color="B0C4D8"/>
              <w:right w:val="single" w:sz="4" w:space="0" w:color="B0C4D8"/>
            </w:tcBorders>
            <w:shd w:val="clear" w:color="auto" w:fill="FDECEA"/>
          </w:tcPr>
          <w:p w14:paraId="3172947F" w14:textId="77777777" w:rsidR="00EB3918" w:rsidRDefault="00000000">
            <w:pPr>
              <w:spacing w:before="60" w:after="60"/>
              <w:ind w:left="101" w:right="58"/>
            </w:pPr>
            <w:r>
              <w:rPr>
                <w:rFonts w:ascii="Calibri" w:hAnsi="Calibri"/>
                <w:b/>
                <w:color w:val="C00000"/>
                <w:sz w:val="18"/>
              </w:rPr>
              <w:t>Proxy Bias Through Credit and Business Variables</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13B7A022" w14:textId="77777777" w:rsidR="00EB3918" w:rsidRDefault="00000000">
            <w:pPr>
              <w:spacing w:before="60" w:after="60"/>
              <w:ind w:left="101" w:right="58"/>
            </w:pPr>
            <w:r>
              <w:rPr>
                <w:rFonts w:ascii="Calibri" w:hAnsi="Calibri"/>
                <w:color w:val="1A1A1A"/>
                <w:sz w:val="18"/>
              </w:rPr>
              <w:t>Vendor model inputs may create unfair outcomes through variables correlated with protected or disadvantaged groups. Fairness testing and proxy-bias analysis are required.</w:t>
            </w:r>
          </w:p>
        </w:tc>
      </w:tr>
      <w:tr w:rsidR="00EB3918" w14:paraId="4448C705" w14:textId="77777777">
        <w:tc>
          <w:tcPr>
            <w:tcW w:w="3312" w:type="dxa"/>
            <w:tcBorders>
              <w:top w:val="single" w:sz="4" w:space="0" w:color="B0C4D8"/>
              <w:left w:val="single" w:sz="4" w:space="0" w:color="B0C4D8"/>
              <w:bottom w:val="single" w:sz="4" w:space="0" w:color="B0C4D8"/>
              <w:right w:val="single" w:sz="4" w:space="0" w:color="B0C4D8"/>
            </w:tcBorders>
            <w:shd w:val="clear" w:color="auto" w:fill="FEF3E2"/>
          </w:tcPr>
          <w:p w14:paraId="04A12CB2" w14:textId="77777777" w:rsidR="00EB3918" w:rsidRDefault="00000000">
            <w:pPr>
              <w:spacing w:before="60" w:after="60"/>
              <w:ind w:left="101" w:right="58"/>
            </w:pPr>
            <w:r>
              <w:rPr>
                <w:rFonts w:ascii="Calibri" w:hAnsi="Calibri"/>
                <w:b/>
                <w:color w:val="C00000"/>
                <w:sz w:val="18"/>
              </w:rPr>
              <w:t>Weak Explainability and Incomplete Reason Codes</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363C59AB" w14:textId="77777777" w:rsidR="00EB3918" w:rsidRDefault="00000000">
            <w:pPr>
              <w:spacing w:before="60" w:after="60"/>
              <w:ind w:left="101" w:right="58"/>
            </w:pPr>
            <w:r>
              <w:rPr>
                <w:rFonts w:ascii="Calibri" w:hAnsi="Calibri"/>
                <w:color w:val="1A1A1A"/>
                <w:sz w:val="18"/>
              </w:rPr>
              <w:t>Vendor-generated reason codes may not fully or accurately explain automated decisions, undermining adverse action obligations and applicant appeal rights.</w:t>
            </w:r>
          </w:p>
        </w:tc>
      </w:tr>
      <w:tr w:rsidR="00EB3918" w14:paraId="4C7240E9" w14:textId="77777777">
        <w:tc>
          <w:tcPr>
            <w:tcW w:w="3312" w:type="dxa"/>
            <w:tcBorders>
              <w:top w:val="single" w:sz="4" w:space="0" w:color="B0C4D8"/>
              <w:left w:val="single" w:sz="4" w:space="0" w:color="B0C4D8"/>
              <w:bottom w:val="single" w:sz="4" w:space="0" w:color="B0C4D8"/>
              <w:right w:val="single" w:sz="4" w:space="0" w:color="B0C4D8"/>
            </w:tcBorders>
            <w:shd w:val="clear" w:color="auto" w:fill="FDECEA"/>
          </w:tcPr>
          <w:p w14:paraId="3707D2C0" w14:textId="77777777" w:rsidR="00EB3918" w:rsidRDefault="00000000">
            <w:pPr>
              <w:spacing w:before="60" w:after="60"/>
              <w:ind w:left="101" w:right="58"/>
            </w:pPr>
            <w:r>
              <w:rPr>
                <w:rFonts w:ascii="Calibri" w:hAnsi="Calibri"/>
                <w:b/>
                <w:color w:val="C00000"/>
                <w:sz w:val="18"/>
              </w:rPr>
              <w:t>Accountability Gaps in Third-Party AI Deployment</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422CD19D" w14:textId="77777777" w:rsidR="00EB3918" w:rsidRDefault="00000000">
            <w:pPr>
              <w:spacing w:before="60" w:after="60"/>
              <w:ind w:left="101" w:right="58"/>
            </w:pPr>
            <w:r>
              <w:rPr>
                <w:rFonts w:ascii="Calibri" w:hAnsi="Calibri"/>
                <w:color w:val="1A1A1A"/>
                <w:sz w:val="18"/>
              </w:rPr>
              <w:t>Responsibility for model outcomes may become unclear between Meridian and CrediSure AI without explicit contractual role definitions and governance controls.</w:t>
            </w:r>
          </w:p>
        </w:tc>
      </w:tr>
      <w:tr w:rsidR="00EB3918" w14:paraId="164D8DE6" w14:textId="77777777">
        <w:tc>
          <w:tcPr>
            <w:tcW w:w="3312" w:type="dxa"/>
            <w:tcBorders>
              <w:top w:val="single" w:sz="4" w:space="0" w:color="B0C4D8"/>
              <w:left w:val="single" w:sz="4" w:space="0" w:color="B0C4D8"/>
              <w:bottom w:val="single" w:sz="4" w:space="0" w:color="B0C4D8"/>
              <w:right w:val="single" w:sz="4" w:space="0" w:color="B0C4D8"/>
            </w:tcBorders>
            <w:shd w:val="clear" w:color="auto" w:fill="FEF3E2"/>
          </w:tcPr>
          <w:p w14:paraId="5631126B" w14:textId="77777777" w:rsidR="00EB3918" w:rsidRDefault="00000000">
            <w:pPr>
              <w:spacing w:before="60" w:after="60"/>
              <w:ind w:left="101" w:right="58"/>
            </w:pPr>
            <w:r>
              <w:rPr>
                <w:rFonts w:ascii="Calibri" w:hAnsi="Calibri"/>
                <w:b/>
                <w:color w:val="C00000"/>
                <w:sz w:val="18"/>
              </w:rPr>
              <w:t>Inaccurate Automated Denials</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339C82AA" w14:textId="77777777" w:rsidR="00EB3918" w:rsidRDefault="00000000">
            <w:pPr>
              <w:spacing w:before="60" w:after="60"/>
              <w:ind w:left="101" w:right="58"/>
            </w:pPr>
            <w:r>
              <w:rPr>
                <w:rFonts w:ascii="Calibri" w:hAnsi="Calibri"/>
                <w:color w:val="1A1A1A"/>
                <w:sz w:val="18"/>
              </w:rPr>
              <w:t>Model errors, data quality issues, or overly strict thresholds may cause qualified applicants to be incorrectly denied access to credit.</w:t>
            </w:r>
          </w:p>
        </w:tc>
      </w:tr>
      <w:tr w:rsidR="00EB3918" w14:paraId="4A9CC866" w14:textId="77777777">
        <w:tc>
          <w:tcPr>
            <w:tcW w:w="3312" w:type="dxa"/>
            <w:tcBorders>
              <w:top w:val="single" w:sz="4" w:space="0" w:color="B0C4D8"/>
              <w:left w:val="single" w:sz="4" w:space="0" w:color="B0C4D8"/>
              <w:bottom w:val="single" w:sz="4" w:space="0" w:color="B0C4D8"/>
              <w:right w:val="single" w:sz="4" w:space="0" w:color="B0C4D8"/>
            </w:tcBorders>
            <w:shd w:val="clear" w:color="auto" w:fill="FDECEA"/>
          </w:tcPr>
          <w:p w14:paraId="384977BD" w14:textId="77777777" w:rsidR="00EB3918" w:rsidRDefault="00000000">
            <w:pPr>
              <w:spacing w:before="60" w:after="60"/>
              <w:ind w:left="101" w:right="58"/>
            </w:pPr>
            <w:r>
              <w:rPr>
                <w:rFonts w:ascii="Calibri" w:hAnsi="Calibri"/>
                <w:b/>
                <w:color w:val="C00000"/>
                <w:sz w:val="18"/>
              </w:rPr>
              <w:t>Lack of Meaningful Human Oversight</w:t>
            </w:r>
          </w:p>
        </w:tc>
        <w:tc>
          <w:tcPr>
            <w:tcW w:w="7632" w:type="dxa"/>
            <w:tcBorders>
              <w:top w:val="single" w:sz="4" w:space="0" w:color="B0C4D8"/>
              <w:left w:val="single" w:sz="4" w:space="0" w:color="B0C4D8"/>
              <w:bottom w:val="single" w:sz="4" w:space="0" w:color="B0C4D8"/>
              <w:right w:val="single" w:sz="4" w:space="0" w:color="B0C4D8"/>
            </w:tcBorders>
            <w:shd w:val="clear" w:color="auto" w:fill="FFFFFF"/>
          </w:tcPr>
          <w:p w14:paraId="75835690" w14:textId="77777777" w:rsidR="00EB3918" w:rsidRDefault="00000000">
            <w:pPr>
              <w:spacing w:before="60" w:after="60"/>
              <w:ind w:left="101" w:right="58"/>
            </w:pPr>
            <w:r>
              <w:rPr>
                <w:rFonts w:ascii="Calibri" w:hAnsi="Calibri"/>
                <w:color w:val="1A1A1A"/>
                <w:sz w:val="18"/>
              </w:rPr>
              <w:t>Vendor outputs may be accepted without sufficient challenge or independent review, particularly given the 94% automation rate.</w:t>
            </w:r>
          </w:p>
        </w:tc>
      </w:tr>
      <w:tr w:rsidR="00EB3918" w14:paraId="45422CF4" w14:textId="77777777">
        <w:tc>
          <w:tcPr>
            <w:tcW w:w="3312" w:type="dxa"/>
            <w:tcBorders>
              <w:top w:val="single" w:sz="4" w:space="0" w:color="B0C4D8"/>
              <w:left w:val="single" w:sz="4" w:space="0" w:color="B0C4D8"/>
              <w:bottom w:val="single" w:sz="4" w:space="0" w:color="B0C4D8"/>
              <w:right w:val="single" w:sz="4" w:space="0" w:color="B0C4D8"/>
            </w:tcBorders>
            <w:shd w:val="clear" w:color="auto" w:fill="FEF3E2"/>
          </w:tcPr>
          <w:p w14:paraId="7BC0D515" w14:textId="77777777" w:rsidR="00EB3918" w:rsidRDefault="00000000">
            <w:pPr>
              <w:spacing w:before="60" w:after="60"/>
              <w:ind w:left="101" w:right="58"/>
            </w:pPr>
            <w:r>
              <w:rPr>
                <w:rFonts w:ascii="Calibri" w:hAnsi="Calibri"/>
                <w:b/>
                <w:color w:val="C00000"/>
                <w:sz w:val="18"/>
              </w:rPr>
              <w:t>Security and Privacy Risk</w:t>
            </w:r>
          </w:p>
        </w:tc>
        <w:tc>
          <w:tcPr>
            <w:tcW w:w="7632" w:type="dxa"/>
            <w:tcBorders>
              <w:top w:val="single" w:sz="4" w:space="0" w:color="B0C4D8"/>
              <w:left w:val="single" w:sz="4" w:space="0" w:color="B0C4D8"/>
              <w:bottom w:val="single" w:sz="4" w:space="0" w:color="B0C4D8"/>
              <w:right w:val="single" w:sz="4" w:space="0" w:color="B0C4D8"/>
            </w:tcBorders>
            <w:shd w:val="clear" w:color="auto" w:fill="FAFCFF"/>
          </w:tcPr>
          <w:p w14:paraId="2FBB7347" w14:textId="77777777" w:rsidR="00EB3918" w:rsidRDefault="00000000">
            <w:pPr>
              <w:spacing w:before="60" w:after="60"/>
              <w:ind w:left="101" w:right="58"/>
            </w:pPr>
            <w:r>
              <w:rPr>
                <w:rFonts w:ascii="Calibri" w:hAnsi="Calibri"/>
                <w:color w:val="1A1A1A"/>
                <w:sz w:val="18"/>
              </w:rPr>
              <w:t>Sensitive financial and credit-related data transmitted to the vendor API may be exposed or misused if security controls, data processing terms, or access restrictions are inadequate.</w:t>
            </w:r>
          </w:p>
        </w:tc>
      </w:tr>
    </w:tbl>
    <w:p w14:paraId="16C37565" w14:textId="77777777" w:rsidR="00EB3918" w:rsidRDefault="00EB3918">
      <w:pPr>
        <w:spacing w:after="160"/>
      </w:pPr>
    </w:p>
    <w:p w14:paraId="637B549E" w14:textId="77777777" w:rsidR="00EB3918" w:rsidRDefault="00000000">
      <w:pPr>
        <w:shd w:val="clear" w:color="auto" w:fill="1A335C"/>
        <w:spacing w:before="280" w:after="100"/>
      </w:pPr>
      <w:r>
        <w:rPr>
          <w:rFonts w:ascii="Calibri" w:hAnsi="Calibri"/>
          <w:b/>
          <w:color w:val="FFFFFF"/>
          <w:sz w:val="24"/>
        </w:rPr>
        <w:t xml:space="preserve">  16.  REVIEW FINDINGS</w:t>
      </w:r>
    </w:p>
    <w:p w14:paraId="0D6A22B2" w14:textId="77777777" w:rsidR="00EB3918" w:rsidRDefault="00000000">
      <w:pPr>
        <w:spacing w:before="80" w:after="80"/>
      </w:pPr>
      <w:r>
        <w:rPr>
          <w:rFonts w:ascii="Calibri" w:hAnsi="Calibri"/>
          <w:color w:val="1A1A1A"/>
          <w:sz w:val="20"/>
        </w:rPr>
        <w:t>The table below summarizes the current status of each review area. All items are open. No area has been completed or accepted at this stage of the review.</w:t>
      </w:r>
    </w:p>
    <w:tbl>
      <w:tblPr>
        <w:tblStyle w:val="TableGrid"/>
        <w:tblW w:w="0" w:type="auto"/>
        <w:tblLook w:val="04A0" w:firstRow="1" w:lastRow="0" w:firstColumn="1" w:lastColumn="0" w:noHBand="0" w:noVBand="1"/>
      </w:tblPr>
      <w:tblGrid>
        <w:gridCol w:w="2676"/>
        <w:gridCol w:w="5352"/>
        <w:gridCol w:w="1836"/>
      </w:tblGrid>
      <w:tr w:rsidR="00EB3918" w14:paraId="173458FF" w14:textId="77777777">
        <w:tc>
          <w:tcPr>
            <w:tcW w:w="2880" w:type="dxa"/>
            <w:tcBorders>
              <w:top w:val="single" w:sz="6" w:space="0" w:color="FFFFFF"/>
              <w:left w:val="single" w:sz="6" w:space="0" w:color="FFFFFF"/>
              <w:bottom w:val="single" w:sz="6" w:space="0" w:color="FFFFFF"/>
              <w:right w:val="single" w:sz="6" w:space="0" w:color="FFFFFF"/>
            </w:tcBorders>
            <w:shd w:val="clear" w:color="auto" w:fill="1A335C"/>
          </w:tcPr>
          <w:p w14:paraId="3BC1AC5B" w14:textId="77777777" w:rsidR="00EB3918" w:rsidRDefault="00000000">
            <w:pPr>
              <w:spacing w:before="60" w:after="60"/>
              <w:ind w:left="101" w:right="58"/>
            </w:pPr>
            <w:r>
              <w:rPr>
                <w:rFonts w:ascii="Calibri" w:hAnsi="Calibri"/>
                <w:b/>
                <w:color w:val="FFFFFF"/>
                <w:sz w:val="18"/>
              </w:rPr>
              <w:t>Review Area</w:t>
            </w:r>
          </w:p>
        </w:tc>
        <w:tc>
          <w:tcPr>
            <w:tcW w:w="6048" w:type="dxa"/>
            <w:tcBorders>
              <w:top w:val="single" w:sz="6" w:space="0" w:color="FFFFFF"/>
              <w:left w:val="single" w:sz="6" w:space="0" w:color="FFFFFF"/>
              <w:bottom w:val="single" w:sz="6" w:space="0" w:color="FFFFFF"/>
              <w:right w:val="single" w:sz="6" w:space="0" w:color="FFFFFF"/>
            </w:tcBorders>
            <w:shd w:val="clear" w:color="auto" w:fill="1A335C"/>
          </w:tcPr>
          <w:p w14:paraId="0FFDE08D" w14:textId="77777777" w:rsidR="00EB3918" w:rsidRDefault="00000000">
            <w:pPr>
              <w:spacing w:before="60" w:after="60"/>
              <w:ind w:left="101" w:right="58"/>
            </w:pPr>
            <w:r>
              <w:rPr>
                <w:rFonts w:ascii="Calibri" w:hAnsi="Calibri"/>
                <w:b/>
                <w:color w:val="FFFFFF"/>
                <w:sz w:val="18"/>
              </w:rPr>
              <w:t>Current Finding</w:t>
            </w:r>
          </w:p>
        </w:tc>
        <w:tc>
          <w:tcPr>
            <w:tcW w:w="2016" w:type="dxa"/>
            <w:tcBorders>
              <w:top w:val="single" w:sz="6" w:space="0" w:color="FFFFFF"/>
              <w:left w:val="single" w:sz="6" w:space="0" w:color="FFFFFF"/>
              <w:bottom w:val="single" w:sz="6" w:space="0" w:color="FFFFFF"/>
              <w:right w:val="single" w:sz="6" w:space="0" w:color="FFFFFF"/>
            </w:tcBorders>
            <w:shd w:val="clear" w:color="auto" w:fill="1A335C"/>
          </w:tcPr>
          <w:p w14:paraId="199C2B43" w14:textId="77777777" w:rsidR="00EB3918" w:rsidRDefault="00000000">
            <w:pPr>
              <w:spacing w:before="60" w:after="60"/>
              <w:ind w:left="101" w:right="58"/>
            </w:pPr>
            <w:r>
              <w:rPr>
                <w:rFonts w:ascii="Calibri" w:hAnsi="Calibri"/>
                <w:b/>
                <w:color w:val="FFFFFF"/>
                <w:sz w:val="18"/>
              </w:rPr>
              <w:t>Status</w:t>
            </w:r>
          </w:p>
        </w:tc>
      </w:tr>
      <w:tr w:rsidR="00EB3918" w14:paraId="6C014481" w14:textId="77777777">
        <w:tc>
          <w:tcPr>
            <w:tcW w:w="2880" w:type="dxa"/>
            <w:tcBorders>
              <w:top w:val="single" w:sz="4" w:space="0" w:color="B0C4D8"/>
              <w:left w:val="single" w:sz="4" w:space="0" w:color="B0C4D8"/>
              <w:bottom w:val="single" w:sz="4" w:space="0" w:color="B0C4D8"/>
              <w:right w:val="single" w:sz="4" w:space="0" w:color="B0C4D8"/>
            </w:tcBorders>
            <w:shd w:val="clear" w:color="auto" w:fill="FDECEA"/>
          </w:tcPr>
          <w:p w14:paraId="4E46F631" w14:textId="77777777" w:rsidR="00EB3918" w:rsidRDefault="00000000">
            <w:pPr>
              <w:spacing w:before="60" w:after="60"/>
              <w:ind w:left="101" w:right="58"/>
            </w:pPr>
            <w:r>
              <w:rPr>
                <w:rFonts w:ascii="Calibri" w:hAnsi="Calibri"/>
                <w:b/>
                <w:color w:val="1A335C"/>
                <w:sz w:val="18"/>
              </w:rPr>
              <w:t>Model Documentation</w:t>
            </w:r>
          </w:p>
        </w:tc>
        <w:tc>
          <w:tcPr>
            <w:tcW w:w="6048" w:type="dxa"/>
            <w:tcBorders>
              <w:top w:val="single" w:sz="4" w:space="0" w:color="B0C4D8"/>
              <w:left w:val="single" w:sz="4" w:space="0" w:color="B0C4D8"/>
              <w:bottom w:val="single" w:sz="4" w:space="0" w:color="B0C4D8"/>
              <w:right w:val="single" w:sz="4" w:space="0" w:color="B0C4D8"/>
            </w:tcBorders>
            <w:shd w:val="clear" w:color="auto" w:fill="FFFFFF"/>
          </w:tcPr>
          <w:p w14:paraId="135FA18D" w14:textId="77777777" w:rsidR="00EB3918" w:rsidRDefault="00000000">
            <w:pPr>
              <w:spacing w:before="60" w:after="60"/>
              <w:ind w:left="101" w:right="58"/>
            </w:pPr>
            <w:r>
              <w:rPr>
                <w:rFonts w:ascii="Calibri" w:hAnsi="Calibri"/>
                <w:color w:val="1A1A1A"/>
                <w:sz w:val="18"/>
              </w:rPr>
              <w:t>Not fully reviewed — model card and documentation not yet received</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56C55957" w14:textId="77777777" w:rsidR="00EB3918" w:rsidRDefault="00000000">
            <w:pPr>
              <w:spacing w:before="60" w:after="60"/>
              <w:ind w:left="101" w:right="58"/>
            </w:pPr>
            <w:r>
              <w:rPr>
                <w:rFonts w:ascii="Calibri" w:hAnsi="Calibri"/>
                <w:b/>
                <w:color w:val="C00000"/>
                <w:sz w:val="18"/>
              </w:rPr>
              <w:t>Open</w:t>
            </w:r>
          </w:p>
        </w:tc>
      </w:tr>
      <w:tr w:rsidR="00EB3918" w14:paraId="5BB71E11" w14:textId="77777777">
        <w:tc>
          <w:tcPr>
            <w:tcW w:w="2880" w:type="dxa"/>
            <w:tcBorders>
              <w:top w:val="single" w:sz="4" w:space="0" w:color="B0C4D8"/>
              <w:left w:val="single" w:sz="4" w:space="0" w:color="B0C4D8"/>
              <w:bottom w:val="single" w:sz="4" w:space="0" w:color="B0C4D8"/>
              <w:right w:val="single" w:sz="4" w:space="0" w:color="B0C4D8"/>
            </w:tcBorders>
            <w:shd w:val="clear" w:color="auto" w:fill="FEF3E2"/>
          </w:tcPr>
          <w:p w14:paraId="07AE0A45" w14:textId="77777777" w:rsidR="00EB3918" w:rsidRDefault="00000000">
            <w:pPr>
              <w:spacing w:before="60" w:after="60"/>
              <w:ind w:left="101" w:right="58"/>
            </w:pPr>
            <w:r>
              <w:rPr>
                <w:rFonts w:ascii="Calibri" w:hAnsi="Calibri"/>
                <w:b/>
                <w:color w:val="1A335C"/>
                <w:sz w:val="18"/>
              </w:rPr>
              <w:t>Training Data Summary</w:t>
            </w:r>
          </w:p>
        </w:tc>
        <w:tc>
          <w:tcPr>
            <w:tcW w:w="6048" w:type="dxa"/>
            <w:tcBorders>
              <w:top w:val="single" w:sz="4" w:space="0" w:color="B0C4D8"/>
              <w:left w:val="single" w:sz="4" w:space="0" w:color="B0C4D8"/>
              <w:bottom w:val="single" w:sz="4" w:space="0" w:color="B0C4D8"/>
              <w:right w:val="single" w:sz="4" w:space="0" w:color="B0C4D8"/>
            </w:tcBorders>
            <w:shd w:val="clear" w:color="auto" w:fill="FAFCFF"/>
          </w:tcPr>
          <w:p w14:paraId="3ACCA0DB" w14:textId="77777777" w:rsidR="00EB3918" w:rsidRDefault="00000000">
            <w:pPr>
              <w:spacing w:before="60" w:after="60"/>
              <w:ind w:left="101" w:right="58"/>
            </w:pPr>
            <w:r>
              <w:rPr>
                <w:rFonts w:ascii="Calibri" w:hAnsi="Calibri"/>
                <w:color w:val="1A1A1A"/>
                <w:sz w:val="18"/>
              </w:rPr>
              <w:t>Not yet received — vendor has not provided training data documentation</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5743B657" w14:textId="77777777" w:rsidR="00EB3918" w:rsidRDefault="00000000">
            <w:pPr>
              <w:spacing w:before="60" w:after="60"/>
              <w:ind w:left="101" w:right="58"/>
            </w:pPr>
            <w:r>
              <w:rPr>
                <w:rFonts w:ascii="Calibri" w:hAnsi="Calibri"/>
                <w:b/>
                <w:color w:val="C00000"/>
                <w:sz w:val="18"/>
              </w:rPr>
              <w:t>Open</w:t>
            </w:r>
          </w:p>
        </w:tc>
      </w:tr>
      <w:tr w:rsidR="00EB3918" w14:paraId="1D92B9BA" w14:textId="77777777">
        <w:tc>
          <w:tcPr>
            <w:tcW w:w="2880" w:type="dxa"/>
            <w:tcBorders>
              <w:top w:val="single" w:sz="4" w:space="0" w:color="B0C4D8"/>
              <w:left w:val="single" w:sz="4" w:space="0" w:color="B0C4D8"/>
              <w:bottom w:val="single" w:sz="4" w:space="0" w:color="B0C4D8"/>
              <w:right w:val="single" w:sz="4" w:space="0" w:color="B0C4D8"/>
            </w:tcBorders>
            <w:shd w:val="clear" w:color="auto" w:fill="FDECEA"/>
          </w:tcPr>
          <w:p w14:paraId="1B0952B0" w14:textId="77777777" w:rsidR="00EB3918" w:rsidRDefault="00000000">
            <w:pPr>
              <w:spacing w:before="60" w:after="60"/>
              <w:ind w:left="101" w:right="58"/>
            </w:pPr>
            <w:r>
              <w:rPr>
                <w:rFonts w:ascii="Calibri" w:hAnsi="Calibri"/>
                <w:b/>
                <w:color w:val="1A335C"/>
                <w:sz w:val="18"/>
              </w:rPr>
              <w:t>Fairness Testing Evidence</w:t>
            </w:r>
          </w:p>
        </w:tc>
        <w:tc>
          <w:tcPr>
            <w:tcW w:w="6048" w:type="dxa"/>
            <w:tcBorders>
              <w:top w:val="single" w:sz="4" w:space="0" w:color="B0C4D8"/>
              <w:left w:val="single" w:sz="4" w:space="0" w:color="B0C4D8"/>
              <w:bottom w:val="single" w:sz="4" w:space="0" w:color="B0C4D8"/>
              <w:right w:val="single" w:sz="4" w:space="0" w:color="B0C4D8"/>
            </w:tcBorders>
            <w:shd w:val="clear" w:color="auto" w:fill="FFFFFF"/>
          </w:tcPr>
          <w:p w14:paraId="4FB5DB9D" w14:textId="77777777" w:rsidR="00EB3918" w:rsidRDefault="00000000">
            <w:pPr>
              <w:spacing w:before="60" w:after="60"/>
              <w:ind w:left="101" w:right="58"/>
            </w:pPr>
            <w:r>
              <w:rPr>
                <w:rFonts w:ascii="Calibri" w:hAnsi="Calibri"/>
                <w:color w:val="1A1A1A"/>
                <w:sz w:val="18"/>
              </w:rPr>
              <w:t>Not yet complete — disparate impact analysis and bias review outstanding</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0EB70049" w14:textId="77777777" w:rsidR="00EB3918" w:rsidRDefault="00000000">
            <w:pPr>
              <w:spacing w:before="60" w:after="60"/>
              <w:ind w:left="101" w:right="58"/>
            </w:pPr>
            <w:r>
              <w:rPr>
                <w:rFonts w:ascii="Calibri" w:hAnsi="Calibri"/>
                <w:b/>
                <w:color w:val="C00000"/>
                <w:sz w:val="18"/>
              </w:rPr>
              <w:t>Open</w:t>
            </w:r>
          </w:p>
        </w:tc>
      </w:tr>
      <w:tr w:rsidR="00EB3918" w14:paraId="2E9BC3E4" w14:textId="77777777">
        <w:tc>
          <w:tcPr>
            <w:tcW w:w="2880" w:type="dxa"/>
            <w:tcBorders>
              <w:top w:val="single" w:sz="4" w:space="0" w:color="B0C4D8"/>
              <w:left w:val="single" w:sz="4" w:space="0" w:color="B0C4D8"/>
              <w:bottom w:val="single" w:sz="4" w:space="0" w:color="B0C4D8"/>
              <w:right w:val="single" w:sz="4" w:space="0" w:color="B0C4D8"/>
            </w:tcBorders>
            <w:shd w:val="clear" w:color="auto" w:fill="FEF3E2"/>
          </w:tcPr>
          <w:p w14:paraId="20EBD9CE" w14:textId="77777777" w:rsidR="00EB3918" w:rsidRDefault="00000000">
            <w:pPr>
              <w:spacing w:before="60" w:after="60"/>
              <w:ind w:left="101" w:right="58"/>
            </w:pPr>
            <w:r>
              <w:rPr>
                <w:rFonts w:ascii="Calibri" w:hAnsi="Calibri"/>
                <w:b/>
                <w:color w:val="1A335C"/>
                <w:sz w:val="18"/>
              </w:rPr>
              <w:t>Reason Code Validation</w:t>
            </w:r>
          </w:p>
        </w:tc>
        <w:tc>
          <w:tcPr>
            <w:tcW w:w="6048" w:type="dxa"/>
            <w:tcBorders>
              <w:top w:val="single" w:sz="4" w:space="0" w:color="B0C4D8"/>
              <w:left w:val="single" w:sz="4" w:space="0" w:color="B0C4D8"/>
              <w:bottom w:val="single" w:sz="4" w:space="0" w:color="B0C4D8"/>
              <w:right w:val="single" w:sz="4" w:space="0" w:color="B0C4D8"/>
            </w:tcBorders>
            <w:shd w:val="clear" w:color="auto" w:fill="FAFCFF"/>
          </w:tcPr>
          <w:p w14:paraId="130F8762" w14:textId="77777777" w:rsidR="00EB3918" w:rsidRDefault="00000000">
            <w:pPr>
              <w:spacing w:before="60" w:after="60"/>
              <w:ind w:left="101" w:right="58"/>
            </w:pPr>
            <w:r>
              <w:rPr>
                <w:rFonts w:ascii="Calibri" w:hAnsi="Calibri"/>
                <w:color w:val="1A1A1A"/>
                <w:sz w:val="18"/>
              </w:rPr>
              <w:t xml:space="preserve">Pending — reason code methodology and accuracy not yet </w:t>
            </w:r>
            <w:r>
              <w:rPr>
                <w:rFonts w:ascii="Calibri" w:hAnsi="Calibri"/>
                <w:color w:val="1A1A1A"/>
                <w:sz w:val="18"/>
              </w:rPr>
              <w:lastRenderedPageBreak/>
              <w:t>validated</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55C98262" w14:textId="77777777" w:rsidR="00EB3918" w:rsidRDefault="00000000">
            <w:pPr>
              <w:spacing w:before="60" w:after="60"/>
              <w:ind w:left="101" w:right="58"/>
            </w:pPr>
            <w:r>
              <w:rPr>
                <w:rFonts w:ascii="Calibri" w:hAnsi="Calibri"/>
                <w:b/>
                <w:color w:val="C00000"/>
                <w:sz w:val="18"/>
              </w:rPr>
              <w:lastRenderedPageBreak/>
              <w:t>Open</w:t>
            </w:r>
          </w:p>
        </w:tc>
      </w:tr>
      <w:tr w:rsidR="00EB3918" w14:paraId="3F86612B" w14:textId="77777777">
        <w:tc>
          <w:tcPr>
            <w:tcW w:w="2880" w:type="dxa"/>
            <w:tcBorders>
              <w:top w:val="single" w:sz="4" w:space="0" w:color="B0C4D8"/>
              <w:left w:val="single" w:sz="4" w:space="0" w:color="B0C4D8"/>
              <w:bottom w:val="single" w:sz="4" w:space="0" w:color="B0C4D8"/>
              <w:right w:val="single" w:sz="4" w:space="0" w:color="B0C4D8"/>
            </w:tcBorders>
            <w:shd w:val="clear" w:color="auto" w:fill="FDECEA"/>
          </w:tcPr>
          <w:p w14:paraId="28B6D6F3" w14:textId="77777777" w:rsidR="00EB3918" w:rsidRDefault="00000000">
            <w:pPr>
              <w:spacing w:before="60" w:after="60"/>
              <w:ind w:left="101" w:right="58"/>
            </w:pPr>
            <w:r>
              <w:rPr>
                <w:rFonts w:ascii="Calibri" w:hAnsi="Calibri"/>
                <w:b/>
                <w:color w:val="1A335C"/>
                <w:sz w:val="18"/>
              </w:rPr>
              <w:t>Security Assessment</w:t>
            </w:r>
          </w:p>
        </w:tc>
        <w:tc>
          <w:tcPr>
            <w:tcW w:w="6048" w:type="dxa"/>
            <w:tcBorders>
              <w:top w:val="single" w:sz="4" w:space="0" w:color="B0C4D8"/>
              <w:left w:val="single" w:sz="4" w:space="0" w:color="B0C4D8"/>
              <w:bottom w:val="single" w:sz="4" w:space="0" w:color="B0C4D8"/>
              <w:right w:val="single" w:sz="4" w:space="0" w:color="B0C4D8"/>
            </w:tcBorders>
            <w:shd w:val="clear" w:color="auto" w:fill="FFFFFF"/>
          </w:tcPr>
          <w:p w14:paraId="0960E8F2" w14:textId="77777777" w:rsidR="00EB3918" w:rsidRDefault="00000000">
            <w:pPr>
              <w:spacing w:before="60" w:after="60"/>
              <w:ind w:left="101" w:right="58"/>
            </w:pPr>
            <w:r>
              <w:rPr>
                <w:rFonts w:ascii="Calibri" w:hAnsi="Calibri"/>
                <w:color w:val="1A1A1A"/>
                <w:sz w:val="18"/>
              </w:rPr>
              <w:t>Pending — API security, encryption, and data protection review not complete</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65D53606" w14:textId="77777777" w:rsidR="00EB3918" w:rsidRDefault="00000000">
            <w:pPr>
              <w:spacing w:before="60" w:after="60"/>
              <w:ind w:left="101" w:right="58"/>
            </w:pPr>
            <w:r>
              <w:rPr>
                <w:rFonts w:ascii="Calibri" w:hAnsi="Calibri"/>
                <w:b/>
                <w:color w:val="C00000"/>
                <w:sz w:val="18"/>
              </w:rPr>
              <w:t>Open</w:t>
            </w:r>
          </w:p>
        </w:tc>
      </w:tr>
      <w:tr w:rsidR="00EB3918" w14:paraId="5E5E6947" w14:textId="77777777">
        <w:tc>
          <w:tcPr>
            <w:tcW w:w="2880" w:type="dxa"/>
            <w:tcBorders>
              <w:top w:val="single" w:sz="4" w:space="0" w:color="B0C4D8"/>
              <w:left w:val="single" w:sz="4" w:space="0" w:color="B0C4D8"/>
              <w:bottom w:val="single" w:sz="4" w:space="0" w:color="B0C4D8"/>
              <w:right w:val="single" w:sz="4" w:space="0" w:color="B0C4D8"/>
            </w:tcBorders>
            <w:shd w:val="clear" w:color="auto" w:fill="FEF3E2"/>
          </w:tcPr>
          <w:p w14:paraId="214A720F" w14:textId="77777777" w:rsidR="00EB3918" w:rsidRDefault="00000000">
            <w:pPr>
              <w:spacing w:before="60" w:after="60"/>
              <w:ind w:left="101" w:right="58"/>
            </w:pPr>
            <w:r>
              <w:rPr>
                <w:rFonts w:ascii="Calibri" w:hAnsi="Calibri"/>
                <w:b/>
                <w:color w:val="1A335C"/>
                <w:sz w:val="18"/>
              </w:rPr>
              <w:t>Vendor Audit Rights</w:t>
            </w:r>
          </w:p>
        </w:tc>
        <w:tc>
          <w:tcPr>
            <w:tcW w:w="6048" w:type="dxa"/>
            <w:tcBorders>
              <w:top w:val="single" w:sz="4" w:space="0" w:color="B0C4D8"/>
              <w:left w:val="single" w:sz="4" w:space="0" w:color="B0C4D8"/>
              <w:bottom w:val="single" w:sz="4" w:space="0" w:color="B0C4D8"/>
              <w:right w:val="single" w:sz="4" w:space="0" w:color="B0C4D8"/>
            </w:tcBorders>
            <w:shd w:val="clear" w:color="auto" w:fill="FAFCFF"/>
          </w:tcPr>
          <w:p w14:paraId="40066F35" w14:textId="77777777" w:rsidR="00EB3918" w:rsidRDefault="00000000">
            <w:pPr>
              <w:spacing w:before="60" w:after="60"/>
              <w:ind w:left="101" w:right="58"/>
            </w:pPr>
            <w:r>
              <w:rPr>
                <w:rFonts w:ascii="Calibri" w:hAnsi="Calibri"/>
                <w:color w:val="1A1A1A"/>
                <w:sz w:val="18"/>
              </w:rPr>
              <w:t>Not confirmed — audit support obligations not yet contractually established</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51E52237" w14:textId="77777777" w:rsidR="00EB3918" w:rsidRDefault="00000000">
            <w:pPr>
              <w:spacing w:before="60" w:after="60"/>
              <w:ind w:left="101" w:right="58"/>
            </w:pPr>
            <w:r>
              <w:rPr>
                <w:rFonts w:ascii="Calibri" w:hAnsi="Calibri"/>
                <w:b/>
                <w:color w:val="C00000"/>
                <w:sz w:val="18"/>
              </w:rPr>
              <w:t>Open</w:t>
            </w:r>
          </w:p>
        </w:tc>
      </w:tr>
      <w:tr w:rsidR="00EB3918" w14:paraId="0ADAD115" w14:textId="77777777">
        <w:tc>
          <w:tcPr>
            <w:tcW w:w="2880" w:type="dxa"/>
            <w:tcBorders>
              <w:top w:val="single" w:sz="4" w:space="0" w:color="B0C4D8"/>
              <w:left w:val="single" w:sz="4" w:space="0" w:color="B0C4D8"/>
              <w:bottom w:val="single" w:sz="4" w:space="0" w:color="B0C4D8"/>
              <w:right w:val="single" w:sz="4" w:space="0" w:color="B0C4D8"/>
            </w:tcBorders>
            <w:shd w:val="clear" w:color="auto" w:fill="FDECEA"/>
          </w:tcPr>
          <w:p w14:paraId="66F9A5B4" w14:textId="77777777" w:rsidR="00EB3918" w:rsidRDefault="00000000">
            <w:pPr>
              <w:spacing w:before="60" w:after="60"/>
              <w:ind w:left="101" w:right="58"/>
            </w:pPr>
            <w:r>
              <w:rPr>
                <w:rFonts w:ascii="Calibri" w:hAnsi="Calibri"/>
                <w:b/>
                <w:color w:val="1A335C"/>
                <w:sz w:val="18"/>
              </w:rPr>
              <w:t>Model Update Notification</w:t>
            </w:r>
          </w:p>
        </w:tc>
        <w:tc>
          <w:tcPr>
            <w:tcW w:w="6048" w:type="dxa"/>
            <w:tcBorders>
              <w:top w:val="single" w:sz="4" w:space="0" w:color="B0C4D8"/>
              <w:left w:val="single" w:sz="4" w:space="0" w:color="B0C4D8"/>
              <w:bottom w:val="single" w:sz="4" w:space="0" w:color="B0C4D8"/>
              <w:right w:val="single" w:sz="4" w:space="0" w:color="B0C4D8"/>
            </w:tcBorders>
            <w:shd w:val="clear" w:color="auto" w:fill="FFFFFF"/>
          </w:tcPr>
          <w:p w14:paraId="1256CD39" w14:textId="77777777" w:rsidR="00EB3918" w:rsidRDefault="00000000">
            <w:pPr>
              <w:spacing w:before="60" w:after="60"/>
              <w:ind w:left="101" w:right="58"/>
            </w:pPr>
            <w:r>
              <w:rPr>
                <w:rFonts w:ascii="Calibri" w:hAnsi="Calibri"/>
                <w:color w:val="1A1A1A"/>
                <w:sz w:val="18"/>
              </w:rPr>
              <w:t>Needs contractual confirmation — advance notice obligations not yet agreed</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270BCD97" w14:textId="77777777" w:rsidR="00EB3918" w:rsidRDefault="00000000">
            <w:pPr>
              <w:spacing w:before="60" w:after="60"/>
              <w:ind w:left="101" w:right="58"/>
            </w:pPr>
            <w:r>
              <w:rPr>
                <w:rFonts w:ascii="Calibri" w:hAnsi="Calibri"/>
                <w:b/>
                <w:color w:val="C00000"/>
                <w:sz w:val="18"/>
              </w:rPr>
              <w:t>Open</w:t>
            </w:r>
          </w:p>
        </w:tc>
      </w:tr>
      <w:tr w:rsidR="00EB3918" w14:paraId="1E1D348B" w14:textId="77777777">
        <w:tc>
          <w:tcPr>
            <w:tcW w:w="2880" w:type="dxa"/>
            <w:tcBorders>
              <w:top w:val="single" w:sz="4" w:space="0" w:color="B0C4D8"/>
              <w:left w:val="single" w:sz="4" w:space="0" w:color="B0C4D8"/>
              <w:bottom w:val="single" w:sz="4" w:space="0" w:color="B0C4D8"/>
              <w:right w:val="single" w:sz="4" w:space="0" w:color="B0C4D8"/>
            </w:tcBorders>
            <w:shd w:val="clear" w:color="auto" w:fill="FEF3E2"/>
          </w:tcPr>
          <w:p w14:paraId="0793C117" w14:textId="77777777" w:rsidR="00EB3918" w:rsidRDefault="00000000">
            <w:pPr>
              <w:spacing w:before="60" w:after="60"/>
              <w:ind w:left="101" w:right="58"/>
            </w:pPr>
            <w:r>
              <w:rPr>
                <w:rFonts w:ascii="Calibri" w:hAnsi="Calibri"/>
                <w:b/>
                <w:color w:val="1A335C"/>
                <w:sz w:val="18"/>
              </w:rPr>
              <w:t>Monitoring Thresholds</w:t>
            </w:r>
          </w:p>
        </w:tc>
        <w:tc>
          <w:tcPr>
            <w:tcW w:w="6048" w:type="dxa"/>
            <w:tcBorders>
              <w:top w:val="single" w:sz="4" w:space="0" w:color="B0C4D8"/>
              <w:left w:val="single" w:sz="4" w:space="0" w:color="B0C4D8"/>
              <w:bottom w:val="single" w:sz="4" w:space="0" w:color="B0C4D8"/>
              <w:right w:val="single" w:sz="4" w:space="0" w:color="B0C4D8"/>
            </w:tcBorders>
            <w:shd w:val="clear" w:color="auto" w:fill="FAFCFF"/>
          </w:tcPr>
          <w:p w14:paraId="4A633425" w14:textId="77777777" w:rsidR="00EB3918" w:rsidRDefault="00000000">
            <w:pPr>
              <w:spacing w:before="60" w:after="60"/>
              <w:ind w:left="101" w:right="58"/>
            </w:pPr>
            <w:r>
              <w:rPr>
                <w:rFonts w:ascii="Calibri" w:hAnsi="Calibri"/>
                <w:color w:val="1A1A1A"/>
                <w:sz w:val="18"/>
              </w:rPr>
              <w:t>Not finalized — performance metrics, drift thresholds, and alerting criteria pending</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5AD45066" w14:textId="77777777" w:rsidR="00EB3918" w:rsidRDefault="00000000">
            <w:pPr>
              <w:spacing w:before="60" w:after="60"/>
              <w:ind w:left="101" w:right="58"/>
            </w:pPr>
            <w:r>
              <w:rPr>
                <w:rFonts w:ascii="Calibri" w:hAnsi="Calibri"/>
                <w:b/>
                <w:color w:val="C00000"/>
                <w:sz w:val="18"/>
              </w:rPr>
              <w:t>Open</w:t>
            </w:r>
          </w:p>
        </w:tc>
      </w:tr>
      <w:tr w:rsidR="00EB3918" w14:paraId="4E9780EC" w14:textId="77777777">
        <w:tc>
          <w:tcPr>
            <w:tcW w:w="2880" w:type="dxa"/>
            <w:tcBorders>
              <w:top w:val="single" w:sz="4" w:space="0" w:color="B0C4D8"/>
              <w:left w:val="single" w:sz="4" w:space="0" w:color="B0C4D8"/>
              <w:bottom w:val="single" w:sz="4" w:space="0" w:color="B0C4D8"/>
              <w:right w:val="single" w:sz="4" w:space="0" w:color="B0C4D8"/>
            </w:tcBorders>
            <w:shd w:val="clear" w:color="auto" w:fill="FDECEA"/>
          </w:tcPr>
          <w:p w14:paraId="61758A04" w14:textId="77777777" w:rsidR="00EB3918" w:rsidRDefault="00000000">
            <w:pPr>
              <w:spacing w:before="60" w:after="60"/>
              <w:ind w:left="101" w:right="58"/>
            </w:pPr>
            <w:r>
              <w:rPr>
                <w:rFonts w:ascii="Calibri" w:hAnsi="Calibri"/>
                <w:b/>
                <w:color w:val="1A335C"/>
                <w:sz w:val="18"/>
              </w:rPr>
              <w:t>Incident Notification</w:t>
            </w:r>
          </w:p>
        </w:tc>
        <w:tc>
          <w:tcPr>
            <w:tcW w:w="6048" w:type="dxa"/>
            <w:tcBorders>
              <w:top w:val="single" w:sz="4" w:space="0" w:color="B0C4D8"/>
              <w:left w:val="single" w:sz="4" w:space="0" w:color="B0C4D8"/>
              <w:bottom w:val="single" w:sz="4" w:space="0" w:color="B0C4D8"/>
              <w:right w:val="single" w:sz="4" w:space="0" w:color="B0C4D8"/>
            </w:tcBorders>
            <w:shd w:val="clear" w:color="auto" w:fill="FFFFFF"/>
          </w:tcPr>
          <w:p w14:paraId="753CAD44" w14:textId="77777777" w:rsidR="00EB3918" w:rsidRDefault="00000000">
            <w:pPr>
              <w:spacing w:before="60" w:after="60"/>
              <w:ind w:left="101" w:right="58"/>
            </w:pPr>
            <w:r>
              <w:rPr>
                <w:rFonts w:ascii="Calibri" w:hAnsi="Calibri"/>
                <w:color w:val="1A1A1A"/>
                <w:sz w:val="18"/>
              </w:rPr>
              <w:t>Needs contractual confirmation — notification timelines not yet agreed</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33D00689" w14:textId="77777777" w:rsidR="00EB3918" w:rsidRDefault="00000000">
            <w:pPr>
              <w:spacing w:before="60" w:after="60"/>
              <w:ind w:left="101" w:right="58"/>
            </w:pPr>
            <w:r>
              <w:rPr>
                <w:rFonts w:ascii="Calibri" w:hAnsi="Calibri"/>
                <w:b/>
                <w:color w:val="C00000"/>
                <w:sz w:val="18"/>
              </w:rPr>
              <w:t>Open</w:t>
            </w:r>
          </w:p>
        </w:tc>
      </w:tr>
      <w:tr w:rsidR="00EB3918" w14:paraId="13336CBD" w14:textId="77777777">
        <w:tc>
          <w:tcPr>
            <w:tcW w:w="2880" w:type="dxa"/>
            <w:tcBorders>
              <w:top w:val="single" w:sz="4" w:space="0" w:color="B0C4D8"/>
              <w:left w:val="single" w:sz="4" w:space="0" w:color="B0C4D8"/>
              <w:bottom w:val="single" w:sz="4" w:space="0" w:color="B0C4D8"/>
              <w:right w:val="single" w:sz="4" w:space="0" w:color="B0C4D8"/>
            </w:tcBorders>
            <w:shd w:val="clear" w:color="auto" w:fill="FEF3E2"/>
          </w:tcPr>
          <w:p w14:paraId="2539BEB2" w14:textId="77777777" w:rsidR="00EB3918" w:rsidRDefault="00000000">
            <w:pPr>
              <w:spacing w:before="60" w:after="60"/>
              <w:ind w:left="101" w:right="58"/>
            </w:pPr>
            <w:r>
              <w:rPr>
                <w:rFonts w:ascii="Calibri" w:hAnsi="Calibri"/>
                <w:b/>
                <w:color w:val="1A335C"/>
                <w:sz w:val="18"/>
              </w:rPr>
              <w:t>Production Approval</w:t>
            </w:r>
          </w:p>
        </w:tc>
        <w:tc>
          <w:tcPr>
            <w:tcW w:w="6048" w:type="dxa"/>
            <w:tcBorders>
              <w:top w:val="single" w:sz="4" w:space="0" w:color="B0C4D8"/>
              <w:left w:val="single" w:sz="4" w:space="0" w:color="B0C4D8"/>
              <w:bottom w:val="single" w:sz="4" w:space="0" w:color="B0C4D8"/>
              <w:right w:val="single" w:sz="4" w:space="0" w:color="B0C4D8"/>
            </w:tcBorders>
            <w:shd w:val="clear" w:color="auto" w:fill="FAFCFF"/>
          </w:tcPr>
          <w:p w14:paraId="335567CA" w14:textId="77777777" w:rsidR="00EB3918" w:rsidRDefault="00000000">
            <w:pPr>
              <w:spacing w:before="60" w:after="60"/>
              <w:ind w:left="101" w:right="58"/>
            </w:pPr>
            <w:r>
              <w:rPr>
                <w:rFonts w:ascii="Calibri" w:hAnsi="Calibri"/>
                <w:color w:val="1A1A1A"/>
                <w:sz w:val="18"/>
              </w:rPr>
              <w:t>Not ready — full production approval must not be granted at this stage</w:t>
            </w:r>
          </w:p>
        </w:tc>
        <w:tc>
          <w:tcPr>
            <w:tcW w:w="2016" w:type="dxa"/>
            <w:tcBorders>
              <w:top w:val="single" w:sz="4" w:space="0" w:color="B0C4D8"/>
              <w:left w:val="single" w:sz="4" w:space="0" w:color="B0C4D8"/>
              <w:bottom w:val="single" w:sz="4" w:space="0" w:color="B0C4D8"/>
              <w:right w:val="single" w:sz="4" w:space="0" w:color="B0C4D8"/>
            </w:tcBorders>
            <w:shd w:val="clear" w:color="auto" w:fill="FDECEA"/>
          </w:tcPr>
          <w:p w14:paraId="6E7B81E7" w14:textId="77777777" w:rsidR="00EB3918" w:rsidRDefault="00000000">
            <w:pPr>
              <w:spacing w:before="60" w:after="60"/>
              <w:ind w:left="101" w:right="58"/>
            </w:pPr>
            <w:r>
              <w:rPr>
                <w:rFonts w:ascii="Calibri" w:hAnsi="Calibri"/>
                <w:b/>
                <w:color w:val="C00000"/>
                <w:sz w:val="18"/>
              </w:rPr>
              <w:t>Open</w:t>
            </w:r>
          </w:p>
        </w:tc>
      </w:tr>
    </w:tbl>
    <w:p w14:paraId="36DF3ED7" w14:textId="77777777" w:rsidR="00EB3918" w:rsidRDefault="00EB3918">
      <w:pPr>
        <w:spacing w:after="160"/>
      </w:pPr>
    </w:p>
    <w:p w14:paraId="2D7A9014" w14:textId="77777777" w:rsidR="00EB3918" w:rsidRDefault="00000000">
      <w:pPr>
        <w:shd w:val="clear" w:color="auto" w:fill="1A335C"/>
        <w:spacing w:before="280" w:after="100"/>
      </w:pPr>
      <w:r>
        <w:rPr>
          <w:rFonts w:ascii="Calibri" w:hAnsi="Calibri"/>
          <w:b/>
          <w:color w:val="FFFFFF"/>
          <w:sz w:val="24"/>
        </w:rPr>
        <w:t xml:space="preserve">  17.  PRODUCTION READINESS ASSESSMENT</w:t>
      </w:r>
    </w:p>
    <w:p w14:paraId="51F61E2A" w14:textId="77777777" w:rsidR="00EB3918" w:rsidRDefault="00000000">
      <w:pPr>
        <w:shd w:val="clear" w:color="auto" w:fill="FDECEA"/>
        <w:spacing w:before="80" w:after="160"/>
        <w:ind w:left="144" w:right="144"/>
      </w:pPr>
      <w:r>
        <w:rPr>
          <w:rFonts w:ascii="Calibri" w:hAnsi="Calibri"/>
          <w:b/>
          <w:color w:val="C00000"/>
          <w:sz w:val="20"/>
        </w:rPr>
        <w:t xml:space="preserve">  Current Assessment: </w:t>
      </w:r>
      <w:r>
        <w:rPr>
          <w:rFonts w:ascii="Calibri" w:hAnsi="Calibri"/>
          <w:color w:val="1A1A1A"/>
          <w:sz w:val="20"/>
        </w:rPr>
        <w:t>The vendor and model are not ready for full production approval at this stage. A limited or controlled pilot may be considered only after all conditions below are satisfied.</w:t>
      </w:r>
    </w:p>
    <w:p w14:paraId="69F0155C" w14:textId="77777777" w:rsidR="00EB3918" w:rsidRDefault="00000000">
      <w:pPr>
        <w:spacing w:before="80" w:after="60"/>
      </w:pPr>
      <w:r>
        <w:rPr>
          <w:rFonts w:ascii="Calibri" w:hAnsi="Calibri"/>
          <w:color w:val="1A1A1A"/>
          <w:sz w:val="20"/>
        </w:rPr>
        <w:t>A limited pilot may be considered only if Meridian confirms all of the following:</w:t>
      </w:r>
    </w:p>
    <w:p w14:paraId="3A705E09" w14:textId="77777777" w:rsidR="00EB3918" w:rsidRDefault="00000000">
      <w:pPr>
        <w:pStyle w:val="ListBullet"/>
        <w:spacing w:before="20" w:after="20"/>
      </w:pPr>
      <w:r>
        <w:rPr>
          <w:rFonts w:ascii="Calibri" w:hAnsi="Calibri"/>
          <w:color w:val="1A1A1A"/>
          <w:sz w:val="20"/>
        </w:rPr>
        <w:t>Fairness testing is completed and results are documented</w:t>
      </w:r>
    </w:p>
    <w:p w14:paraId="03D46387" w14:textId="77777777" w:rsidR="00EB3918" w:rsidRDefault="00000000">
      <w:pPr>
        <w:pStyle w:val="ListBullet"/>
        <w:spacing w:before="20" w:after="20"/>
      </w:pPr>
      <w:r>
        <w:rPr>
          <w:rFonts w:ascii="Calibri" w:hAnsi="Calibri"/>
          <w:color w:val="1A1A1A"/>
          <w:sz w:val="20"/>
        </w:rPr>
        <w:t>Reason codes are validated and confirmed adequate for adverse action</w:t>
      </w:r>
    </w:p>
    <w:p w14:paraId="05FAE6DF" w14:textId="77777777" w:rsidR="00EB3918" w:rsidRDefault="00000000">
      <w:pPr>
        <w:pStyle w:val="ListBullet"/>
        <w:spacing w:before="20" w:after="20"/>
      </w:pPr>
      <w:r>
        <w:rPr>
          <w:rFonts w:ascii="Calibri" w:hAnsi="Calibri"/>
          <w:color w:val="1A1A1A"/>
          <w:sz w:val="20"/>
        </w:rPr>
        <w:t>Human review triggers are defined and approved</w:t>
      </w:r>
    </w:p>
    <w:p w14:paraId="0577AEAA" w14:textId="77777777" w:rsidR="00EB3918" w:rsidRDefault="00000000">
      <w:pPr>
        <w:pStyle w:val="ListBullet"/>
        <w:spacing w:before="20" w:after="20"/>
      </w:pPr>
      <w:r>
        <w:rPr>
          <w:rFonts w:ascii="Calibri" w:hAnsi="Calibri"/>
          <w:color w:val="1A1A1A"/>
          <w:sz w:val="20"/>
        </w:rPr>
        <w:t>Appeal process is documented and tested</w:t>
      </w:r>
    </w:p>
    <w:p w14:paraId="5B746555" w14:textId="77777777" w:rsidR="00EB3918" w:rsidRDefault="00000000">
      <w:pPr>
        <w:pStyle w:val="ListBullet"/>
        <w:spacing w:before="20" w:after="20"/>
      </w:pPr>
      <w:r>
        <w:rPr>
          <w:rFonts w:ascii="Calibri" w:hAnsi="Calibri"/>
          <w:color w:val="1A1A1A"/>
          <w:sz w:val="20"/>
        </w:rPr>
        <w:t>Security review is completed and accepted</w:t>
      </w:r>
    </w:p>
    <w:p w14:paraId="1B6042DA" w14:textId="77777777" w:rsidR="00EB3918" w:rsidRDefault="00000000">
      <w:pPr>
        <w:pStyle w:val="ListBullet"/>
        <w:spacing w:before="20" w:after="20"/>
      </w:pPr>
      <w:r>
        <w:rPr>
          <w:rFonts w:ascii="Calibri" w:hAnsi="Calibri"/>
          <w:color w:val="1A1A1A"/>
          <w:sz w:val="20"/>
        </w:rPr>
        <w:t>Vendor documentation is reviewed and accepted</w:t>
      </w:r>
    </w:p>
    <w:p w14:paraId="56F157EC" w14:textId="77777777" w:rsidR="00EB3918" w:rsidRDefault="00000000">
      <w:pPr>
        <w:pStyle w:val="ListBullet"/>
        <w:spacing w:before="20" w:after="20"/>
      </w:pPr>
      <w:r>
        <w:rPr>
          <w:rFonts w:ascii="Calibri" w:hAnsi="Calibri"/>
          <w:color w:val="1A1A1A"/>
          <w:sz w:val="20"/>
        </w:rPr>
        <w:t>Vendor model change obligations are contractually confirmed</w:t>
      </w:r>
    </w:p>
    <w:p w14:paraId="03C6D174" w14:textId="77777777" w:rsidR="00EB3918" w:rsidRDefault="00000000">
      <w:pPr>
        <w:pStyle w:val="ListBullet"/>
        <w:spacing w:before="20" w:after="20"/>
      </w:pPr>
      <w:r>
        <w:rPr>
          <w:rFonts w:ascii="Calibri" w:hAnsi="Calibri"/>
          <w:color w:val="1A1A1A"/>
          <w:sz w:val="20"/>
        </w:rPr>
        <w:t>Monitoring thresholds and alerting criteria are defined</w:t>
      </w:r>
    </w:p>
    <w:p w14:paraId="7D5E0503" w14:textId="77777777" w:rsidR="00EB3918" w:rsidRDefault="00000000">
      <w:pPr>
        <w:pStyle w:val="ListBullet"/>
        <w:spacing w:before="20" w:after="20"/>
      </w:pPr>
      <w:r>
        <w:rPr>
          <w:rFonts w:ascii="Calibri" w:hAnsi="Calibri"/>
          <w:color w:val="1A1A1A"/>
          <w:sz w:val="20"/>
        </w:rPr>
        <w:t>Incident notification requirements are documented and accepted</w:t>
      </w:r>
    </w:p>
    <w:p w14:paraId="1AF334EF" w14:textId="77777777" w:rsidR="00EB3918" w:rsidRDefault="00000000">
      <w:pPr>
        <w:pStyle w:val="ListBullet"/>
        <w:spacing w:before="20" w:after="20"/>
      </w:pPr>
      <w:r>
        <w:rPr>
          <w:rFonts w:ascii="Calibri" w:hAnsi="Calibri"/>
          <w:color w:val="1A1A1A"/>
          <w:sz w:val="20"/>
        </w:rPr>
        <w:t>Governance committee sign-off is obtained</w:t>
      </w:r>
    </w:p>
    <w:p w14:paraId="7F427D93" w14:textId="77777777" w:rsidR="00EB3918" w:rsidRDefault="00EB3918">
      <w:pPr>
        <w:spacing w:after="120"/>
      </w:pPr>
    </w:p>
    <w:p w14:paraId="34D87EEB" w14:textId="77777777" w:rsidR="00EB3918" w:rsidRDefault="00000000">
      <w:pPr>
        <w:shd w:val="clear" w:color="auto" w:fill="1A335C"/>
        <w:spacing w:before="280" w:after="100"/>
      </w:pPr>
      <w:r>
        <w:rPr>
          <w:rFonts w:ascii="Calibri" w:hAnsi="Calibri"/>
          <w:b/>
          <w:color w:val="FFFFFF"/>
          <w:sz w:val="24"/>
        </w:rPr>
        <w:t xml:space="preserve">  18.  RECOMMENDED GOVERNANCE DECISION</w:t>
      </w:r>
    </w:p>
    <w:p w14:paraId="7089C36D" w14:textId="0DB2F047" w:rsidR="00EB3918" w:rsidRDefault="00000000">
      <w:pPr>
        <w:shd w:val="clear" w:color="auto" w:fill="E8F5EC"/>
        <w:spacing w:before="80" w:after="80"/>
        <w:ind w:left="144" w:right="144"/>
      </w:pPr>
      <w:r>
        <w:rPr>
          <w:rFonts w:ascii="Calibri" w:hAnsi="Calibri"/>
          <w:b/>
          <w:color w:val="1E7A3A"/>
          <w:sz w:val="24"/>
        </w:rPr>
        <w:t xml:space="preserve">Recommendation: </w:t>
      </w:r>
      <w:r>
        <w:rPr>
          <w:rFonts w:ascii="Calibri" w:hAnsi="Calibri"/>
          <w:b/>
          <w:color w:val="1A335C"/>
        </w:rPr>
        <w:t xml:space="preserve">Conditionally </w:t>
      </w:r>
      <w:proofErr w:type="gramStart"/>
      <w:r>
        <w:rPr>
          <w:rFonts w:ascii="Calibri" w:hAnsi="Calibri"/>
          <w:b/>
          <w:color w:val="1A335C"/>
        </w:rPr>
        <w:t>approve</w:t>
      </w:r>
      <w:proofErr w:type="gramEnd"/>
      <w:r>
        <w:rPr>
          <w:rFonts w:ascii="Calibri" w:hAnsi="Calibri"/>
          <w:b/>
          <w:color w:val="1A335C"/>
        </w:rPr>
        <w:t xml:space="preserve"> for limited production use only after required vendor evidence, security review, reason code validation, fairness testing, monitoring controls, and contractual obligations are completed.</w:t>
      </w:r>
    </w:p>
    <w:p w14:paraId="701B266E" w14:textId="77777777" w:rsidR="00EB3918" w:rsidRDefault="00000000">
      <w:pPr>
        <w:spacing w:before="80" w:after="160"/>
      </w:pPr>
      <w:r>
        <w:rPr>
          <w:rFonts w:ascii="Calibri" w:hAnsi="Calibri"/>
          <w:color w:val="1A1A1A"/>
          <w:sz w:val="20"/>
        </w:rPr>
        <w:t>If the vendor cannot provide sufficient transparency, validation evidence, security evidence, model change notification, or audit support, deployment must be delayed until these requirements are satisfied.</w:t>
      </w:r>
    </w:p>
    <w:p w14:paraId="5C9E3149" w14:textId="77777777" w:rsidR="00EB3918" w:rsidRDefault="00000000">
      <w:pPr>
        <w:shd w:val="clear" w:color="auto" w:fill="1A335C"/>
        <w:spacing w:before="280" w:after="100"/>
      </w:pPr>
      <w:r>
        <w:rPr>
          <w:rFonts w:ascii="Calibri" w:hAnsi="Calibri"/>
          <w:b/>
          <w:color w:val="FFFFFF"/>
          <w:sz w:val="24"/>
        </w:rPr>
        <w:t xml:space="preserve">  19.  EVIDENCE MAPPING</w:t>
      </w:r>
    </w:p>
    <w:p w14:paraId="3BD5A9F1" w14:textId="77777777" w:rsidR="00EB3918" w:rsidRDefault="00000000">
      <w:pPr>
        <w:spacing w:before="80" w:after="80"/>
      </w:pPr>
      <w:r>
        <w:rPr>
          <w:rFonts w:ascii="Calibri" w:hAnsi="Calibri"/>
          <w:color w:val="1A1A1A"/>
          <w:sz w:val="20"/>
        </w:rPr>
        <w:t>This document supports the following governance frameworks and competency areas.</w:t>
      </w:r>
    </w:p>
    <w:tbl>
      <w:tblPr>
        <w:tblStyle w:val="TableGrid"/>
        <w:tblW w:w="0" w:type="auto"/>
        <w:tblLook w:val="04A0" w:firstRow="1" w:lastRow="0" w:firstColumn="1" w:lastColumn="0" w:noHBand="0" w:noVBand="1"/>
      </w:tblPr>
      <w:tblGrid>
        <w:gridCol w:w="2657"/>
        <w:gridCol w:w="7207"/>
      </w:tblGrid>
      <w:tr w:rsidR="00EB3918" w14:paraId="225AC2AF" w14:textId="77777777">
        <w:tc>
          <w:tcPr>
            <w:tcW w:w="2880" w:type="dxa"/>
            <w:tcBorders>
              <w:top w:val="single" w:sz="6" w:space="0" w:color="FFFFFF"/>
              <w:left w:val="single" w:sz="6" w:space="0" w:color="FFFFFF"/>
              <w:bottom w:val="single" w:sz="6" w:space="0" w:color="FFFFFF"/>
              <w:right w:val="single" w:sz="6" w:space="0" w:color="FFFFFF"/>
            </w:tcBorders>
            <w:shd w:val="clear" w:color="auto" w:fill="1A335C"/>
          </w:tcPr>
          <w:p w14:paraId="0EE55606" w14:textId="77777777" w:rsidR="00EB3918" w:rsidRDefault="00000000">
            <w:pPr>
              <w:spacing w:before="60" w:after="60"/>
              <w:ind w:left="101" w:right="58"/>
            </w:pPr>
            <w:r>
              <w:rPr>
                <w:rFonts w:ascii="Calibri" w:hAnsi="Calibri"/>
                <w:b/>
                <w:color w:val="FFFFFF"/>
                <w:sz w:val="18"/>
              </w:rPr>
              <w:t>Framework</w:t>
            </w:r>
          </w:p>
        </w:tc>
        <w:tc>
          <w:tcPr>
            <w:tcW w:w="8064" w:type="dxa"/>
            <w:tcBorders>
              <w:top w:val="single" w:sz="6" w:space="0" w:color="FFFFFF"/>
              <w:left w:val="single" w:sz="6" w:space="0" w:color="FFFFFF"/>
              <w:bottom w:val="single" w:sz="6" w:space="0" w:color="FFFFFF"/>
              <w:right w:val="single" w:sz="6" w:space="0" w:color="FFFFFF"/>
            </w:tcBorders>
            <w:shd w:val="clear" w:color="auto" w:fill="1A335C"/>
          </w:tcPr>
          <w:p w14:paraId="0F21E4FF" w14:textId="77777777" w:rsidR="00EB3918" w:rsidRDefault="00000000">
            <w:pPr>
              <w:spacing w:before="60" w:after="60"/>
              <w:ind w:left="101" w:right="58"/>
            </w:pPr>
            <w:r>
              <w:rPr>
                <w:rFonts w:ascii="Calibri" w:hAnsi="Calibri"/>
                <w:b/>
                <w:color w:val="FFFFFF"/>
                <w:sz w:val="18"/>
              </w:rPr>
              <w:t>Governance Competencies Demonstrated</w:t>
            </w:r>
          </w:p>
        </w:tc>
      </w:tr>
      <w:tr w:rsidR="00EB3918" w14:paraId="3D8FB689"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0EEB8852" w14:textId="77777777" w:rsidR="00EB3918" w:rsidRDefault="00000000">
            <w:pPr>
              <w:spacing w:before="60" w:after="60"/>
              <w:ind w:left="101" w:right="58"/>
            </w:pPr>
            <w:r>
              <w:rPr>
                <w:rFonts w:ascii="Calibri" w:hAnsi="Calibri"/>
                <w:b/>
                <w:color w:val="1A335C"/>
                <w:sz w:val="18"/>
              </w:rPr>
              <w:t>EU AI Act</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7CD975F8" w14:textId="77777777" w:rsidR="00EB3918" w:rsidRDefault="00000000">
            <w:pPr>
              <w:spacing w:before="60" w:after="60"/>
              <w:ind w:left="101" w:right="58"/>
            </w:pPr>
            <w:r>
              <w:rPr>
                <w:rFonts w:ascii="Calibri" w:hAnsi="Calibri"/>
                <w:color w:val="1A1A1A"/>
                <w:sz w:val="18"/>
              </w:rPr>
              <w:t xml:space="preserve">Provider/deployer role analysis; technical documentation dependency; human oversight and explainability concerns; data governance and bias concerns; post-deployment monitoring </w:t>
            </w:r>
            <w:r>
              <w:rPr>
                <w:rFonts w:ascii="Calibri" w:hAnsi="Calibri"/>
                <w:color w:val="1A1A1A"/>
                <w:sz w:val="18"/>
              </w:rPr>
              <w:lastRenderedPageBreak/>
              <w:t>and incident escalation</w:t>
            </w:r>
          </w:p>
        </w:tc>
      </w:tr>
      <w:tr w:rsidR="00EB3918" w14:paraId="64705C63" w14:textId="77777777">
        <w:tc>
          <w:tcPr>
            <w:tcW w:w="2880" w:type="dxa"/>
            <w:tcBorders>
              <w:top w:val="single" w:sz="4" w:space="0" w:color="B0C4D8"/>
              <w:left w:val="single" w:sz="4" w:space="0" w:color="B0C4D8"/>
              <w:bottom w:val="single" w:sz="4" w:space="0" w:color="B0C4D8"/>
              <w:right w:val="single" w:sz="4" w:space="0" w:color="B0C4D8"/>
            </w:tcBorders>
            <w:shd w:val="clear" w:color="auto" w:fill="E4EEF8"/>
          </w:tcPr>
          <w:p w14:paraId="4D5A80F5" w14:textId="77777777" w:rsidR="00EB3918" w:rsidRDefault="00000000">
            <w:pPr>
              <w:spacing w:before="60" w:after="60"/>
              <w:ind w:left="101" w:right="58"/>
            </w:pPr>
            <w:r>
              <w:rPr>
                <w:rFonts w:ascii="Calibri" w:hAnsi="Calibri"/>
                <w:b/>
                <w:color w:val="1A335C"/>
                <w:sz w:val="18"/>
              </w:rPr>
              <w:lastRenderedPageBreak/>
              <w:t>ISO/IEC 42001</w:t>
            </w:r>
          </w:p>
        </w:tc>
        <w:tc>
          <w:tcPr>
            <w:tcW w:w="8064" w:type="dxa"/>
            <w:tcBorders>
              <w:top w:val="single" w:sz="4" w:space="0" w:color="B0C4D8"/>
              <w:left w:val="single" w:sz="4" w:space="0" w:color="B0C4D8"/>
              <w:bottom w:val="single" w:sz="4" w:space="0" w:color="B0C4D8"/>
              <w:right w:val="single" w:sz="4" w:space="0" w:color="B0C4D8"/>
            </w:tcBorders>
            <w:shd w:val="clear" w:color="auto" w:fill="FAFCFF"/>
          </w:tcPr>
          <w:p w14:paraId="24121305" w14:textId="77777777" w:rsidR="00EB3918" w:rsidRDefault="00000000">
            <w:pPr>
              <w:spacing w:before="60" w:after="60"/>
              <w:ind w:left="101" w:right="58"/>
            </w:pPr>
            <w:r>
              <w:rPr>
                <w:rFonts w:ascii="Calibri" w:hAnsi="Calibri"/>
                <w:color w:val="1A1A1A"/>
                <w:sz w:val="18"/>
              </w:rPr>
              <w:t>Supplier and third-party AI governance; AI system lifecycle responsibilities; model documentation requirements; operational controls; monitoring and continual improvement</w:t>
            </w:r>
          </w:p>
        </w:tc>
      </w:tr>
      <w:tr w:rsidR="00EB3918" w14:paraId="5F135CBE" w14:textId="77777777">
        <w:tc>
          <w:tcPr>
            <w:tcW w:w="2880" w:type="dxa"/>
            <w:tcBorders>
              <w:top w:val="single" w:sz="4" w:space="0" w:color="B0C4D8"/>
              <w:left w:val="single" w:sz="4" w:space="0" w:color="B0C4D8"/>
              <w:bottom w:val="single" w:sz="4" w:space="0" w:color="B0C4D8"/>
              <w:right w:val="single" w:sz="4" w:space="0" w:color="B0C4D8"/>
            </w:tcBorders>
            <w:shd w:val="clear" w:color="auto" w:fill="D6E4F0"/>
          </w:tcPr>
          <w:p w14:paraId="45953D4C" w14:textId="77777777" w:rsidR="00EB3918" w:rsidRDefault="00000000">
            <w:pPr>
              <w:spacing w:before="60" w:after="60"/>
              <w:ind w:left="101" w:right="58"/>
            </w:pPr>
            <w:r>
              <w:rPr>
                <w:rFonts w:ascii="Calibri" w:hAnsi="Calibri"/>
                <w:b/>
                <w:color w:val="1A335C"/>
                <w:sz w:val="18"/>
              </w:rPr>
              <w:t>NIST AI RMF</w:t>
            </w:r>
          </w:p>
        </w:tc>
        <w:tc>
          <w:tcPr>
            <w:tcW w:w="8064" w:type="dxa"/>
            <w:tcBorders>
              <w:top w:val="single" w:sz="4" w:space="0" w:color="B0C4D8"/>
              <w:left w:val="single" w:sz="4" w:space="0" w:color="B0C4D8"/>
              <w:bottom w:val="single" w:sz="4" w:space="0" w:color="B0C4D8"/>
              <w:right w:val="single" w:sz="4" w:space="0" w:color="B0C4D8"/>
            </w:tcBorders>
            <w:shd w:val="clear" w:color="auto" w:fill="FFFFFF"/>
          </w:tcPr>
          <w:p w14:paraId="095D65B4" w14:textId="3352A4C2" w:rsidR="00EB3918" w:rsidRDefault="00000000">
            <w:pPr>
              <w:spacing w:before="60" w:after="60"/>
              <w:ind w:left="101" w:right="58"/>
            </w:pPr>
            <w:r>
              <w:rPr>
                <w:rFonts w:ascii="Calibri" w:hAnsi="Calibri"/>
                <w:color w:val="1A1A1A"/>
                <w:sz w:val="18"/>
              </w:rPr>
              <w:t>Govern</w:t>
            </w:r>
            <w:r w:rsidR="008163B9">
              <w:rPr>
                <w:rFonts w:ascii="Calibri" w:hAnsi="Calibri"/>
                <w:color w:val="1A1A1A"/>
                <w:sz w:val="18"/>
              </w:rPr>
              <w:t>:</w:t>
            </w:r>
            <w:r>
              <w:rPr>
                <w:rFonts w:ascii="Calibri" w:hAnsi="Calibri"/>
                <w:color w:val="1A1A1A"/>
                <w:sz w:val="18"/>
              </w:rPr>
              <w:t xml:space="preserve"> accountability, vendor oversight, and role clarity</w:t>
            </w:r>
            <w:r>
              <w:rPr>
                <w:rFonts w:ascii="Calibri" w:hAnsi="Calibri"/>
                <w:color w:val="1A1A1A"/>
                <w:sz w:val="18"/>
              </w:rPr>
              <w:br/>
              <w:t>Map</w:t>
            </w:r>
            <w:r w:rsidR="008163B9">
              <w:rPr>
                <w:rFonts w:ascii="Calibri" w:hAnsi="Calibri"/>
                <w:color w:val="1A1A1A"/>
                <w:sz w:val="18"/>
              </w:rPr>
              <w:t>:</w:t>
            </w:r>
            <w:r>
              <w:rPr>
                <w:rFonts w:ascii="Calibri" w:hAnsi="Calibri"/>
                <w:color w:val="1A1A1A"/>
                <w:sz w:val="18"/>
              </w:rPr>
              <w:t xml:space="preserve"> model context, dependencies, and intended use</w:t>
            </w:r>
            <w:r>
              <w:rPr>
                <w:rFonts w:ascii="Calibri" w:hAnsi="Calibri"/>
                <w:color w:val="1A1A1A"/>
                <w:sz w:val="18"/>
              </w:rPr>
              <w:br/>
              <w:t>Measure</w:t>
            </w:r>
            <w:r w:rsidR="008163B9">
              <w:rPr>
                <w:rFonts w:ascii="Calibri" w:hAnsi="Calibri"/>
                <w:color w:val="1A1A1A"/>
                <w:sz w:val="18"/>
              </w:rPr>
              <w:t>:</w:t>
            </w:r>
            <w:r>
              <w:rPr>
                <w:rFonts w:ascii="Calibri" w:hAnsi="Calibri"/>
                <w:color w:val="1A1A1A"/>
                <w:sz w:val="18"/>
              </w:rPr>
              <w:t xml:space="preserve"> limitations, validation needs, and fairness concerns</w:t>
            </w:r>
            <w:r>
              <w:rPr>
                <w:rFonts w:ascii="Calibri" w:hAnsi="Calibri"/>
                <w:color w:val="1A1A1A"/>
                <w:sz w:val="18"/>
              </w:rPr>
              <w:br/>
              <w:t>Manage</w:t>
            </w:r>
            <w:r w:rsidR="008163B9">
              <w:rPr>
                <w:rFonts w:ascii="Calibri" w:hAnsi="Calibri"/>
                <w:color w:val="1A1A1A"/>
                <w:sz w:val="18"/>
              </w:rPr>
              <w:t>:</w:t>
            </w:r>
            <w:r>
              <w:rPr>
                <w:rFonts w:ascii="Calibri" w:hAnsi="Calibri"/>
                <w:color w:val="1A1A1A"/>
                <w:sz w:val="18"/>
              </w:rPr>
              <w:t xml:space="preserve"> vendor risk treatment, monitoring, and escalation</w:t>
            </w:r>
          </w:p>
        </w:tc>
      </w:tr>
    </w:tbl>
    <w:p w14:paraId="04D9C144" w14:textId="77777777" w:rsidR="00EB3918" w:rsidRDefault="00EB3918"/>
    <w:p w14:paraId="30D7F1D2" w14:textId="77777777" w:rsidR="00EB3918" w:rsidRDefault="00000000">
      <w:pPr>
        <w:shd w:val="clear" w:color="auto" w:fill="C9A02B"/>
        <w:spacing w:before="160" w:after="0"/>
      </w:pPr>
      <w:r>
        <w:rPr>
          <w:rFonts w:ascii="Calibri" w:hAnsi="Calibri"/>
          <w:color w:val="C9A02B"/>
          <w:sz w:val="10"/>
        </w:rPr>
        <w:t xml:space="preserve"> </w:t>
      </w:r>
    </w:p>
    <w:p w14:paraId="6764CDE4" w14:textId="7A306F1A" w:rsidR="00EB3918" w:rsidRDefault="00000000">
      <w:pPr>
        <w:shd w:val="clear" w:color="auto" w:fill="1A335C"/>
        <w:spacing w:after="0"/>
        <w:jc w:val="center"/>
      </w:pPr>
      <w:r>
        <w:rPr>
          <w:rFonts w:ascii="Calibri" w:hAnsi="Calibri"/>
          <w:i/>
          <w:color w:val="FFFFFF"/>
          <w:sz w:val="16"/>
        </w:rPr>
        <w:t>FICTIONAL — FOR PORTFOLIO USE ONLY |</w:t>
      </w:r>
      <w:r w:rsidR="00306B16">
        <w:rPr>
          <w:rFonts w:ascii="Calibri" w:hAnsi="Calibri"/>
          <w:i/>
          <w:color w:val="FFFFFF"/>
          <w:sz w:val="16"/>
        </w:rPr>
        <w:t>Cyber Pros</w:t>
      </w:r>
      <w:r>
        <w:rPr>
          <w:rFonts w:ascii="Calibri" w:hAnsi="Calibri"/>
          <w:i/>
          <w:color w:val="FFFFFF"/>
          <w:sz w:val="16"/>
        </w:rPr>
        <w:t xml:space="preserve"> AI Governance Program | Meridian Financial</w:t>
      </w:r>
      <w:r w:rsidR="008163B9">
        <w:rPr>
          <w:rFonts w:ascii="Calibri" w:hAnsi="Calibri"/>
          <w:i/>
          <w:color w:val="FFFFFF"/>
          <w:sz w:val="16"/>
        </w:rPr>
        <w:t xml:space="preserve"> </w:t>
      </w:r>
      <w:r>
        <w:rPr>
          <w:rFonts w:ascii="Calibri" w:hAnsi="Calibri"/>
          <w:i/>
          <w:color w:val="FFFFFF"/>
          <w:sz w:val="16"/>
        </w:rPr>
        <w:t>Services | Version 1.0 | May 23, 2026</w:t>
      </w:r>
    </w:p>
    <w:sectPr w:rsidR="00EB3918"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142100">
    <w:abstractNumId w:val="8"/>
  </w:num>
  <w:num w:numId="2" w16cid:durableId="2063867992">
    <w:abstractNumId w:val="6"/>
  </w:num>
  <w:num w:numId="3" w16cid:durableId="1516727457">
    <w:abstractNumId w:val="5"/>
  </w:num>
  <w:num w:numId="4" w16cid:durableId="194119062">
    <w:abstractNumId w:val="4"/>
  </w:num>
  <w:num w:numId="5" w16cid:durableId="1024668410">
    <w:abstractNumId w:val="7"/>
  </w:num>
  <w:num w:numId="6" w16cid:durableId="925964646">
    <w:abstractNumId w:val="3"/>
  </w:num>
  <w:num w:numId="7" w16cid:durableId="533469711">
    <w:abstractNumId w:val="2"/>
  </w:num>
  <w:num w:numId="8" w16cid:durableId="1446537475">
    <w:abstractNumId w:val="1"/>
  </w:num>
  <w:num w:numId="9" w16cid:durableId="128562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8D"/>
    <w:rsid w:val="0015074B"/>
    <w:rsid w:val="0029639D"/>
    <w:rsid w:val="00306B16"/>
    <w:rsid w:val="00326F90"/>
    <w:rsid w:val="008163B9"/>
    <w:rsid w:val="00AA1D8D"/>
    <w:rsid w:val="00B47730"/>
    <w:rsid w:val="00CB0664"/>
    <w:rsid w:val="00EB39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340C5"/>
  <w14:defaultImageDpi w14:val="300"/>
  <w15:docId w15:val="{A6EEFA86-27CA-41A6-B7B6-B906C1DE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3056</Words>
  <Characters>17422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Arthanas, Francois - DSU Student</cp:lastModifiedBy>
  <cp:revision>3</cp:revision>
  <dcterms:created xsi:type="dcterms:W3CDTF">2013-12-23T23:15:00Z</dcterms:created>
  <dcterms:modified xsi:type="dcterms:W3CDTF">2026-05-23T21:29:00Z</dcterms:modified>
  <cp:category/>
</cp:coreProperties>
</file>