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A335C"/>
      </w:pPr>
      <w:r>
        <w:rPr>
          <w:rFonts w:ascii="Calibri" w:hAnsi="Calibri"/>
          <w:b/>
          <w:i w:val="0"/>
          <w:color w:val="FFFFFF"/>
          <w:sz w:val="32"/>
          <w:u w:val="none"/>
        </w:rPr>
        <w:t>AI RISK REGISTER AND MITIGATION SUMMARY</w:t>
      </w:r>
    </w:p>
    <w:p>
      <w:pPr>
        <w:spacing w:before="0" w:after="0"/>
        <w:jc w:val="center"/>
        <w:shd w:val="clear" w:color="auto" w:fill="1F5C99"/>
      </w:pPr>
      <w:r>
        <w:rPr>
          <w:rFonts w:ascii="Calibri" w:hAnsi="Calibri"/>
          <w:b w:val="0"/>
          <w:i/>
          <w:color w:val="FFFFFF"/>
          <w:sz w:val="22"/>
          <w:u w:val="none"/>
        </w:rPr>
        <w:t>AI Governance Program  |  Pre-Production Risk Review</w:t>
      </w:r>
    </w:p>
    <w:p>
      <w:pPr>
        <w:spacing w:before="0" w:after="160"/>
        <w:shd w:val="clear" w:color="auto" w:fill="C9A02B"/>
      </w:pPr>
      <w:r>
        <w:rPr>
          <w:rFonts w:ascii="Calibri" w:hAnsi="Calibri"/>
          <w:b w:val="0"/>
          <w:i w:val="0"/>
          <w:color w:val="C9A02B"/>
          <w:sz w:val="10"/>
          <w:u w:val="none"/>
        </w:rPr>
        <w:t xml:space="preserve"> </w:t>
      </w:r>
    </w:p>
    <w:tbl>
      <w:tblPr>
        <w:tblStyle w:val="TableGrid"/>
        <w:tblW w:type="auto" w:w="0"/>
        <w:jc w:val="left"/>
        <w:tblLook w:firstColumn="1" w:firstRow="1" w:lastColumn="0" w:lastRow="0" w:noHBand="0" w:noVBand="1" w:val="04A0"/>
      </w:tblPr>
      <w:tblGrid>
        <w:gridCol w:w="4824"/>
        <w:gridCol w:w="4824"/>
      </w:tblGrid>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Document Name</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AI Risk Register and Mitigation Summary</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AI System</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Meridian Automated Loan Underwriting System</w:t>
            </w:r>
          </w:p>
        </w:tc>
      </w:tr>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Organization</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Meridian Financial Services  [Fictional — Portfolio Use Only]</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Document Owner</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 xml:space="preserve">Vivek Korikanthimath, AI Governance Lead</w:t>
            </w:r>
          </w:p>
        </w:tc>
      </w:tr>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Review Contributors</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Compliance Reviewer, Model Risk Reviewer, Credit Risk Owner, Vendor Risk Owner, Executive Approver</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Review Status</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Draft — Pending Risk Owner Review</w:t>
            </w:r>
          </w:p>
        </w:tc>
      </w:tr>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System Status</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Pre-Production Pilot</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Version</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1.0</w:t>
            </w:r>
          </w:p>
        </w:tc>
      </w:tr>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Date</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May 23, 2026</w:t>
            </w:r>
          </w:p>
        </w:tc>
      </w:tr>
    </w:tbl>
    <w:p>
      <w:pPr>
        <w:spacing w:before="0" w:after="120"/>
      </w:pPr>
    </w:p>
    <w:p>
      <w:pPr>
        <w:spacing w:before="0" w:after="40"/>
        <w:shd w:val="clear" w:color="auto" w:fill="FEF3E2"/>
      </w:pPr>
      <w:r>
        <w:rPr>
          <w:rFonts w:ascii="Calibri" w:hAnsi="Calibri"/>
          <w:b/>
          <w:i w:val="0"/>
          <w:color w:val="C06000"/>
          <w:sz w:val="20"/>
          <w:u w:val="none"/>
        </w:rPr>
        <w:t xml:space="preserve">  NOTICE: </w:t>
      </w:r>
      <w:r>
        <w:rPr>
          <w:rFonts w:ascii="Calibri" w:hAnsi="Calibri"/>
          <w:b w:val="0"/>
          <w:i/>
          <w:color w:val="1A1A1A"/>
          <w:sz w:val="20"/>
          <w:u w:val="none"/>
        </w:rPr>
        <w:t>This document is a fictional, synthetic governance artifact created for portfolio and educational purposes. It does not represent any real organization, system, vendor, or individual. All data, scenarios, and decisions are illustrative only.</w:t>
      </w:r>
    </w:p>
    <w:p>
      <w:pPr>
        <w:spacing w:before="0" w:after="120"/>
      </w:pPr>
    </w:p>
    <w:p>
      <w:pPr>
        <w:spacing w:before="280" w:after="100"/>
        <w:shd w:val="clear" w:color="auto" w:fill="1A335C"/>
      </w:pPr>
      <w:r>
        <w:rPr>
          <w:rFonts w:ascii="Calibri" w:hAnsi="Calibri"/>
          <w:b/>
          <w:i w:val="0"/>
          <w:color w:val="FFFFFF"/>
          <w:sz w:val="24"/>
          <w:u w:val="none"/>
        </w:rPr>
        <w:t xml:space="preserve">  1.  EXECUTIVE SUMMARY</w:t>
      </w:r>
    </w:p>
    <w:p>
      <w:pPr>
        <w:spacing w:before="80" w:after="80"/>
        <w:ind w:left="0"/>
      </w:pPr>
      <w:r>
        <w:rPr>
          <w:rFonts w:ascii="Calibri" w:hAnsi="Calibri"/>
          <w:b w:val="0"/>
          <w:i w:val="0"/>
          <w:color w:val="1A1A1A"/>
          <w:sz w:val="20"/>
          <w:u w:val="none"/>
        </w:rPr>
        <w:t>Meridian Financial Services is evaluating the Meridian Automated Loan Underwriting System, a high-risk AI system that uses the CrediSure Credit Decision Engine to support automated small business loan underwriting. The system is designed to process approximately 94% of loan applications automatically, with approximately 6% routed to human review.</w:t>
      </w:r>
    </w:p>
    <w:p>
      <w:pPr>
        <w:spacing w:before="40" w:after="60"/>
        <w:ind w:left="0"/>
      </w:pPr>
      <w:r>
        <w:rPr>
          <w:rFonts w:ascii="Calibri" w:hAnsi="Calibri"/>
          <w:b w:val="0"/>
          <w:i w:val="0"/>
          <w:color w:val="1A1A1A"/>
          <w:sz w:val="20"/>
          <w:u w:val="none"/>
        </w:rPr>
        <w:t>Because the system can approve or deny access to credit, Meridian must document, assess, mitigate, and monitor AI risks before production deployment. This risk register identifies six priority AI risks:</w:t>
      </w:r>
    </w:p>
    <w:p>
      <w:pPr>
        <w:pStyle w:val="ListBullet"/>
        <w:spacing w:before="20" w:after="20"/>
        <w:ind w:left="360"/>
      </w:pPr>
      <w:r>
        <w:rPr>
          <w:rFonts w:ascii="Calibri" w:hAnsi="Calibri"/>
          <w:b/>
          <w:i w:val="0"/>
          <w:color w:val="1A335C"/>
          <w:sz w:val="20"/>
          <w:u w:val="none"/>
        </w:rPr>
        <w:t xml:space="preserve">Risk 1: </w:t>
      </w:r>
      <w:r>
        <w:rPr>
          <w:rFonts w:ascii="Calibri" w:hAnsi="Calibri"/>
          <w:b w:val="0"/>
          <w:i w:val="0"/>
          <w:color w:val="1A1A1A"/>
          <w:sz w:val="20"/>
          <w:u w:val="none"/>
        </w:rPr>
        <w:t>Discriminatory lending outcomes</w:t>
      </w:r>
    </w:p>
    <w:p>
      <w:pPr>
        <w:pStyle w:val="ListBullet"/>
        <w:spacing w:before="20" w:after="20"/>
        <w:ind w:left="360"/>
      </w:pPr>
      <w:r>
        <w:rPr>
          <w:rFonts w:ascii="Calibri" w:hAnsi="Calibri"/>
          <w:b/>
          <w:i w:val="0"/>
          <w:color w:val="1A335C"/>
          <w:sz w:val="20"/>
          <w:u w:val="none"/>
        </w:rPr>
        <w:t xml:space="preserve">Risk 2: </w:t>
      </w:r>
      <w:r>
        <w:rPr>
          <w:rFonts w:ascii="Calibri" w:hAnsi="Calibri"/>
          <w:b w:val="0"/>
          <w:i w:val="0"/>
          <w:color w:val="1A1A1A"/>
          <w:sz w:val="20"/>
          <w:u w:val="none"/>
        </w:rPr>
        <w:t>Proxy bias through credit and business variables</w:t>
      </w:r>
    </w:p>
    <w:p>
      <w:pPr>
        <w:pStyle w:val="ListBullet"/>
        <w:spacing w:before="20" w:after="20"/>
        <w:ind w:left="360"/>
      </w:pPr>
      <w:r>
        <w:rPr>
          <w:rFonts w:ascii="Calibri" w:hAnsi="Calibri"/>
          <w:b/>
          <w:i w:val="0"/>
          <w:color w:val="1A335C"/>
          <w:sz w:val="20"/>
          <w:u w:val="none"/>
        </w:rPr>
        <w:t xml:space="preserve">Risk 3: </w:t>
      </w:r>
      <w:r>
        <w:rPr>
          <w:rFonts w:ascii="Calibri" w:hAnsi="Calibri"/>
          <w:b w:val="0"/>
          <w:i w:val="0"/>
          <w:color w:val="1A1A1A"/>
          <w:sz w:val="20"/>
          <w:u w:val="none"/>
        </w:rPr>
        <w:t>Weak explainability and incomplete reason codes</w:t>
      </w:r>
    </w:p>
    <w:p>
      <w:pPr>
        <w:pStyle w:val="ListBullet"/>
        <w:spacing w:before="20" w:after="20"/>
        <w:ind w:left="360"/>
      </w:pPr>
      <w:r>
        <w:rPr>
          <w:rFonts w:ascii="Calibri" w:hAnsi="Calibri"/>
          <w:b/>
          <w:i w:val="0"/>
          <w:color w:val="1A335C"/>
          <w:sz w:val="20"/>
          <w:u w:val="none"/>
        </w:rPr>
        <w:t xml:space="preserve">Risk 4: </w:t>
      </w:r>
      <w:r>
        <w:rPr>
          <w:rFonts w:ascii="Calibri" w:hAnsi="Calibri"/>
          <w:b w:val="0"/>
          <w:i w:val="0"/>
          <w:color w:val="1A1A1A"/>
          <w:sz w:val="20"/>
          <w:u w:val="none"/>
        </w:rPr>
        <w:t>Accountability gaps in third-party AI deployment</w:t>
      </w:r>
    </w:p>
    <w:p>
      <w:pPr>
        <w:pStyle w:val="ListBullet"/>
        <w:spacing w:before="20" w:after="20"/>
        <w:ind w:left="360"/>
      </w:pPr>
      <w:r>
        <w:rPr>
          <w:rFonts w:ascii="Calibri" w:hAnsi="Calibri"/>
          <w:b/>
          <w:i w:val="0"/>
          <w:color w:val="1A335C"/>
          <w:sz w:val="20"/>
          <w:u w:val="none"/>
        </w:rPr>
        <w:t xml:space="preserve">Risk 5: </w:t>
      </w:r>
      <w:r>
        <w:rPr>
          <w:rFonts w:ascii="Calibri" w:hAnsi="Calibri"/>
          <w:b w:val="0"/>
          <w:i w:val="0"/>
          <w:color w:val="1A1A1A"/>
          <w:sz w:val="20"/>
          <w:u w:val="none"/>
        </w:rPr>
        <w:t>Inaccurate automated denials</w:t>
      </w:r>
    </w:p>
    <w:p>
      <w:pPr>
        <w:pStyle w:val="ListBullet"/>
        <w:spacing w:before="20" w:after="20"/>
        <w:ind w:left="360"/>
      </w:pPr>
      <w:r>
        <w:rPr>
          <w:rFonts w:ascii="Calibri" w:hAnsi="Calibri"/>
          <w:b/>
          <w:i w:val="0"/>
          <w:color w:val="1A335C"/>
          <w:sz w:val="20"/>
          <w:u w:val="none"/>
        </w:rPr>
        <w:t xml:space="preserve">Risk 6: </w:t>
      </w:r>
      <w:r>
        <w:rPr>
          <w:rFonts w:ascii="Calibri" w:hAnsi="Calibri"/>
          <w:b w:val="0"/>
          <w:i w:val="0"/>
          <w:color w:val="1A1A1A"/>
          <w:sz w:val="20"/>
          <w:u w:val="none"/>
        </w:rPr>
        <w:t>Lack of meaningful human oversight</w:t>
      </w:r>
    </w:p>
    <w:p>
      <w:pPr>
        <w:spacing w:before="0" w:after="80"/>
      </w:pPr>
    </w:p>
    <w:p>
      <w:pPr>
        <w:spacing w:before="80" w:after="160"/>
        <w:ind w:left="144" w:right="144"/>
        <w:shd w:val="clear" w:color="auto" w:fill="FDECEA"/>
      </w:pPr>
      <w:r>
        <w:rPr>
          <w:rFonts w:ascii="Calibri" w:hAnsi="Calibri"/>
          <w:b/>
          <w:i w:val="0"/>
          <w:color w:val="C00000"/>
          <w:sz w:val="20"/>
          <w:u w:val="none"/>
        </w:rPr>
        <w:t xml:space="preserve">  Current Risk Position: </w:t>
      </w:r>
      <w:r>
        <w:rPr>
          <w:rFonts w:ascii="Calibri" w:hAnsi="Calibri"/>
          <w:b w:val="0"/>
          <w:i w:val="0"/>
          <w:color w:val="1A1A1A"/>
          <w:sz w:val="20"/>
          <w:u w:val="none"/>
        </w:rPr>
        <w:t>The system must not receive full production approval until required mitigations, evidence, ownership, monitoring, and governance approvals are completed. Conditional approval may be considered only for a controlled deployment with documented safeguards.</w:t>
      </w:r>
    </w:p>
    <w:p>
      <w:pPr>
        <w:spacing w:before="280" w:after="100"/>
        <w:shd w:val="clear" w:color="auto" w:fill="1A335C"/>
      </w:pPr>
      <w:r>
        <w:rPr>
          <w:rFonts w:ascii="Calibri" w:hAnsi="Calibri"/>
          <w:b/>
          <w:i w:val="0"/>
          <w:color w:val="FFFFFF"/>
          <w:sz w:val="24"/>
          <w:u w:val="none"/>
        </w:rPr>
        <w:t xml:space="preserve">  2.  RISK ASSESSMENT SCOPE</w:t>
      </w:r>
    </w:p>
    <w:p>
      <w:pPr>
        <w:spacing w:before="80" w:after="80"/>
        <w:ind w:left="0"/>
      </w:pPr>
      <w:r>
        <w:rPr>
          <w:rFonts w:ascii="Calibri" w:hAnsi="Calibri"/>
          <w:b w:val="0"/>
          <w:i w:val="0"/>
          <w:color w:val="1A1A1A"/>
          <w:sz w:val="20"/>
          <w:u w:val="none"/>
        </w:rPr>
        <w:t>This risk register covers the AI governance risks associated with the pre-production review of the Meridian Automated Loan Underwriting System. The assessment focuses on the following areas:</w:t>
      </w:r>
    </w:p>
    <w:p>
      <w:pPr>
        <w:pStyle w:val="ListBullet"/>
        <w:spacing w:before="20" w:after="20"/>
        <w:ind w:left="360"/>
      </w:pPr>
      <w:r>
        <w:rPr>
          <w:rFonts w:ascii="Calibri" w:hAnsi="Calibri"/>
          <w:b w:val="0"/>
          <w:i w:val="0"/>
          <w:color w:val="1A1A1A"/>
          <w:sz w:val="20"/>
          <w:u w:val="none"/>
        </w:rPr>
        <w:t>Automated credit decisioning and fair lending impact</w:t>
      </w:r>
    </w:p>
    <w:p>
      <w:pPr>
        <w:pStyle w:val="ListBullet"/>
        <w:spacing w:before="20" w:after="20"/>
        <w:ind w:left="360"/>
      </w:pPr>
      <w:r>
        <w:rPr>
          <w:rFonts w:ascii="Calibri" w:hAnsi="Calibri"/>
          <w:b w:val="0"/>
          <w:i w:val="0"/>
          <w:color w:val="1A1A1A"/>
          <w:sz w:val="20"/>
          <w:u w:val="none"/>
        </w:rPr>
        <w:t>Proxy bias and discriminatory variable use</w:t>
      </w:r>
    </w:p>
    <w:p>
      <w:pPr>
        <w:pStyle w:val="ListBullet"/>
        <w:spacing w:before="20" w:after="20"/>
        <w:ind w:left="360"/>
      </w:pPr>
      <w:r>
        <w:rPr>
          <w:rFonts w:ascii="Calibri" w:hAnsi="Calibri"/>
          <w:b w:val="0"/>
          <w:i w:val="0"/>
          <w:color w:val="1A1A1A"/>
          <w:sz w:val="20"/>
          <w:u w:val="none"/>
        </w:rPr>
        <w:t>Model explainability and reason code adequacy</w:t>
      </w:r>
    </w:p>
    <w:p>
      <w:pPr>
        <w:pStyle w:val="ListBullet"/>
        <w:spacing w:before="20" w:after="20"/>
        <w:ind w:left="360"/>
      </w:pPr>
      <w:r>
        <w:rPr>
          <w:rFonts w:ascii="Calibri" w:hAnsi="Calibri"/>
          <w:b w:val="0"/>
          <w:i w:val="0"/>
          <w:color w:val="1A1A1A"/>
          <w:sz w:val="20"/>
          <w:u w:val="none"/>
        </w:rPr>
        <w:t>Third-party AI accountability and vendor governance</w:t>
      </w:r>
    </w:p>
    <w:p>
      <w:pPr>
        <w:pStyle w:val="ListBullet"/>
        <w:spacing w:before="20" w:after="20"/>
        <w:ind w:left="360"/>
      </w:pPr>
      <w:r>
        <w:rPr>
          <w:rFonts w:ascii="Calibri" w:hAnsi="Calibri"/>
          <w:b w:val="0"/>
          <w:i w:val="0"/>
          <w:color w:val="1A1A1A"/>
          <w:sz w:val="20"/>
          <w:u w:val="none"/>
        </w:rPr>
        <w:t>Automated denial accuracy and applicant harm</w:t>
      </w:r>
    </w:p>
    <w:p>
      <w:pPr>
        <w:pStyle w:val="ListBullet"/>
        <w:spacing w:before="20" w:after="20"/>
        <w:ind w:left="360"/>
      </w:pPr>
      <w:r>
        <w:rPr>
          <w:rFonts w:ascii="Calibri" w:hAnsi="Calibri"/>
          <w:b w:val="0"/>
          <w:i w:val="0"/>
          <w:color w:val="1A1A1A"/>
          <w:sz w:val="20"/>
          <w:u w:val="none"/>
        </w:rPr>
        <w:t>Human oversight effectiveness and reviewer authority</w:t>
      </w:r>
    </w:p>
    <w:p>
      <w:pPr>
        <w:pStyle w:val="ListBullet"/>
        <w:spacing w:before="20" w:after="20"/>
        <w:ind w:left="360"/>
      </w:pPr>
      <w:r>
        <w:rPr>
          <w:rFonts w:ascii="Calibri" w:hAnsi="Calibri"/>
          <w:b w:val="0"/>
          <w:i w:val="0"/>
          <w:color w:val="1A1A1A"/>
          <w:sz w:val="20"/>
          <w:u w:val="none"/>
        </w:rPr>
        <w:t>Vendor dependency and model change management</w:t>
      </w:r>
    </w:p>
    <w:p>
      <w:pPr>
        <w:pStyle w:val="ListBullet"/>
        <w:spacing w:before="20" w:after="20"/>
        <w:ind w:left="360"/>
      </w:pPr>
      <w:r>
        <w:rPr>
          <w:rFonts w:ascii="Calibri" w:hAnsi="Calibri"/>
          <w:b w:val="0"/>
          <w:i w:val="0"/>
          <w:color w:val="1A1A1A"/>
          <w:sz w:val="20"/>
          <w:u w:val="none"/>
        </w:rPr>
        <w:t>Monitoring, escalation, and production readiness</w:t>
      </w:r>
    </w:p>
    <w:p>
      <w:pPr>
        <w:spacing w:before="0" w:after="80"/>
      </w:pPr>
    </w:p>
    <w:p>
      <w:pPr>
        <w:spacing w:before="80" w:after="160"/>
        <w:ind w:left="144" w:right="144"/>
        <w:shd w:val="clear" w:color="auto" w:fill="EEF4FA"/>
      </w:pPr>
      <w:r>
        <w:rPr>
          <w:rFonts w:ascii="Calibri" w:hAnsi="Calibri"/>
          <w:b/>
          <w:i w:val="0"/>
          <w:color w:val="1F5C99"/>
          <w:sz w:val="20"/>
          <w:u w:val="none"/>
        </w:rPr>
        <w:t xml:space="preserve">  Scope Note: </w:t>
      </w:r>
      <w:r>
        <w:rPr>
          <w:rFonts w:ascii="Calibri" w:hAnsi="Calibri"/>
          <w:b w:val="0"/>
          <w:i w:val="0"/>
          <w:color w:val="1A1A1A"/>
          <w:sz w:val="20"/>
          <w:u w:val="none"/>
        </w:rPr>
        <w:t>This risk register is a governance artifact used to document AI risk and support approval decisions. It is not a substitute for legal, regulatory, security, privacy, or model validation review.</w:t>
      </w:r>
    </w:p>
    <w:p>
      <w:pPr>
        <w:spacing w:before="280" w:after="100"/>
        <w:shd w:val="clear" w:color="auto" w:fill="1A335C"/>
      </w:pPr>
      <w:r>
        <w:rPr>
          <w:rFonts w:ascii="Calibri" w:hAnsi="Calibri"/>
          <w:b/>
          <w:i w:val="0"/>
          <w:color w:val="FFFFFF"/>
          <w:sz w:val="24"/>
          <w:u w:val="none"/>
        </w:rPr>
        <w:t xml:space="preserve">  3.  RISK SOURCE METHODOLOGY</w:t>
      </w:r>
    </w:p>
    <w:p>
      <w:pPr>
        <w:spacing w:before="80" w:after="100"/>
        <w:ind w:left="0"/>
      </w:pPr>
      <w:r>
        <w:rPr>
          <w:rFonts w:ascii="Calibri" w:hAnsi="Calibri"/>
          <w:b w:val="0"/>
          <w:i w:val="0"/>
          <w:color w:val="1A1A1A"/>
          <w:sz w:val="20"/>
          <w:u w:val="none"/>
        </w:rPr>
        <w:t>The six risks were selected from three sources to reflect a realistic AI governance process that combines recognized external risk taxonomies with use-case-specific custom risks.</w:t>
      </w:r>
    </w:p>
    <w:tbl>
      <w:tblPr>
        <w:tblStyle w:val="TableGrid"/>
        <w:tblW w:type="auto" w:w="0"/>
        <w:jc w:val="left"/>
        <w:tblLook w:firstColumn="1" w:firstRow="1" w:lastColumn="0" w:lastRow="0" w:noHBand="0" w:noVBand="1" w:val="04A0"/>
      </w:tblPr>
      <w:tblGrid>
        <w:gridCol w:w="3216"/>
        <w:gridCol w:w="3216"/>
        <w:gridCol w:w="3216"/>
      </w:tblGrid>
      <w:tr>
        <w:tc>
          <w:tcPr>
            <w:tcW w:type="dxa" w:w="4320"/>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Risk Source</w:t>
            </w:r>
          </w:p>
        </w:tc>
        <w:tc>
          <w:tcPr>
            <w:tcW w:type="dxa" w:w="1728"/>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Risks</w:t>
            </w:r>
          </w:p>
        </w:tc>
        <w:tc>
          <w:tcPr>
            <w:tcW w:type="dxa" w:w="4896"/>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Purpose</w:t>
            </w:r>
          </w:p>
        </w:tc>
      </w:tr>
      <w:tr>
        <w:tc>
          <w:tcPr>
            <w:tcW w:type="dxa" w:w="4320"/>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IBM AI Risk Atlas / IBM AI Risk Database</w:t>
            </w:r>
          </w:p>
        </w:tc>
        <w:tc>
          <w:tcPr>
            <w:tcW w:type="dxa" w:w="1728"/>
            <w:shd w:val="clear" w:color="auto" w:fill="EEF4FA"/>
            <w:tcBorders>
              <w:top w:val="single" w:sz="4" w:color="B0C4D8"/>
              <w:left w:val="single" w:sz="4" w:color="B0C4D8"/>
              <w:bottom w:val="single" w:sz="4" w:color="B0C4D8"/>
              <w:right w:val="single" w:sz="4" w:color="B0C4D8"/>
            </w:tcBorders>
            <w:vAlign w:val="top"/>
          </w:tcPr>
          <w:p>
            <w:pPr>
              <w:spacing w:before="60" w:after="60"/>
              <w:ind w:left="101" w:right="58"/>
              <w:jc w:val="center"/>
            </w:pPr>
            <w:r>
              <w:rPr>
                <w:rFonts w:ascii="Calibri" w:hAnsi="Calibri"/>
                <w:b/>
                <w:i w:val="0"/>
                <w:color w:val="1F5C99"/>
                <w:sz w:val="18"/>
              </w:rPr>
              <w:t>3</w:t>
            </w:r>
          </w:p>
        </w:tc>
        <w:tc>
          <w:tcPr>
            <w:tcW w:type="dxa" w:w="4896"/>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Align risks to recognized AI risk themes and industry-standard taxonomy</w:t>
            </w:r>
          </w:p>
        </w:tc>
      </w:tr>
      <w:tr>
        <w:tc>
          <w:tcPr>
            <w:tcW w:type="dxa" w:w="4320"/>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MIT AI Risk Repository</w:t>
            </w:r>
          </w:p>
        </w:tc>
        <w:tc>
          <w:tcPr>
            <w:tcW w:type="dxa" w:w="1728"/>
            <w:shd w:val="clear" w:color="auto" w:fill="F4F8FC"/>
            <w:tcBorders>
              <w:top w:val="single" w:sz="4" w:color="B0C4D8"/>
              <w:left w:val="single" w:sz="4" w:color="B0C4D8"/>
              <w:bottom w:val="single" w:sz="4" w:color="B0C4D8"/>
              <w:right w:val="single" w:sz="4" w:color="B0C4D8"/>
            </w:tcBorders>
            <w:vAlign w:val="top"/>
          </w:tcPr>
          <w:p>
            <w:pPr>
              <w:spacing w:before="60" w:after="60"/>
              <w:ind w:left="101" w:right="58"/>
              <w:jc w:val="center"/>
            </w:pPr>
            <w:r>
              <w:rPr>
                <w:rFonts w:ascii="Calibri" w:hAnsi="Calibri"/>
                <w:b/>
                <w:i w:val="0"/>
                <w:color w:val="1F5C99"/>
                <w:sz w:val="18"/>
              </w:rPr>
              <w:t>1</w:t>
            </w:r>
          </w:p>
        </w:tc>
        <w:tc>
          <w:tcPr>
            <w:tcW w:type="dxa" w:w="4896"/>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Add a broader systemic AI accountability risk from academic research</w:t>
            </w:r>
          </w:p>
        </w:tc>
      </w:tr>
      <w:tr>
        <w:tc>
          <w:tcPr>
            <w:tcW w:type="dxa" w:w="4320"/>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Custom / Manual Risk Creation</w:t>
            </w:r>
          </w:p>
        </w:tc>
        <w:tc>
          <w:tcPr>
            <w:tcW w:type="dxa" w:w="1728"/>
            <w:shd w:val="clear" w:color="auto" w:fill="EEF4FA"/>
            <w:tcBorders>
              <w:top w:val="single" w:sz="4" w:color="B0C4D8"/>
              <w:left w:val="single" w:sz="4" w:color="B0C4D8"/>
              <w:bottom w:val="single" w:sz="4" w:color="B0C4D8"/>
              <w:right w:val="single" w:sz="4" w:color="B0C4D8"/>
            </w:tcBorders>
            <w:vAlign w:val="top"/>
          </w:tcPr>
          <w:p>
            <w:pPr>
              <w:spacing w:before="60" w:after="60"/>
              <w:ind w:left="101" w:right="58"/>
              <w:jc w:val="center"/>
            </w:pPr>
            <w:r>
              <w:rPr>
                <w:rFonts w:ascii="Calibri" w:hAnsi="Calibri"/>
                <w:b/>
                <w:i w:val="0"/>
                <w:color w:val="1F5C99"/>
                <w:sz w:val="18"/>
              </w:rPr>
              <w:t>2</w:t>
            </w:r>
          </w:p>
        </w:tc>
        <w:tc>
          <w:tcPr>
            <w:tcW w:type="dxa" w:w="4896"/>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Capture use-case-specific risks not fully covered by imported libraries</w:t>
            </w:r>
          </w:p>
        </w:tc>
      </w:tr>
    </w:tbl>
    <w:p>
      <w:pPr>
        <w:spacing w:before="0" w:after="160"/>
      </w:pPr>
    </w:p>
    <w:p>
      <w:pPr>
        <w:spacing w:before="280" w:after="100"/>
        <w:shd w:val="clear" w:color="auto" w:fill="1A335C"/>
      </w:pPr>
      <w:r>
        <w:rPr>
          <w:rFonts w:ascii="Calibri" w:hAnsi="Calibri"/>
          <w:b/>
          <w:i w:val="0"/>
          <w:color w:val="FFFFFF"/>
          <w:sz w:val="24"/>
          <w:u w:val="none"/>
        </w:rPr>
        <w:t xml:space="preserve">  4.  RISK SCORING APPROACH</w:t>
      </w:r>
    </w:p>
    <w:p>
      <w:pPr>
        <w:spacing w:before="80" w:after="100"/>
        <w:ind w:left="0"/>
      </w:pPr>
      <w:r>
        <w:rPr>
          <w:rFonts w:ascii="Calibri" w:hAnsi="Calibri"/>
          <w:b w:val="0"/>
          <w:i w:val="0"/>
          <w:color w:val="1A1A1A"/>
          <w:sz w:val="20"/>
          <w:u w:val="none"/>
        </w:rPr>
        <w:t>Each risk is assessed across the following dimensions. The current risk level reflects the risk before all required controls are completed. The residual risk level reflects the expected risk after mitigations are implemented and validated.</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2160"/>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6"/>
              </w:rPr>
              <w:t>Likelihood</w:t>
            </w:r>
          </w:p>
        </w:tc>
        <w:tc>
          <w:tcPr>
            <w:tcW w:type="dxa" w:w="2160"/>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6"/>
              </w:rPr>
              <w:t>Severity</w:t>
            </w:r>
          </w:p>
        </w:tc>
        <w:tc>
          <w:tcPr>
            <w:tcW w:type="dxa" w:w="2160"/>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6"/>
              </w:rPr>
              <w:t>Risk Level</w:t>
            </w:r>
          </w:p>
        </w:tc>
        <w:tc>
          <w:tcPr>
            <w:tcW w:type="dxa" w:w="2160"/>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6"/>
              </w:rPr>
              <w:t>Mitigation Status</w:t>
            </w:r>
          </w:p>
        </w:tc>
        <w:tc>
          <w:tcPr>
            <w:tcW w:type="dxa" w:w="2304"/>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6"/>
              </w:rPr>
              <w:t>Lifecycle Phase</w:t>
            </w:r>
          </w:p>
        </w:tc>
      </w:tr>
      <w:tr>
        <w:tc>
          <w:tcPr>
            <w:tcW w:type="dxa" w:w="2160"/>
            <w:shd w:val="clear" w:color="auto" w:fill="F0F4FA"/>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color w:val="5A5A5A"/>
                <w:sz w:val="16"/>
              </w:rPr>
              <w:t>Rare / Unlikely / Possible / Likely / Almost Certain</w:t>
            </w:r>
          </w:p>
        </w:tc>
        <w:tc>
          <w:tcPr>
            <w:tcW w:type="dxa" w:w="2160"/>
            <w:shd w:val="clear" w:color="auto" w:fill="F0F4FA"/>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color w:val="5A5A5A"/>
                <w:sz w:val="16"/>
              </w:rPr>
              <w:t>Negligible / Minor / Moderate / Major / Critical</w:t>
            </w:r>
          </w:p>
        </w:tc>
        <w:tc>
          <w:tcPr>
            <w:tcW w:type="dxa" w:w="2160"/>
            <w:shd w:val="clear" w:color="auto" w:fill="F0F4FA"/>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color w:val="5A5A5A"/>
                <w:sz w:val="16"/>
              </w:rPr>
              <w:t>Low / Medium / High / Very High</w:t>
            </w:r>
          </w:p>
        </w:tc>
        <w:tc>
          <w:tcPr>
            <w:tcW w:type="dxa" w:w="2160"/>
            <w:shd w:val="clear" w:color="auto" w:fill="F0F4FA"/>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color w:val="5A5A5A"/>
                <w:sz w:val="16"/>
              </w:rPr>
              <w:t>Planned / In Progress / Completed</w:t>
            </w:r>
          </w:p>
        </w:tc>
        <w:tc>
          <w:tcPr>
            <w:tcW w:type="dxa" w:w="2304"/>
            <w:shd w:val="clear" w:color="auto" w:fill="F0F4FA"/>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color w:val="5A5A5A"/>
                <w:sz w:val="16"/>
              </w:rPr>
              <w:t>Design / Procurement / Validation / Deployment / Operation</w:t>
            </w:r>
          </w:p>
        </w:tc>
      </w:tr>
    </w:tbl>
    <w:p>
      <w:pPr>
        <w:spacing w:before="0" w:after="80"/>
      </w:pP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2160"/>
            <w:shd w:val="clear" w:color="auto" w:fill="8B0000"/>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Very High</w:t>
            </w:r>
          </w:p>
        </w:tc>
        <w:tc>
          <w:tcPr>
            <w:tcW w:type="dxa" w:w="2160"/>
            <w:shd w:val="clear" w:color="auto" w:fill="C0392B"/>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High</w:t>
            </w:r>
          </w:p>
        </w:tc>
        <w:tc>
          <w:tcPr>
            <w:tcW w:type="dxa" w:w="2160"/>
            <w:shd w:val="clear" w:color="auto" w:fill="E05000"/>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Medium / High</w:t>
            </w:r>
          </w:p>
        </w:tc>
        <w:tc>
          <w:tcPr>
            <w:tcW w:type="dxa" w:w="2160"/>
            <w:shd w:val="clear" w:color="auto" w:fill="E67E22"/>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Medium</w:t>
            </w:r>
          </w:p>
        </w:tc>
        <w:tc>
          <w:tcPr>
            <w:tcW w:type="dxa" w:w="2304"/>
            <w:shd w:val="clear" w:color="auto" w:fill="1E7A3A"/>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Low</w:t>
            </w:r>
          </w:p>
        </w:tc>
      </w:tr>
    </w:tbl>
    <w:p>
      <w:pPr>
        <w:spacing w:before="0" w:after="160"/>
      </w:pPr>
    </w:p>
    <w:p>
      <w:pPr>
        <w:spacing w:before="280" w:after="100"/>
        <w:shd w:val="clear" w:color="auto" w:fill="1A335C"/>
      </w:pPr>
      <w:r>
        <w:rPr>
          <w:rFonts w:ascii="Calibri" w:hAnsi="Calibri"/>
          <w:b/>
          <w:i w:val="0"/>
          <w:color w:val="FFFFFF"/>
          <w:sz w:val="24"/>
          <w:u w:val="none"/>
        </w:rPr>
        <w:t xml:space="preserve">  5.  RISK REGISTER — INDIVIDUAL RISK ENTRIES</w:t>
      </w:r>
    </w:p>
    <w:p>
      <w:pPr>
        <w:spacing w:before="320" w:after="80"/>
        <w:shd w:val="clear" w:color="auto" w:fill="2C4A7C"/>
      </w:pPr>
      <w:r>
        <w:rPr>
          <w:rFonts w:ascii="Calibri" w:hAnsi="Calibri"/>
          <w:b/>
          <w:i w:val="0"/>
          <w:color w:val="FFFFFF"/>
          <w:sz w:val="22"/>
          <w:u w:val="none"/>
        </w:rPr>
        <w:t xml:space="preserve">  RISK 1  |  DISCRIMINATORY LENDING OUTCOMES</w:t>
      </w:r>
    </w:p>
    <w:tbl>
      <w:tblPr>
        <w:tblStyle w:val="TableGrid"/>
        <w:tblW w:type="auto" w:w="0"/>
        <w:jc w:val="left"/>
        <w:tblLook w:firstColumn="1" w:firstRow="1" w:lastColumn="0" w:lastRow="0" w:noHBand="0" w:noVBand="1" w:val="04A0"/>
      </w:tblPr>
      <w:tblGrid>
        <w:gridCol w:w="4824"/>
        <w:gridCol w:w="4824"/>
      </w:tblGrid>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Risk Source</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IBM AI Risk Atlas / IBM AI Risk Database</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IBM Risk Theme</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Discriminatory actions</w:t>
            </w:r>
          </w:p>
        </w:tc>
      </w:tr>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Risk Owner</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Compliance Reviewer</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Approver</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Executive Approver</w:t>
            </w:r>
          </w:p>
        </w:tc>
      </w:tr>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AI Lifecycle Phase</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Deployment / Operation</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Applicable Frameworks</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EU AI Act  |  NIST AI RMF  |  ISO/IEC 42001</w:t>
            </w:r>
          </w:p>
        </w:tc>
      </w:tr>
    </w:tbl>
    <w:p>
      <w:pPr>
        <w:spacing w:before="0" w:after="80"/>
      </w:pPr>
    </w:p>
    <w:p>
      <w:pPr>
        <w:spacing w:before="160" w:after="60"/>
        <w:pBdr>
          <w:bottom w:val="single" w:sz="8" w:space="1" w:color="1F5C99"/>
        </w:pBdr>
      </w:pPr>
      <w:r>
        <w:rPr>
          <w:rFonts w:ascii="Calibri" w:hAnsi="Calibri"/>
          <w:b/>
          <w:i w:val="0"/>
          <w:color w:val="1F5C99"/>
          <w:sz w:val="22"/>
          <w:u w:val="none"/>
        </w:rPr>
        <w:t>Risk Description</w:t>
      </w:r>
    </w:p>
    <w:p>
      <w:pPr>
        <w:spacing w:before="40" w:after="80"/>
        <w:ind w:left="0"/>
      </w:pPr>
      <w:r>
        <w:rPr>
          <w:rFonts w:ascii="Calibri" w:hAnsi="Calibri"/>
          <w:b w:val="0"/>
          <w:i w:val="0"/>
          <w:color w:val="1A1A1A"/>
          <w:sz w:val="20"/>
          <w:u w:val="none"/>
        </w:rPr>
        <w:t>The AI underwriting system may produce unfair approval or denial outcomes for protected or vulnerable groups due to biased training data, proxy variables, or historical lending patterns. Even if protected characteristics are not directly used, variables such as geography, industry, business age, thin credit file, and cash-flow volatility may create discriminatory effects.</w:t>
      </w:r>
    </w:p>
    <w:p>
      <w:pPr>
        <w:spacing w:before="160" w:after="60"/>
        <w:pBdr>
          <w:bottom w:val="single" w:sz="8" w:space="1" w:color="1F5C99"/>
        </w:pBdr>
      </w:pPr>
      <w:r>
        <w:rPr>
          <w:rFonts w:ascii="Calibri" w:hAnsi="Calibri"/>
          <w:b/>
          <w:i w:val="0"/>
          <w:color w:val="1F5C99"/>
          <w:sz w:val="22"/>
          <w:u w:val="none"/>
        </w:rPr>
        <w:t>Potential Impact</w:t>
      </w:r>
    </w:p>
    <w:p>
      <w:pPr>
        <w:spacing w:before="40" w:after="80"/>
        <w:ind w:left="0"/>
      </w:pPr>
      <w:r>
        <w:rPr>
          <w:rFonts w:ascii="Calibri" w:hAnsi="Calibri"/>
          <w:b w:val="0"/>
          <w:i w:val="0"/>
          <w:color w:val="1A1A1A"/>
          <w:sz w:val="20"/>
          <w:u w:val="none"/>
        </w:rPr>
        <w:t>Applicants may be unfairly denied access to credit. Meridian may face regulatory scrutiny, litigation, customer harm, and reputational damage if automated lending outcomes are discriminatory or cannot be justified.</w:t>
      </w:r>
    </w:p>
    <w:p>
      <w:pPr>
        <w:spacing w:before="160" w:after="60"/>
        <w:pBdr>
          <w:bottom w:val="single" w:sz="8" w:space="1" w:color="1F5C99"/>
        </w:pBdr>
      </w:pPr>
      <w:r>
        <w:rPr>
          <w:rFonts w:ascii="Calibri" w:hAnsi="Calibri"/>
          <w:b/>
          <w:i w:val="0"/>
          <w:color w:val="1F5C99"/>
          <w:sz w:val="22"/>
          <w:u w:val="none"/>
        </w:rPr>
        <w:t>Risk Scoring</w:t>
      </w:r>
    </w:p>
    <w:tbl>
      <w:tblPr>
        <w:tblStyle w:val="TableGrid"/>
        <w:tblW w:type="auto" w:w="0"/>
        <w:jc w:val="left"/>
        <w:tblLook w:firstColumn="1" w:firstRow="1" w:lastColumn="0" w:lastRow="0" w:noHBand="0" w:noVBand="1" w:val="04A0"/>
      </w:tblPr>
      <w:tblGrid>
        <w:gridCol w:w="4824"/>
        <w:gridCol w:w="4824"/>
      </w:tblGrid>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Inherent Likelihood</w:t>
            </w:r>
          </w:p>
        </w:tc>
        <w:tc>
          <w:tcPr>
            <w:tcW w:type="dxa" w:w="7488"/>
            <w:shd w:val="clear" w:color="auto" w:fill="FFFF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Possible</w:t>
            </w:r>
          </w:p>
        </w:tc>
      </w:tr>
      <w:tr>
        <w:tc>
          <w:tcPr>
            <w:tcW w:type="dxa" w:w="3456"/>
            <w:shd w:val="clear" w:color="auto" w:fill="E4EEF8"/>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Inherent Severity</w:t>
            </w:r>
          </w:p>
        </w:tc>
        <w:tc>
          <w:tcPr>
            <w:tcW w:type="dxa" w:w="748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Critical</w:t>
            </w:r>
          </w:p>
        </w:tc>
      </w:tr>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Current Risk Level</w:t>
            </w:r>
          </w:p>
        </w:tc>
        <w:tc>
          <w:tcPr>
            <w:tcW w:type="dxa" w:w="7488"/>
            <w:shd w:val="clear" w:color="auto" w:fill="8B0000"/>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Very High</w:t>
            </w:r>
          </w:p>
        </w:tc>
      </w:tr>
      <w:tr>
        <w:tc>
          <w:tcPr>
            <w:tcW w:type="dxa" w:w="3456"/>
            <w:shd w:val="clear" w:color="auto" w:fill="E4EEF8"/>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Mitigation Status</w:t>
            </w:r>
          </w:p>
        </w:tc>
        <w:tc>
          <w:tcPr>
            <w:tcW w:type="dxa" w:w="748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In Progress</w:t>
            </w:r>
          </w:p>
        </w:tc>
      </w:tr>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Residual Likelihood</w:t>
            </w:r>
          </w:p>
        </w:tc>
        <w:tc>
          <w:tcPr>
            <w:tcW w:type="dxa" w:w="7488"/>
            <w:shd w:val="clear" w:color="auto" w:fill="FFFF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Unlikely</w:t>
            </w:r>
          </w:p>
        </w:tc>
      </w:tr>
      <w:tr>
        <w:tc>
          <w:tcPr>
            <w:tcW w:type="dxa" w:w="3456"/>
            <w:shd w:val="clear" w:color="auto" w:fill="E4EEF8"/>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Residual Severity</w:t>
            </w:r>
          </w:p>
        </w:tc>
        <w:tc>
          <w:tcPr>
            <w:tcW w:type="dxa" w:w="748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Major</w:t>
            </w:r>
          </w:p>
        </w:tc>
      </w:tr>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Residual Risk Level</w:t>
            </w:r>
          </w:p>
        </w:tc>
        <w:tc>
          <w:tcPr>
            <w:tcW w:type="dxa" w:w="7488"/>
            <w:shd w:val="clear" w:color="auto" w:fill="E05000"/>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Medium / High</w:t>
            </w:r>
          </w:p>
        </w:tc>
      </w:tr>
    </w:tbl>
    <w:p>
      <w:pPr>
        <w:spacing w:before="0" w:after="80"/>
      </w:pPr>
    </w:p>
    <w:p>
      <w:pPr>
        <w:spacing w:before="160" w:after="60"/>
        <w:pBdr>
          <w:bottom w:val="single" w:sz="8" w:space="1" w:color="1F5C99"/>
        </w:pBdr>
      </w:pPr>
      <w:r>
        <w:rPr>
          <w:rFonts w:ascii="Calibri" w:hAnsi="Calibri"/>
          <w:b/>
          <w:i w:val="0"/>
          <w:color w:val="1F5C99"/>
          <w:sz w:val="22"/>
          <w:u w:val="none"/>
        </w:rPr>
        <w:t>Key Mitigation</w:t>
      </w:r>
    </w:p>
    <w:p>
      <w:pPr>
        <w:spacing w:before="40" w:after="60"/>
        <w:ind w:left="0"/>
      </w:pPr>
      <w:r>
        <w:rPr>
          <w:rFonts w:ascii="Calibri" w:hAnsi="Calibri"/>
          <w:b w:val="0"/>
          <w:i w:val="0"/>
          <w:color w:val="1A1A1A"/>
          <w:sz w:val="20"/>
          <w:u w:val="none"/>
        </w:rPr>
        <w:t>Require pre-production fairness testing, disparate impact analysis, segment-level approval and denial monitoring, validation of denial reason codes, and governance committee review before launch.</w:t>
      </w:r>
    </w:p>
    <w:p>
      <w:pPr>
        <w:spacing w:before="160" w:after="60"/>
        <w:pBdr>
          <w:bottom w:val="single" w:sz="8" w:space="1" w:color="1F5C99"/>
        </w:pBdr>
      </w:pPr>
      <w:r>
        <w:rPr>
          <w:rFonts w:ascii="Calibri" w:hAnsi="Calibri"/>
          <w:b/>
          <w:i w:val="0"/>
          <w:color w:val="1F5C99"/>
          <w:sz w:val="22"/>
          <w:u w:val="none"/>
        </w:rPr>
        <w:t>Implementation Strategy</w:t>
      </w:r>
    </w:p>
    <w:p>
      <w:pPr>
        <w:spacing w:before="40" w:after="80"/>
        <w:ind w:left="0"/>
      </w:pPr>
      <w:r>
        <w:rPr>
          <w:rFonts w:ascii="Calibri" w:hAnsi="Calibri"/>
          <w:b w:val="0"/>
          <w:i w:val="0"/>
          <w:color w:val="1A1A1A"/>
          <w:sz w:val="20"/>
          <w:u w:val="none"/>
        </w:rPr>
        <w:t>Compliance, Model Risk, and the vendor will test outcomes across relevant applicant segments. Any material disparity must be investigated, remediated, and approved before production. Monitoring thresholds will trigger escalation if denial rates materially diverge across segments.</w:t>
      </w:r>
    </w:p>
    <w:p>
      <w:pPr>
        <w:spacing w:before="80" w:after="160"/>
        <w:ind w:left="144" w:right="144"/>
        <w:shd w:val="clear" w:color="auto" w:fill="FDECEA"/>
      </w:pPr>
      <w:r>
        <w:rPr>
          <w:rFonts w:ascii="Calibri" w:hAnsi="Calibri"/>
          <w:b/>
          <w:i w:val="0"/>
          <w:color w:val="C00000"/>
          <w:sz w:val="20"/>
          <w:u w:val="none"/>
        </w:rPr>
        <w:t xml:space="preserve">  Recommendation: </w:t>
      </w:r>
      <w:r>
        <w:rPr>
          <w:rFonts w:ascii="Calibri" w:hAnsi="Calibri"/>
          <w:b w:val="0"/>
          <w:i w:val="0"/>
          <w:color w:val="1A1A1A"/>
          <w:sz w:val="20"/>
          <w:u w:val="none"/>
        </w:rPr>
        <w:t>Do not approve production until fairness testing and monitoring controls are documented and reviewed.</w:t>
      </w:r>
    </w:p>
    <w:p>
      <w:pPr>
        <w:spacing w:before="320" w:after="80"/>
        <w:shd w:val="clear" w:color="auto" w:fill="2C4A7C"/>
      </w:pPr>
      <w:r>
        <w:rPr>
          <w:rFonts w:ascii="Calibri" w:hAnsi="Calibri"/>
          <w:b/>
          <w:i w:val="0"/>
          <w:color w:val="FFFFFF"/>
          <w:sz w:val="22"/>
          <w:u w:val="none"/>
        </w:rPr>
        <w:t xml:space="preserve">  RISK 2  |  PROXY BIAS THROUGH CREDIT AND BUSINESS VARIABLES</w:t>
      </w:r>
    </w:p>
    <w:tbl>
      <w:tblPr>
        <w:tblStyle w:val="TableGrid"/>
        <w:tblW w:type="auto" w:w="0"/>
        <w:jc w:val="left"/>
        <w:tblLook w:firstColumn="1" w:firstRow="1" w:lastColumn="0" w:lastRow="0" w:noHBand="0" w:noVBand="1" w:val="04A0"/>
      </w:tblPr>
      <w:tblGrid>
        <w:gridCol w:w="4824"/>
        <w:gridCol w:w="4824"/>
      </w:tblGrid>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Risk Source</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IBM AI Risk Atlas / IBM AI Risk Database</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IBM Risk Theme</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Introduction of new data bias</w:t>
            </w:r>
          </w:p>
        </w:tc>
      </w:tr>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Risk Owner</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Model Risk Reviewer</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Approver</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Model Risk Reviewer</w:t>
            </w:r>
          </w:p>
        </w:tc>
      </w:tr>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AI Lifecycle Phase</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Design / Validation</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Applicable Frameworks</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EU AI Act  |  NIST AI RMF  |  ISO/IEC 42001</w:t>
            </w:r>
          </w:p>
        </w:tc>
      </w:tr>
    </w:tbl>
    <w:p>
      <w:pPr>
        <w:spacing w:before="0" w:after="80"/>
      </w:pPr>
    </w:p>
    <w:p>
      <w:pPr>
        <w:spacing w:before="160" w:after="60"/>
        <w:pBdr>
          <w:bottom w:val="single" w:sz="8" w:space="1" w:color="1F5C99"/>
        </w:pBdr>
      </w:pPr>
      <w:r>
        <w:rPr>
          <w:rFonts w:ascii="Calibri" w:hAnsi="Calibri"/>
          <w:b/>
          <w:i w:val="0"/>
          <w:color w:val="1F5C99"/>
          <w:sz w:val="22"/>
          <w:u w:val="none"/>
        </w:rPr>
        <w:t>Risk Description</w:t>
      </w:r>
    </w:p>
    <w:p>
      <w:pPr>
        <w:spacing w:before="40" w:after="80"/>
        <w:ind w:left="0"/>
      </w:pPr>
      <w:r>
        <w:rPr>
          <w:rFonts w:ascii="Calibri" w:hAnsi="Calibri"/>
          <w:b w:val="0"/>
          <w:i w:val="0"/>
          <w:color w:val="1A1A1A"/>
          <w:sz w:val="20"/>
          <w:u w:val="none"/>
        </w:rPr>
        <w:t>The system may use variables such as geography, business age, industry, credit history, thin credit files, and cash-flow volatility that correlate with protected or disadvantaged groups. These variables may introduce or amplify bias even when protected characteristics are excluded.</w:t>
      </w:r>
    </w:p>
    <w:p>
      <w:pPr>
        <w:spacing w:before="160" w:after="60"/>
        <w:pBdr>
          <w:bottom w:val="single" w:sz="8" w:space="1" w:color="1F5C99"/>
        </w:pBdr>
      </w:pPr>
      <w:r>
        <w:rPr>
          <w:rFonts w:ascii="Calibri" w:hAnsi="Calibri"/>
          <w:b/>
          <w:i w:val="0"/>
          <w:color w:val="1F5C99"/>
          <w:sz w:val="22"/>
          <w:u w:val="none"/>
        </w:rPr>
        <w:t>Potential Impact</w:t>
      </w:r>
    </w:p>
    <w:p>
      <w:pPr>
        <w:spacing w:before="40" w:after="80"/>
        <w:ind w:left="0"/>
      </w:pPr>
      <w:r>
        <w:rPr>
          <w:rFonts w:ascii="Calibri" w:hAnsi="Calibri"/>
          <w:b w:val="0"/>
          <w:i w:val="0"/>
          <w:color w:val="1A1A1A"/>
          <w:sz w:val="20"/>
          <w:u w:val="none"/>
        </w:rPr>
        <w:t>Proxy bias may cause unfair approval or denial outcomes, inaccurate eligibility decisions, and failure to meet fairness expectations for automated credit decisioning.</w:t>
      </w:r>
    </w:p>
    <w:p>
      <w:pPr>
        <w:spacing w:before="160" w:after="60"/>
        <w:pBdr>
          <w:bottom w:val="single" w:sz="8" w:space="1" w:color="1F5C99"/>
        </w:pBdr>
      </w:pPr>
      <w:r>
        <w:rPr>
          <w:rFonts w:ascii="Calibri" w:hAnsi="Calibri"/>
          <w:b/>
          <w:i w:val="0"/>
          <w:color w:val="1F5C99"/>
          <w:sz w:val="22"/>
          <w:u w:val="none"/>
        </w:rPr>
        <w:t>Risk Scoring</w:t>
      </w:r>
    </w:p>
    <w:tbl>
      <w:tblPr>
        <w:tblStyle w:val="TableGrid"/>
        <w:tblW w:type="auto" w:w="0"/>
        <w:jc w:val="left"/>
        <w:tblLook w:firstColumn="1" w:firstRow="1" w:lastColumn="0" w:lastRow="0" w:noHBand="0" w:noVBand="1" w:val="04A0"/>
      </w:tblPr>
      <w:tblGrid>
        <w:gridCol w:w="4824"/>
        <w:gridCol w:w="4824"/>
      </w:tblGrid>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Inherent Likelihood</w:t>
            </w:r>
          </w:p>
        </w:tc>
        <w:tc>
          <w:tcPr>
            <w:tcW w:type="dxa" w:w="7488"/>
            <w:shd w:val="clear" w:color="auto" w:fill="FFFF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Likely</w:t>
            </w:r>
          </w:p>
        </w:tc>
      </w:tr>
      <w:tr>
        <w:tc>
          <w:tcPr>
            <w:tcW w:type="dxa" w:w="3456"/>
            <w:shd w:val="clear" w:color="auto" w:fill="E4EEF8"/>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Inherent Severity</w:t>
            </w:r>
          </w:p>
        </w:tc>
        <w:tc>
          <w:tcPr>
            <w:tcW w:type="dxa" w:w="748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Major</w:t>
            </w:r>
          </w:p>
        </w:tc>
      </w:tr>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Current Risk Level</w:t>
            </w:r>
          </w:p>
        </w:tc>
        <w:tc>
          <w:tcPr>
            <w:tcW w:type="dxa" w:w="7488"/>
            <w:shd w:val="clear" w:color="auto" w:fill="8B0000"/>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Very High</w:t>
            </w:r>
          </w:p>
        </w:tc>
      </w:tr>
      <w:tr>
        <w:tc>
          <w:tcPr>
            <w:tcW w:type="dxa" w:w="3456"/>
            <w:shd w:val="clear" w:color="auto" w:fill="E4EEF8"/>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Mitigation Status</w:t>
            </w:r>
          </w:p>
        </w:tc>
        <w:tc>
          <w:tcPr>
            <w:tcW w:type="dxa" w:w="748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In Progress</w:t>
            </w:r>
          </w:p>
        </w:tc>
      </w:tr>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Residual Likelihood</w:t>
            </w:r>
          </w:p>
        </w:tc>
        <w:tc>
          <w:tcPr>
            <w:tcW w:type="dxa" w:w="7488"/>
            <w:shd w:val="clear" w:color="auto" w:fill="FFFF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Possible</w:t>
            </w:r>
          </w:p>
        </w:tc>
      </w:tr>
      <w:tr>
        <w:tc>
          <w:tcPr>
            <w:tcW w:type="dxa" w:w="3456"/>
            <w:shd w:val="clear" w:color="auto" w:fill="E4EEF8"/>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Residual Severity</w:t>
            </w:r>
          </w:p>
        </w:tc>
        <w:tc>
          <w:tcPr>
            <w:tcW w:type="dxa" w:w="748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Moderate</w:t>
            </w:r>
          </w:p>
        </w:tc>
      </w:tr>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Residual Risk Level</w:t>
            </w:r>
          </w:p>
        </w:tc>
        <w:tc>
          <w:tcPr>
            <w:tcW w:type="dxa" w:w="7488"/>
            <w:shd w:val="clear" w:color="auto" w:fill="E67E22"/>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Medium</w:t>
            </w:r>
          </w:p>
        </w:tc>
      </w:tr>
    </w:tbl>
    <w:p>
      <w:pPr>
        <w:spacing w:before="0" w:after="80"/>
      </w:pPr>
    </w:p>
    <w:p>
      <w:pPr>
        <w:spacing w:before="160" w:after="60"/>
        <w:pBdr>
          <w:bottom w:val="single" w:sz="8" w:space="1" w:color="1F5C99"/>
        </w:pBdr>
      </w:pPr>
      <w:r>
        <w:rPr>
          <w:rFonts w:ascii="Calibri" w:hAnsi="Calibri"/>
          <w:b/>
          <w:i w:val="0"/>
          <w:color w:val="1F5C99"/>
          <w:sz w:val="22"/>
          <w:u w:val="none"/>
        </w:rPr>
        <w:t>Key Mitigation</w:t>
      </w:r>
    </w:p>
    <w:p>
      <w:pPr>
        <w:spacing w:before="40" w:after="60"/>
        <w:ind w:left="0"/>
      </w:pPr>
      <w:r>
        <w:rPr>
          <w:rFonts w:ascii="Calibri" w:hAnsi="Calibri"/>
          <w:b w:val="0"/>
          <w:i w:val="0"/>
          <w:color w:val="1A1A1A"/>
          <w:sz w:val="20"/>
          <w:u w:val="none"/>
        </w:rPr>
        <w:t>Perform feature review, proxy-bias analysis, fairness testing, disparate impact analysis, and reason code validation before production.</w:t>
      </w:r>
    </w:p>
    <w:p>
      <w:pPr>
        <w:spacing w:before="160" w:after="60"/>
        <w:pBdr>
          <w:bottom w:val="single" w:sz="8" w:space="1" w:color="1F5C99"/>
        </w:pBdr>
      </w:pPr>
      <w:r>
        <w:rPr>
          <w:rFonts w:ascii="Calibri" w:hAnsi="Calibri"/>
          <w:b/>
          <w:i w:val="0"/>
          <w:color w:val="1F5C99"/>
          <w:sz w:val="22"/>
          <w:u w:val="none"/>
        </w:rPr>
        <w:t>Implementation Strategy</w:t>
      </w:r>
    </w:p>
    <w:p>
      <w:pPr>
        <w:spacing w:before="40" w:after="80"/>
        <w:ind w:left="0"/>
      </w:pPr>
      <w:r>
        <w:rPr>
          <w:rFonts w:ascii="Calibri" w:hAnsi="Calibri"/>
          <w:b w:val="0"/>
          <w:i w:val="0"/>
          <w:color w:val="1A1A1A"/>
          <w:sz w:val="20"/>
          <w:u w:val="none"/>
        </w:rPr>
        <w:t>Model Risk will review model inputs and vendor documentation. Compliance will review potential fair lending impact. High-risk variables must be justified, monitored, adjusted, or removed.</w:t>
      </w:r>
    </w:p>
    <w:p>
      <w:pPr>
        <w:spacing w:before="80" w:after="160"/>
        <w:ind w:left="144" w:right="144"/>
        <w:shd w:val="clear" w:color="auto" w:fill="FEF3E2"/>
      </w:pPr>
      <w:r>
        <w:rPr>
          <w:rFonts w:ascii="Calibri" w:hAnsi="Calibri"/>
          <w:b/>
          <w:i w:val="0"/>
          <w:color w:val="C06000"/>
          <w:sz w:val="20"/>
          <w:u w:val="none"/>
        </w:rPr>
        <w:t xml:space="preserve">  Recommendation: </w:t>
      </w:r>
      <w:r>
        <w:rPr>
          <w:rFonts w:ascii="Calibri" w:hAnsi="Calibri"/>
          <w:b w:val="0"/>
          <w:i w:val="0"/>
          <w:color w:val="1A1A1A"/>
          <w:sz w:val="20"/>
          <w:u w:val="none"/>
        </w:rPr>
        <w:t>Require proxy-bias review before launch and repeat testing after major model updates.</w:t>
      </w:r>
    </w:p>
    <w:p>
      <w:pPr>
        <w:spacing w:before="320" w:after="80"/>
        <w:shd w:val="clear" w:color="auto" w:fill="2C4A7C"/>
      </w:pPr>
      <w:r>
        <w:rPr>
          <w:rFonts w:ascii="Calibri" w:hAnsi="Calibri"/>
          <w:b/>
          <w:i w:val="0"/>
          <w:color w:val="FFFFFF"/>
          <w:sz w:val="22"/>
          <w:u w:val="none"/>
        </w:rPr>
        <w:t xml:space="preserve">  RISK 3  |  WEAK EXPLAINABILITY AND INCOMPLETE REASON CODES</w:t>
      </w:r>
    </w:p>
    <w:tbl>
      <w:tblPr>
        <w:tblStyle w:val="TableGrid"/>
        <w:tblW w:type="auto" w:w="0"/>
        <w:jc w:val="left"/>
        <w:tblLook w:firstColumn="1" w:firstRow="1" w:lastColumn="0" w:lastRow="0" w:noHBand="0" w:noVBand="1" w:val="04A0"/>
      </w:tblPr>
      <w:tblGrid>
        <w:gridCol w:w="4824"/>
        <w:gridCol w:w="4824"/>
      </w:tblGrid>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Risk Source</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IBM AI Risk Atlas / IBM AI Risk Database</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IBM Risk Theme</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Unexplainable and untraceable actions</w:t>
            </w:r>
          </w:p>
        </w:tc>
      </w:tr>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Risk Owner</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Model Risk Reviewer</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Approver</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Model Risk Reviewer</w:t>
            </w:r>
          </w:p>
        </w:tc>
      </w:tr>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AI Lifecycle Phase</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Validation / Operation</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Applicable Frameworks</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EU AI Act  |  NIST AI RMF  |  ISO/IEC 42001</w:t>
            </w:r>
          </w:p>
        </w:tc>
      </w:tr>
    </w:tbl>
    <w:p>
      <w:pPr>
        <w:spacing w:before="0" w:after="80"/>
      </w:pPr>
    </w:p>
    <w:p>
      <w:pPr>
        <w:spacing w:before="160" w:after="60"/>
        <w:pBdr>
          <w:bottom w:val="single" w:sz="8" w:space="1" w:color="1F5C99"/>
        </w:pBdr>
      </w:pPr>
      <w:r>
        <w:rPr>
          <w:rFonts w:ascii="Calibri" w:hAnsi="Calibri"/>
          <w:b/>
          <w:i w:val="0"/>
          <w:color w:val="1F5C99"/>
          <w:sz w:val="22"/>
          <w:u w:val="none"/>
        </w:rPr>
        <w:t>Risk Description</w:t>
      </w:r>
    </w:p>
    <w:p>
      <w:pPr>
        <w:spacing w:before="40" w:after="80"/>
        <w:ind w:left="0"/>
      </w:pPr>
      <w:r>
        <w:rPr>
          <w:rFonts w:ascii="Calibri" w:hAnsi="Calibri"/>
          <w:b w:val="0"/>
          <w:i w:val="0"/>
          <w:color w:val="1A1A1A"/>
          <w:sz w:val="20"/>
          <w:u w:val="none"/>
        </w:rPr>
        <w:t>The system may generate approval or denial decisions without clear, accurate, and reviewable explanations. Denial reason codes may be too generic, incomplete, or inconsistent with the actual model factors.</w:t>
      </w:r>
    </w:p>
    <w:p>
      <w:pPr>
        <w:spacing w:before="160" w:after="60"/>
        <w:pBdr>
          <w:bottom w:val="single" w:sz="8" w:space="1" w:color="1F5C99"/>
        </w:pBdr>
      </w:pPr>
      <w:r>
        <w:rPr>
          <w:rFonts w:ascii="Calibri" w:hAnsi="Calibri"/>
          <w:b/>
          <w:i w:val="0"/>
          <w:color w:val="1F5C99"/>
          <w:sz w:val="22"/>
          <w:u w:val="none"/>
        </w:rPr>
        <w:t>Potential Impact</w:t>
      </w:r>
    </w:p>
    <w:p>
      <w:pPr>
        <w:spacing w:before="40" w:after="80"/>
        <w:ind w:left="0"/>
      </w:pPr>
      <w:r>
        <w:rPr>
          <w:rFonts w:ascii="Calibri" w:hAnsi="Calibri"/>
          <w:b w:val="0"/>
          <w:i w:val="0"/>
          <w:color w:val="1A1A1A"/>
          <w:sz w:val="20"/>
          <w:u w:val="none"/>
        </w:rPr>
        <w:t>Meridian may be unable to explain adverse decisions to applicants, support appeals, respond to complaints, or demonstrate compliance during audits or regulatory reviews.</w:t>
      </w:r>
    </w:p>
    <w:p>
      <w:pPr>
        <w:spacing w:before="160" w:after="60"/>
        <w:pBdr>
          <w:bottom w:val="single" w:sz="8" w:space="1" w:color="1F5C99"/>
        </w:pBdr>
      </w:pPr>
      <w:r>
        <w:rPr>
          <w:rFonts w:ascii="Calibri" w:hAnsi="Calibri"/>
          <w:b/>
          <w:i w:val="0"/>
          <w:color w:val="1F5C99"/>
          <w:sz w:val="22"/>
          <w:u w:val="none"/>
        </w:rPr>
        <w:t>Risk Scoring</w:t>
      </w:r>
    </w:p>
    <w:tbl>
      <w:tblPr>
        <w:tblStyle w:val="TableGrid"/>
        <w:tblW w:type="auto" w:w="0"/>
        <w:jc w:val="left"/>
        <w:tblLook w:firstColumn="1" w:firstRow="1" w:lastColumn="0" w:lastRow="0" w:noHBand="0" w:noVBand="1" w:val="04A0"/>
      </w:tblPr>
      <w:tblGrid>
        <w:gridCol w:w="4824"/>
        <w:gridCol w:w="4824"/>
      </w:tblGrid>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Inherent Likelihood</w:t>
            </w:r>
          </w:p>
        </w:tc>
        <w:tc>
          <w:tcPr>
            <w:tcW w:type="dxa" w:w="7488"/>
            <w:shd w:val="clear" w:color="auto" w:fill="FFFF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Possible</w:t>
            </w:r>
          </w:p>
        </w:tc>
      </w:tr>
      <w:tr>
        <w:tc>
          <w:tcPr>
            <w:tcW w:type="dxa" w:w="3456"/>
            <w:shd w:val="clear" w:color="auto" w:fill="E4EEF8"/>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Inherent Severity</w:t>
            </w:r>
          </w:p>
        </w:tc>
        <w:tc>
          <w:tcPr>
            <w:tcW w:type="dxa" w:w="748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Major</w:t>
            </w:r>
          </w:p>
        </w:tc>
      </w:tr>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Current Risk Level</w:t>
            </w:r>
          </w:p>
        </w:tc>
        <w:tc>
          <w:tcPr>
            <w:tcW w:type="dxa" w:w="7488"/>
            <w:shd w:val="clear" w:color="auto" w:fill="C0392B"/>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High</w:t>
            </w:r>
          </w:p>
        </w:tc>
      </w:tr>
      <w:tr>
        <w:tc>
          <w:tcPr>
            <w:tcW w:type="dxa" w:w="3456"/>
            <w:shd w:val="clear" w:color="auto" w:fill="E4EEF8"/>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Mitigation Status</w:t>
            </w:r>
          </w:p>
        </w:tc>
        <w:tc>
          <w:tcPr>
            <w:tcW w:type="dxa" w:w="748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In Progress</w:t>
            </w:r>
          </w:p>
        </w:tc>
      </w:tr>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Residual Likelihood</w:t>
            </w:r>
          </w:p>
        </w:tc>
        <w:tc>
          <w:tcPr>
            <w:tcW w:type="dxa" w:w="7488"/>
            <w:shd w:val="clear" w:color="auto" w:fill="FFFF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Unlikely</w:t>
            </w:r>
          </w:p>
        </w:tc>
      </w:tr>
      <w:tr>
        <w:tc>
          <w:tcPr>
            <w:tcW w:type="dxa" w:w="3456"/>
            <w:shd w:val="clear" w:color="auto" w:fill="E4EEF8"/>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Residual Severity</w:t>
            </w:r>
          </w:p>
        </w:tc>
        <w:tc>
          <w:tcPr>
            <w:tcW w:type="dxa" w:w="748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Moderate</w:t>
            </w:r>
          </w:p>
        </w:tc>
      </w:tr>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Residual Risk Level</w:t>
            </w:r>
          </w:p>
        </w:tc>
        <w:tc>
          <w:tcPr>
            <w:tcW w:type="dxa" w:w="7488"/>
            <w:shd w:val="clear" w:color="auto" w:fill="E67E22"/>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Medium</w:t>
            </w:r>
          </w:p>
        </w:tc>
      </w:tr>
    </w:tbl>
    <w:p>
      <w:pPr>
        <w:spacing w:before="0" w:after="80"/>
      </w:pPr>
    </w:p>
    <w:p>
      <w:pPr>
        <w:spacing w:before="160" w:after="60"/>
        <w:pBdr>
          <w:bottom w:val="single" w:sz="8" w:space="1" w:color="1F5C99"/>
        </w:pBdr>
      </w:pPr>
      <w:r>
        <w:rPr>
          <w:rFonts w:ascii="Calibri" w:hAnsi="Calibri"/>
          <w:b/>
          <w:i w:val="0"/>
          <w:color w:val="1F5C99"/>
          <w:sz w:val="22"/>
          <w:u w:val="none"/>
        </w:rPr>
        <w:t>Key Mitigation</w:t>
      </w:r>
    </w:p>
    <w:p>
      <w:pPr>
        <w:spacing w:before="40" w:after="60"/>
        <w:ind w:left="0"/>
      </w:pPr>
      <w:r>
        <w:rPr>
          <w:rFonts w:ascii="Calibri" w:hAnsi="Calibri"/>
          <w:b w:val="0"/>
          <w:i w:val="0"/>
          <w:color w:val="1A1A1A"/>
          <w:sz w:val="20"/>
          <w:u w:val="none"/>
        </w:rPr>
        <w:t>Validate denial reason codes against model outputs, require vendor explanation documentation, test explanations using sample decisions, and document known explainability limitations.</w:t>
      </w:r>
    </w:p>
    <w:p>
      <w:pPr>
        <w:spacing w:before="160" w:after="60"/>
        <w:pBdr>
          <w:bottom w:val="single" w:sz="8" w:space="1" w:color="1F5C99"/>
        </w:pBdr>
      </w:pPr>
      <w:r>
        <w:rPr>
          <w:rFonts w:ascii="Calibri" w:hAnsi="Calibri"/>
          <w:b/>
          <w:i w:val="0"/>
          <w:color w:val="1F5C99"/>
          <w:sz w:val="22"/>
          <w:u w:val="none"/>
        </w:rPr>
        <w:t>Implementation Strategy</w:t>
      </w:r>
    </w:p>
    <w:p>
      <w:pPr>
        <w:spacing w:before="40" w:after="80"/>
        <w:ind w:left="0"/>
      </w:pPr>
      <w:r>
        <w:rPr>
          <w:rFonts w:ascii="Calibri" w:hAnsi="Calibri"/>
          <w:b w:val="0"/>
          <w:i w:val="0"/>
          <w:color w:val="1A1A1A"/>
          <w:sz w:val="20"/>
          <w:u w:val="none"/>
        </w:rPr>
        <w:t>Model Risk and Compliance will review sample auto-approvals and auto-denials to confirm that reason codes are accurate, consistent, and understandable.</w:t>
      </w:r>
    </w:p>
    <w:p>
      <w:pPr>
        <w:spacing w:before="80" w:after="160"/>
        <w:ind w:left="144" w:right="144"/>
        <w:shd w:val="clear" w:color="auto" w:fill="FDECEA"/>
      </w:pPr>
      <w:r>
        <w:rPr>
          <w:rFonts w:ascii="Calibri" w:hAnsi="Calibri"/>
          <w:b/>
          <w:i w:val="0"/>
          <w:color w:val="C00000"/>
          <w:sz w:val="20"/>
          <w:u w:val="none"/>
        </w:rPr>
        <w:t xml:space="preserve">  Recommendation: </w:t>
      </w:r>
      <w:r>
        <w:rPr>
          <w:rFonts w:ascii="Calibri" w:hAnsi="Calibri"/>
          <w:b w:val="0"/>
          <w:i w:val="0"/>
          <w:color w:val="1A1A1A"/>
          <w:sz w:val="20"/>
          <w:u w:val="none"/>
        </w:rPr>
        <w:t>Production must be delayed if reason codes cannot support adverse action notices and appeal review.</w:t>
      </w:r>
    </w:p>
    <w:p>
      <w:pPr>
        <w:spacing w:before="320" w:after="80"/>
        <w:shd w:val="clear" w:color="auto" w:fill="2C4A7C"/>
      </w:pPr>
      <w:r>
        <w:rPr>
          <w:rFonts w:ascii="Calibri" w:hAnsi="Calibri"/>
          <w:b/>
          <w:i w:val="0"/>
          <w:color w:val="FFFFFF"/>
          <w:sz w:val="22"/>
          <w:u w:val="none"/>
        </w:rPr>
        <w:t xml:space="preserve">  RISK 4  |  ACCOUNTABILITY GAPS IN THIRD-PARTY AI DEPLOYMENT</w:t>
      </w:r>
    </w:p>
    <w:tbl>
      <w:tblPr>
        <w:tblStyle w:val="TableGrid"/>
        <w:tblW w:type="auto" w:w="0"/>
        <w:jc w:val="left"/>
        <w:tblLook w:firstColumn="1" w:firstRow="1" w:lastColumn="0" w:lastRow="0" w:noHBand="0" w:noVBand="1" w:val="04A0"/>
      </w:tblPr>
      <w:tblGrid>
        <w:gridCol w:w="4824"/>
        <w:gridCol w:w="4824"/>
      </w:tblGrid>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Risk Source</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MIT AI Risk Repository</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MIT Risk Theme</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Diffuse creation, accountability loss</w:t>
            </w:r>
          </w:p>
        </w:tc>
      </w:tr>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Risk Owner</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AI Governance Lead</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Approver</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AI Governance Lead</w:t>
            </w:r>
          </w:p>
        </w:tc>
      </w:tr>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AI Lifecycle Phase</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Procurement / Deployment</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Applicable Frameworks</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EU AI Act  |  NIST AI RMF  |  ISO/IEC 42001</w:t>
            </w:r>
          </w:p>
        </w:tc>
      </w:tr>
    </w:tbl>
    <w:p>
      <w:pPr>
        <w:spacing w:before="0" w:after="80"/>
      </w:pPr>
    </w:p>
    <w:p>
      <w:pPr>
        <w:spacing w:before="160" w:after="60"/>
        <w:pBdr>
          <w:bottom w:val="single" w:sz="8" w:space="1" w:color="1F5C99"/>
        </w:pBdr>
      </w:pPr>
      <w:r>
        <w:rPr>
          <w:rFonts w:ascii="Calibri" w:hAnsi="Calibri"/>
          <w:b/>
          <w:i w:val="0"/>
          <w:color w:val="1F5C99"/>
          <w:sz w:val="22"/>
          <w:u w:val="none"/>
        </w:rPr>
        <w:t>Risk Description</w:t>
      </w:r>
    </w:p>
    <w:p>
      <w:pPr>
        <w:spacing w:before="40" w:after="80"/>
        <w:ind w:left="0"/>
      </w:pPr>
      <w:r>
        <w:rPr>
          <w:rFonts w:ascii="Calibri" w:hAnsi="Calibri"/>
          <w:b w:val="0"/>
          <w:i w:val="0"/>
          <w:color w:val="1A1A1A"/>
          <w:sz w:val="20"/>
          <w:u w:val="none"/>
        </w:rPr>
        <w:t>Accountability may become unclear because Meridian is deploying a third-party AI model provided by CrediSure AI. The vendor controls important model details, while Meridian remains responsible for how the system is used in lending decisions. Without clear ownership, important risks may fall between the vendor, business owner, model risk team, compliance team, and executive approver.</w:t>
      </w:r>
    </w:p>
    <w:p>
      <w:pPr>
        <w:spacing w:before="160" w:after="60"/>
        <w:pBdr>
          <w:bottom w:val="single" w:sz="8" w:space="1" w:color="1F5C99"/>
        </w:pBdr>
      </w:pPr>
      <w:r>
        <w:rPr>
          <w:rFonts w:ascii="Calibri" w:hAnsi="Calibri"/>
          <w:b/>
          <w:i w:val="0"/>
          <w:color w:val="1F5C99"/>
          <w:sz w:val="22"/>
          <w:u w:val="none"/>
        </w:rPr>
        <w:t>Potential Impact</w:t>
      </w:r>
    </w:p>
    <w:p>
      <w:pPr>
        <w:spacing w:before="40" w:after="80"/>
        <w:ind w:left="0"/>
      </w:pPr>
      <w:r>
        <w:rPr>
          <w:rFonts w:ascii="Calibri" w:hAnsi="Calibri"/>
          <w:b w:val="0"/>
          <w:i w:val="0"/>
          <w:color w:val="1A1A1A"/>
          <w:sz w:val="20"/>
          <w:u w:val="none"/>
        </w:rPr>
        <w:t>Meridian may be unable to clearly assign responsibility for model performance, fairness, explainability, monitoring, incidents, vendor changes, or customer harm. This could weaken governance accountability and delay response to AI-related issues.</w:t>
      </w:r>
    </w:p>
    <w:p>
      <w:pPr>
        <w:spacing w:before="160" w:after="60"/>
        <w:pBdr>
          <w:bottom w:val="single" w:sz="8" w:space="1" w:color="1F5C99"/>
        </w:pBdr>
      </w:pPr>
      <w:r>
        <w:rPr>
          <w:rFonts w:ascii="Calibri" w:hAnsi="Calibri"/>
          <w:b/>
          <w:i w:val="0"/>
          <w:color w:val="1F5C99"/>
          <w:sz w:val="22"/>
          <w:u w:val="none"/>
        </w:rPr>
        <w:t>Risk Scoring</w:t>
      </w:r>
    </w:p>
    <w:tbl>
      <w:tblPr>
        <w:tblStyle w:val="TableGrid"/>
        <w:tblW w:type="auto" w:w="0"/>
        <w:jc w:val="left"/>
        <w:tblLook w:firstColumn="1" w:firstRow="1" w:lastColumn="0" w:lastRow="0" w:noHBand="0" w:noVBand="1" w:val="04A0"/>
      </w:tblPr>
      <w:tblGrid>
        <w:gridCol w:w="4824"/>
        <w:gridCol w:w="4824"/>
      </w:tblGrid>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Inherent Likelihood</w:t>
            </w:r>
          </w:p>
        </w:tc>
        <w:tc>
          <w:tcPr>
            <w:tcW w:type="dxa" w:w="7488"/>
            <w:shd w:val="clear" w:color="auto" w:fill="FFFF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Possible</w:t>
            </w:r>
          </w:p>
        </w:tc>
      </w:tr>
      <w:tr>
        <w:tc>
          <w:tcPr>
            <w:tcW w:type="dxa" w:w="3456"/>
            <w:shd w:val="clear" w:color="auto" w:fill="E4EEF8"/>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Inherent Severity</w:t>
            </w:r>
          </w:p>
        </w:tc>
        <w:tc>
          <w:tcPr>
            <w:tcW w:type="dxa" w:w="748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Major</w:t>
            </w:r>
          </w:p>
        </w:tc>
      </w:tr>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Current Risk Level</w:t>
            </w:r>
          </w:p>
        </w:tc>
        <w:tc>
          <w:tcPr>
            <w:tcW w:type="dxa" w:w="7488"/>
            <w:shd w:val="clear" w:color="auto" w:fill="C0392B"/>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High</w:t>
            </w:r>
          </w:p>
        </w:tc>
      </w:tr>
      <w:tr>
        <w:tc>
          <w:tcPr>
            <w:tcW w:type="dxa" w:w="3456"/>
            <w:shd w:val="clear" w:color="auto" w:fill="E4EEF8"/>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Mitigation Status</w:t>
            </w:r>
          </w:p>
        </w:tc>
        <w:tc>
          <w:tcPr>
            <w:tcW w:type="dxa" w:w="748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Planned</w:t>
            </w:r>
          </w:p>
        </w:tc>
      </w:tr>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Residual Likelihood</w:t>
            </w:r>
          </w:p>
        </w:tc>
        <w:tc>
          <w:tcPr>
            <w:tcW w:type="dxa" w:w="7488"/>
            <w:shd w:val="clear" w:color="auto" w:fill="FFFF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Unlikely</w:t>
            </w:r>
          </w:p>
        </w:tc>
      </w:tr>
      <w:tr>
        <w:tc>
          <w:tcPr>
            <w:tcW w:type="dxa" w:w="3456"/>
            <w:shd w:val="clear" w:color="auto" w:fill="E4EEF8"/>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Residual Severity</w:t>
            </w:r>
          </w:p>
        </w:tc>
        <w:tc>
          <w:tcPr>
            <w:tcW w:type="dxa" w:w="748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Moderate</w:t>
            </w:r>
          </w:p>
        </w:tc>
      </w:tr>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Residual Risk Level</w:t>
            </w:r>
          </w:p>
        </w:tc>
        <w:tc>
          <w:tcPr>
            <w:tcW w:type="dxa" w:w="7488"/>
            <w:shd w:val="clear" w:color="auto" w:fill="E67E22"/>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Medium</w:t>
            </w:r>
          </w:p>
        </w:tc>
      </w:tr>
    </w:tbl>
    <w:p>
      <w:pPr>
        <w:spacing w:before="0" w:after="80"/>
      </w:pPr>
    </w:p>
    <w:p>
      <w:pPr>
        <w:spacing w:before="160" w:after="60"/>
        <w:pBdr>
          <w:bottom w:val="single" w:sz="8" w:space="1" w:color="1F5C99"/>
        </w:pBdr>
      </w:pPr>
      <w:r>
        <w:rPr>
          <w:rFonts w:ascii="Calibri" w:hAnsi="Calibri"/>
          <w:b/>
          <w:i w:val="0"/>
          <w:color w:val="1F5C99"/>
          <w:sz w:val="22"/>
          <w:u w:val="none"/>
        </w:rPr>
        <w:t>Key Mitigation</w:t>
      </w:r>
    </w:p>
    <w:p>
      <w:pPr>
        <w:spacing w:before="40" w:after="60"/>
        <w:ind w:left="0"/>
      </w:pPr>
      <w:r>
        <w:rPr>
          <w:rFonts w:ascii="Calibri" w:hAnsi="Calibri"/>
          <w:b w:val="0"/>
          <w:i w:val="0"/>
          <w:color w:val="1A1A1A"/>
          <w:sz w:val="20"/>
          <w:u w:val="none"/>
        </w:rPr>
        <w:t>Define clear accountability for AI governance, vendor oversight, model risk review, compliance review, monitoring, incident response, and final production approval.</w:t>
      </w:r>
    </w:p>
    <w:p>
      <w:pPr>
        <w:spacing w:before="160" w:after="60"/>
        <w:pBdr>
          <w:bottom w:val="single" w:sz="8" w:space="1" w:color="1F5C99"/>
        </w:pBdr>
      </w:pPr>
      <w:r>
        <w:rPr>
          <w:rFonts w:ascii="Calibri" w:hAnsi="Calibri"/>
          <w:b/>
          <w:i w:val="0"/>
          <w:color w:val="1F5C99"/>
          <w:sz w:val="22"/>
          <w:u w:val="none"/>
        </w:rPr>
        <w:t>Implementation Strategy</w:t>
      </w:r>
    </w:p>
    <w:p>
      <w:pPr>
        <w:spacing w:before="40" w:after="80"/>
        <w:ind w:left="0"/>
      </w:pPr>
      <w:r>
        <w:rPr>
          <w:rFonts w:ascii="Calibri" w:hAnsi="Calibri"/>
          <w:b w:val="0"/>
          <w:i w:val="0"/>
          <w:color w:val="1A1A1A"/>
          <w:sz w:val="20"/>
          <w:u w:val="none"/>
        </w:rPr>
        <w:t>Assign named owners for AI Governance, Credit Risk, Compliance, Model Risk, Security/Privacy, Vendor Risk, and Executive Approval. Require vendor obligations for documentation, model updates, validation evidence, and incident notification.</w:t>
      </w:r>
    </w:p>
    <w:p>
      <w:pPr>
        <w:spacing w:before="80" w:after="160"/>
        <w:ind w:left="144" w:right="144"/>
        <w:shd w:val="clear" w:color="auto" w:fill="FEF3E2"/>
      </w:pPr>
      <w:r>
        <w:rPr>
          <w:rFonts w:ascii="Calibri" w:hAnsi="Calibri"/>
          <w:b/>
          <w:i w:val="0"/>
          <w:color w:val="C06000"/>
          <w:sz w:val="20"/>
          <w:u w:val="none"/>
        </w:rPr>
        <w:t xml:space="preserve">  Recommendation: </w:t>
      </w:r>
      <w:r>
        <w:rPr>
          <w:rFonts w:ascii="Calibri" w:hAnsi="Calibri"/>
          <w:b w:val="0"/>
          <w:i w:val="0"/>
          <w:color w:val="1A1A1A"/>
          <w:sz w:val="20"/>
          <w:u w:val="none"/>
        </w:rPr>
        <w:t>Production approval must not proceed until ownership, escalation paths, and vendor accountability requirements are documented.</w:t>
      </w:r>
    </w:p>
    <w:p>
      <w:pPr>
        <w:spacing w:before="320" w:after="80"/>
        <w:shd w:val="clear" w:color="auto" w:fill="2C4A7C"/>
      </w:pPr>
      <w:r>
        <w:rPr>
          <w:rFonts w:ascii="Calibri" w:hAnsi="Calibri"/>
          <w:b/>
          <w:i w:val="0"/>
          <w:color w:val="FFFFFF"/>
          <w:sz w:val="22"/>
          <w:u w:val="none"/>
        </w:rPr>
        <w:t xml:space="preserve">  RISK 5  |  INACCURATE AUTOMATED DENIALS</w:t>
      </w:r>
    </w:p>
    <w:tbl>
      <w:tblPr>
        <w:tblStyle w:val="TableGrid"/>
        <w:tblW w:type="auto" w:w="0"/>
        <w:jc w:val="left"/>
        <w:tblLook w:firstColumn="1" w:firstRow="1" w:lastColumn="0" w:lastRow="0" w:noHBand="0" w:noVBand="1" w:val="04A0"/>
      </w:tblPr>
      <w:tblGrid>
        <w:gridCol w:w="4824"/>
        <w:gridCol w:w="4824"/>
      </w:tblGrid>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Risk Source</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Custom / Manual Risk</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Risk Owner</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Credit Risk Owner</w:t>
            </w:r>
          </w:p>
        </w:tc>
      </w:tr>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Approver</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Credit Risk Owner</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AI Lifecycle Phase</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Operation</w:t>
            </w:r>
          </w:p>
        </w:tc>
      </w:tr>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Applicable Frameworks</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EU AI Act  |  NIST AI RMF  |  ISO/IEC 42001</w:t>
            </w:r>
          </w:p>
        </w:tc>
      </w:tr>
    </w:tbl>
    <w:p>
      <w:pPr>
        <w:spacing w:before="0" w:after="80"/>
      </w:pPr>
    </w:p>
    <w:p>
      <w:pPr>
        <w:spacing w:before="160" w:after="60"/>
        <w:pBdr>
          <w:bottom w:val="single" w:sz="8" w:space="1" w:color="1F5C99"/>
        </w:pBdr>
      </w:pPr>
      <w:r>
        <w:rPr>
          <w:rFonts w:ascii="Calibri" w:hAnsi="Calibri"/>
          <w:b/>
          <w:i w:val="0"/>
          <w:color w:val="1F5C99"/>
          <w:sz w:val="22"/>
          <w:u w:val="none"/>
        </w:rPr>
        <w:t>Risk Description</w:t>
      </w:r>
    </w:p>
    <w:p>
      <w:pPr>
        <w:spacing w:before="40" w:after="80"/>
        <w:ind w:left="0"/>
      </w:pPr>
      <w:r>
        <w:rPr>
          <w:rFonts w:ascii="Calibri" w:hAnsi="Calibri"/>
          <w:b w:val="0"/>
          <w:i w:val="0"/>
          <w:color w:val="1A1A1A"/>
          <w:sz w:val="20"/>
          <w:u w:val="none"/>
        </w:rPr>
        <w:t>The system may automatically deny qualified small business applicants because of incorrect data, model error, overly strict thresholds, or incomplete financial context. Because a large share of applications may be auto-denied, even a small error rate could affect many applicants.</w:t>
      </w:r>
    </w:p>
    <w:p>
      <w:pPr>
        <w:spacing w:before="160" w:after="60"/>
        <w:pBdr>
          <w:bottom w:val="single" w:sz="8" w:space="1" w:color="1F5C99"/>
        </w:pBdr>
      </w:pPr>
      <w:r>
        <w:rPr>
          <w:rFonts w:ascii="Calibri" w:hAnsi="Calibri"/>
          <w:b/>
          <w:i w:val="0"/>
          <w:color w:val="1F5C99"/>
          <w:sz w:val="22"/>
          <w:u w:val="none"/>
        </w:rPr>
        <w:t>Potential Impact</w:t>
      </w:r>
    </w:p>
    <w:p>
      <w:pPr>
        <w:spacing w:before="40" w:after="80"/>
        <w:ind w:left="0"/>
      </w:pPr>
      <w:r>
        <w:rPr>
          <w:rFonts w:ascii="Calibri" w:hAnsi="Calibri"/>
          <w:b w:val="0"/>
          <w:i w:val="0"/>
          <w:color w:val="1A1A1A"/>
          <w:sz w:val="20"/>
          <w:u w:val="none"/>
        </w:rPr>
        <w:t>Qualified applicants may lose access to credit, Meridian may lose revenue, and affected applicants may experience financial harm or file complaints.</w:t>
      </w:r>
    </w:p>
    <w:p>
      <w:pPr>
        <w:spacing w:before="160" w:after="60"/>
        <w:pBdr>
          <w:bottom w:val="single" w:sz="8" w:space="1" w:color="1F5C99"/>
        </w:pBdr>
      </w:pPr>
      <w:r>
        <w:rPr>
          <w:rFonts w:ascii="Calibri" w:hAnsi="Calibri"/>
          <w:b/>
          <w:i w:val="0"/>
          <w:color w:val="1F5C99"/>
          <w:sz w:val="22"/>
          <w:u w:val="none"/>
        </w:rPr>
        <w:t>Risk Scoring</w:t>
      </w:r>
    </w:p>
    <w:tbl>
      <w:tblPr>
        <w:tblStyle w:val="TableGrid"/>
        <w:tblW w:type="auto" w:w="0"/>
        <w:jc w:val="left"/>
        <w:tblLook w:firstColumn="1" w:firstRow="1" w:lastColumn="0" w:lastRow="0" w:noHBand="0" w:noVBand="1" w:val="04A0"/>
      </w:tblPr>
      <w:tblGrid>
        <w:gridCol w:w="4824"/>
        <w:gridCol w:w="4824"/>
      </w:tblGrid>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Inherent Likelihood</w:t>
            </w:r>
          </w:p>
        </w:tc>
        <w:tc>
          <w:tcPr>
            <w:tcW w:type="dxa" w:w="7488"/>
            <w:shd w:val="clear" w:color="auto" w:fill="FFFF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Possible</w:t>
            </w:r>
          </w:p>
        </w:tc>
      </w:tr>
      <w:tr>
        <w:tc>
          <w:tcPr>
            <w:tcW w:type="dxa" w:w="3456"/>
            <w:shd w:val="clear" w:color="auto" w:fill="E4EEF8"/>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Inherent Severity</w:t>
            </w:r>
          </w:p>
        </w:tc>
        <w:tc>
          <w:tcPr>
            <w:tcW w:type="dxa" w:w="748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Major</w:t>
            </w:r>
          </w:p>
        </w:tc>
      </w:tr>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Current Risk Level</w:t>
            </w:r>
          </w:p>
        </w:tc>
        <w:tc>
          <w:tcPr>
            <w:tcW w:type="dxa" w:w="7488"/>
            <w:shd w:val="clear" w:color="auto" w:fill="C0392B"/>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High</w:t>
            </w:r>
          </w:p>
        </w:tc>
      </w:tr>
      <w:tr>
        <w:tc>
          <w:tcPr>
            <w:tcW w:type="dxa" w:w="3456"/>
            <w:shd w:val="clear" w:color="auto" w:fill="E4EEF8"/>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Mitigation Status</w:t>
            </w:r>
          </w:p>
        </w:tc>
        <w:tc>
          <w:tcPr>
            <w:tcW w:type="dxa" w:w="748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Planned</w:t>
            </w:r>
          </w:p>
        </w:tc>
      </w:tr>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Residual Likelihood</w:t>
            </w:r>
          </w:p>
        </w:tc>
        <w:tc>
          <w:tcPr>
            <w:tcW w:type="dxa" w:w="7488"/>
            <w:shd w:val="clear" w:color="auto" w:fill="FFFF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Unlikely</w:t>
            </w:r>
          </w:p>
        </w:tc>
      </w:tr>
      <w:tr>
        <w:tc>
          <w:tcPr>
            <w:tcW w:type="dxa" w:w="3456"/>
            <w:shd w:val="clear" w:color="auto" w:fill="E4EEF8"/>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Residual Severity</w:t>
            </w:r>
          </w:p>
        </w:tc>
        <w:tc>
          <w:tcPr>
            <w:tcW w:type="dxa" w:w="748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Moderate</w:t>
            </w:r>
          </w:p>
        </w:tc>
      </w:tr>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Residual Risk Level</w:t>
            </w:r>
          </w:p>
        </w:tc>
        <w:tc>
          <w:tcPr>
            <w:tcW w:type="dxa" w:w="7488"/>
            <w:shd w:val="clear" w:color="auto" w:fill="E67E22"/>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Medium</w:t>
            </w:r>
          </w:p>
        </w:tc>
      </w:tr>
    </w:tbl>
    <w:p>
      <w:pPr>
        <w:spacing w:before="0" w:after="80"/>
      </w:pPr>
    </w:p>
    <w:p>
      <w:pPr>
        <w:spacing w:before="160" w:after="60"/>
        <w:pBdr>
          <w:bottom w:val="single" w:sz="8" w:space="1" w:color="1F5C99"/>
        </w:pBdr>
      </w:pPr>
      <w:r>
        <w:rPr>
          <w:rFonts w:ascii="Calibri" w:hAnsi="Calibri"/>
          <w:b/>
          <w:i w:val="0"/>
          <w:color w:val="1F5C99"/>
          <w:sz w:val="22"/>
          <w:u w:val="none"/>
        </w:rPr>
        <w:t>Key Mitigation</w:t>
      </w:r>
    </w:p>
    <w:p>
      <w:pPr>
        <w:spacing w:before="40" w:after="60"/>
        <w:ind w:left="0"/>
      </w:pPr>
      <w:r>
        <w:rPr>
          <w:rFonts w:ascii="Calibri" w:hAnsi="Calibri"/>
          <w:b w:val="0"/>
          <w:i w:val="0"/>
          <w:color w:val="1A1A1A"/>
          <w:sz w:val="20"/>
          <w:u w:val="none"/>
        </w:rPr>
        <w:t>Require adverse action reason code validation, appeal and reconsideration process, random sampling of auto-denials, and human review for low-confidence or borderline denials.</w:t>
      </w:r>
    </w:p>
    <w:p>
      <w:pPr>
        <w:spacing w:before="160" w:after="60"/>
        <w:pBdr>
          <w:bottom w:val="single" w:sz="8" w:space="1" w:color="1F5C99"/>
        </w:pBdr>
      </w:pPr>
      <w:r>
        <w:rPr>
          <w:rFonts w:ascii="Calibri" w:hAnsi="Calibri"/>
          <w:b/>
          <w:i w:val="0"/>
          <w:color w:val="1F5C99"/>
          <w:sz w:val="22"/>
          <w:u w:val="none"/>
        </w:rPr>
        <w:t>Implementation Strategy</w:t>
      </w:r>
    </w:p>
    <w:p>
      <w:pPr>
        <w:spacing w:before="40" w:after="80"/>
        <w:ind w:left="0"/>
      </w:pPr>
      <w:r>
        <w:rPr>
          <w:rFonts w:ascii="Calibri" w:hAnsi="Calibri"/>
          <w:b w:val="0"/>
          <w:i w:val="0"/>
          <w:color w:val="1A1A1A"/>
          <w:sz w:val="20"/>
          <w:u w:val="none"/>
        </w:rPr>
        <w:t>Configure routing rules so borderline, low-confidence, missing-data, appealed, or explainability-deficient cases are sent to manual review. Conduct monthly sampling of auto-denials.</w:t>
      </w:r>
    </w:p>
    <w:p>
      <w:pPr>
        <w:spacing w:before="80" w:after="160"/>
        <w:ind w:left="144" w:right="144"/>
        <w:shd w:val="clear" w:color="auto" w:fill="FDECEA"/>
      </w:pPr>
      <w:r>
        <w:rPr>
          <w:rFonts w:ascii="Calibri" w:hAnsi="Calibri"/>
          <w:b/>
          <w:i w:val="0"/>
          <w:color w:val="C00000"/>
          <w:sz w:val="20"/>
          <w:u w:val="none"/>
        </w:rPr>
        <w:t xml:space="preserve">  Recommendation: </w:t>
      </w:r>
      <w:r>
        <w:rPr>
          <w:rFonts w:ascii="Calibri" w:hAnsi="Calibri"/>
          <w:b w:val="0"/>
          <w:i w:val="0"/>
          <w:color w:val="1A1A1A"/>
          <w:sz w:val="20"/>
          <w:u w:val="none"/>
        </w:rPr>
        <w:t>Auto-denials must not be allowed until the appeal process and reason code validation are complete.</w:t>
      </w:r>
    </w:p>
    <w:p>
      <w:pPr>
        <w:spacing w:before="320" w:after="80"/>
        <w:shd w:val="clear" w:color="auto" w:fill="2C4A7C"/>
      </w:pPr>
      <w:r>
        <w:rPr>
          <w:rFonts w:ascii="Calibri" w:hAnsi="Calibri"/>
          <w:b/>
          <w:i w:val="0"/>
          <w:color w:val="FFFFFF"/>
          <w:sz w:val="22"/>
          <w:u w:val="none"/>
        </w:rPr>
        <w:t xml:space="preserve">  RISK 6  |  LACK OF MEANINGFUL HUMAN OVERSIGHT</w:t>
      </w:r>
    </w:p>
    <w:tbl>
      <w:tblPr>
        <w:tblStyle w:val="TableGrid"/>
        <w:tblW w:type="auto" w:w="0"/>
        <w:jc w:val="left"/>
        <w:tblLook w:firstColumn="1" w:firstRow="1" w:lastColumn="0" w:lastRow="0" w:noHBand="0" w:noVBand="1" w:val="04A0"/>
      </w:tblPr>
      <w:tblGrid>
        <w:gridCol w:w="4824"/>
        <w:gridCol w:w="4824"/>
      </w:tblGrid>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Risk Source</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Custom / Manual Risk</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Risk Owner</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AI Governance Lead</w:t>
            </w:r>
          </w:p>
        </w:tc>
      </w:tr>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Approver</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Executive Approver</w:t>
            </w:r>
          </w:p>
        </w:tc>
      </w:tr>
      <w:tr>
        <w:tc>
          <w:tcPr>
            <w:tcW w:type="dxa" w:w="3024"/>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AI Lifecycle Phase</w:t>
            </w:r>
          </w:p>
        </w:tc>
        <w:tc>
          <w:tcPr>
            <w:tcW w:type="dxa" w:w="7920"/>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Deployment / Operation</w:t>
            </w:r>
          </w:p>
        </w:tc>
      </w:tr>
      <w:tr>
        <w:tc>
          <w:tcPr>
            <w:tcW w:type="dxa" w:w="3024"/>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Applicable Frameworks</w:t>
            </w:r>
          </w:p>
        </w:tc>
        <w:tc>
          <w:tcPr>
            <w:tcW w:type="dxa" w:w="7920"/>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EU AI Act  |  NIST AI RMF  |  ISO/IEC 42001</w:t>
            </w:r>
          </w:p>
        </w:tc>
      </w:tr>
    </w:tbl>
    <w:p>
      <w:pPr>
        <w:spacing w:before="0" w:after="80"/>
      </w:pPr>
    </w:p>
    <w:p>
      <w:pPr>
        <w:spacing w:before="160" w:after="60"/>
        <w:pBdr>
          <w:bottom w:val="single" w:sz="8" w:space="1" w:color="1F5C99"/>
        </w:pBdr>
      </w:pPr>
      <w:r>
        <w:rPr>
          <w:rFonts w:ascii="Calibri" w:hAnsi="Calibri"/>
          <w:b/>
          <w:i w:val="0"/>
          <w:color w:val="1F5C99"/>
          <w:sz w:val="22"/>
          <w:u w:val="none"/>
        </w:rPr>
        <w:t>Risk Description</w:t>
      </w:r>
    </w:p>
    <w:p>
      <w:pPr>
        <w:spacing w:before="40" w:after="80"/>
        <w:ind w:left="0"/>
      </w:pPr>
      <w:r>
        <w:rPr>
          <w:rFonts w:ascii="Calibri" w:hAnsi="Calibri"/>
          <w:b w:val="0"/>
          <w:i w:val="0"/>
          <w:color w:val="1A1A1A"/>
          <w:sz w:val="20"/>
          <w:u w:val="none"/>
        </w:rPr>
        <w:t>The system routes only 6% of applications to human review, meaning humans may not have meaningful oversight over most credit decisions. Human review may become symbolic rather than effective if reviewers cannot challenge, override, or investigate AI decisions.</w:t>
      </w:r>
    </w:p>
    <w:p>
      <w:pPr>
        <w:spacing w:before="160" w:after="60"/>
        <w:pBdr>
          <w:bottom w:val="single" w:sz="8" w:space="1" w:color="1F5C99"/>
        </w:pBdr>
      </w:pPr>
      <w:r>
        <w:rPr>
          <w:rFonts w:ascii="Calibri" w:hAnsi="Calibri"/>
          <w:b/>
          <w:i w:val="0"/>
          <w:color w:val="1F5C99"/>
          <w:sz w:val="22"/>
          <w:u w:val="none"/>
        </w:rPr>
        <w:t>Potential Impact</w:t>
      </w:r>
    </w:p>
    <w:p>
      <w:pPr>
        <w:spacing w:before="40" w:after="80"/>
        <w:ind w:left="0"/>
      </w:pPr>
      <w:r>
        <w:rPr>
          <w:rFonts w:ascii="Calibri" w:hAnsi="Calibri"/>
          <w:b w:val="0"/>
          <w:i w:val="0"/>
          <w:color w:val="1A1A1A"/>
          <w:sz w:val="20"/>
          <w:u w:val="none"/>
        </w:rPr>
        <w:t>Meridian may fail to provide effective oversight for a high-risk automated decision system, leading to customer harm, weak accountability, and regulatory concerns.</w:t>
      </w:r>
    </w:p>
    <w:p>
      <w:pPr>
        <w:spacing w:before="160" w:after="60"/>
        <w:pBdr>
          <w:bottom w:val="single" w:sz="8" w:space="1" w:color="1F5C99"/>
        </w:pBdr>
      </w:pPr>
      <w:r>
        <w:rPr>
          <w:rFonts w:ascii="Calibri" w:hAnsi="Calibri"/>
          <w:b/>
          <w:i w:val="0"/>
          <w:color w:val="1F5C99"/>
          <w:sz w:val="22"/>
          <w:u w:val="none"/>
        </w:rPr>
        <w:t>Risk Scoring</w:t>
      </w:r>
    </w:p>
    <w:tbl>
      <w:tblPr>
        <w:tblStyle w:val="TableGrid"/>
        <w:tblW w:type="auto" w:w="0"/>
        <w:jc w:val="left"/>
        <w:tblLook w:firstColumn="1" w:firstRow="1" w:lastColumn="0" w:lastRow="0" w:noHBand="0" w:noVBand="1" w:val="04A0"/>
      </w:tblPr>
      <w:tblGrid>
        <w:gridCol w:w="4824"/>
        <w:gridCol w:w="4824"/>
      </w:tblGrid>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Inherent Likelihood</w:t>
            </w:r>
          </w:p>
        </w:tc>
        <w:tc>
          <w:tcPr>
            <w:tcW w:type="dxa" w:w="7488"/>
            <w:shd w:val="clear" w:color="auto" w:fill="FFFF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Likely</w:t>
            </w:r>
          </w:p>
        </w:tc>
      </w:tr>
      <w:tr>
        <w:tc>
          <w:tcPr>
            <w:tcW w:type="dxa" w:w="3456"/>
            <w:shd w:val="clear" w:color="auto" w:fill="E4EEF8"/>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Inherent Severity</w:t>
            </w:r>
          </w:p>
        </w:tc>
        <w:tc>
          <w:tcPr>
            <w:tcW w:type="dxa" w:w="748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Major</w:t>
            </w:r>
          </w:p>
        </w:tc>
      </w:tr>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Current Risk Level</w:t>
            </w:r>
          </w:p>
        </w:tc>
        <w:tc>
          <w:tcPr>
            <w:tcW w:type="dxa" w:w="7488"/>
            <w:shd w:val="clear" w:color="auto" w:fill="8B0000"/>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Very High</w:t>
            </w:r>
          </w:p>
        </w:tc>
      </w:tr>
      <w:tr>
        <w:tc>
          <w:tcPr>
            <w:tcW w:type="dxa" w:w="3456"/>
            <w:shd w:val="clear" w:color="auto" w:fill="E4EEF8"/>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Mitigation Status</w:t>
            </w:r>
          </w:p>
        </w:tc>
        <w:tc>
          <w:tcPr>
            <w:tcW w:type="dxa" w:w="748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In Progress</w:t>
            </w:r>
          </w:p>
        </w:tc>
      </w:tr>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Residual Likelihood</w:t>
            </w:r>
          </w:p>
        </w:tc>
        <w:tc>
          <w:tcPr>
            <w:tcW w:type="dxa" w:w="7488"/>
            <w:shd w:val="clear" w:color="auto" w:fill="FFFF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Possible</w:t>
            </w:r>
          </w:p>
        </w:tc>
      </w:tr>
      <w:tr>
        <w:tc>
          <w:tcPr>
            <w:tcW w:type="dxa" w:w="3456"/>
            <w:shd w:val="clear" w:color="auto" w:fill="E4EEF8"/>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Residual Severity</w:t>
            </w:r>
          </w:p>
        </w:tc>
        <w:tc>
          <w:tcPr>
            <w:tcW w:type="dxa" w:w="7488"/>
            <w:shd w:val="clear" w:color="auto" w:fill="FAFCFF"/>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val="0"/>
                <w:i w:val="0"/>
                <w:color w:val="1A1A1A"/>
                <w:sz w:val="18"/>
              </w:rPr>
              <w:t>Major</w:t>
            </w:r>
          </w:p>
        </w:tc>
      </w:tr>
      <w:tr>
        <w:tc>
          <w:tcPr>
            <w:tcW w:type="dxa" w:w="3456"/>
            <w:shd w:val="clear" w:color="auto" w:fill="D6E4F0"/>
            <w:tcBorders>
              <w:top w:val="single" w:sz="4" w:color="B0C4D8"/>
              <w:left w:val="single" w:sz="4" w:color="B0C4D8"/>
              <w:bottom w:val="single" w:sz="4" w:color="B0C4D8"/>
              <w:right w:val="single" w:sz="4" w:color="B0C4D8"/>
            </w:tcBorders>
            <w:vAlign w:val="center"/>
          </w:tcPr>
          <w:p>
            <w:pPr>
              <w:spacing w:before="60" w:after="60"/>
              <w:ind w:left="101" w:right="58"/>
              <w:jc w:val="left"/>
            </w:pPr>
            <w:r>
              <w:rPr>
                <w:rFonts w:ascii="Calibri" w:hAnsi="Calibri"/>
                <w:b/>
                <w:i w:val="0"/>
                <w:color w:val="1A335C"/>
                <w:sz w:val="18"/>
              </w:rPr>
              <w:t>Residual Risk Level</w:t>
            </w:r>
          </w:p>
        </w:tc>
        <w:tc>
          <w:tcPr>
            <w:tcW w:type="dxa" w:w="7488"/>
            <w:shd w:val="clear" w:color="auto" w:fill="C0392B"/>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High</w:t>
            </w:r>
          </w:p>
        </w:tc>
      </w:tr>
    </w:tbl>
    <w:p>
      <w:pPr>
        <w:spacing w:before="0" w:after="80"/>
      </w:pPr>
    </w:p>
    <w:p>
      <w:pPr>
        <w:spacing w:before="160" w:after="60"/>
        <w:pBdr>
          <w:bottom w:val="single" w:sz="8" w:space="1" w:color="1F5C99"/>
        </w:pBdr>
      </w:pPr>
      <w:r>
        <w:rPr>
          <w:rFonts w:ascii="Calibri" w:hAnsi="Calibri"/>
          <w:b/>
          <w:i w:val="0"/>
          <w:color w:val="1F5C99"/>
          <w:sz w:val="22"/>
          <w:u w:val="none"/>
        </w:rPr>
        <w:t>Key Mitigation</w:t>
      </w:r>
    </w:p>
    <w:p>
      <w:pPr>
        <w:spacing w:before="40" w:after="60"/>
        <w:ind w:left="0"/>
      </w:pPr>
      <w:r>
        <w:rPr>
          <w:rFonts w:ascii="Calibri" w:hAnsi="Calibri"/>
          <w:b w:val="0"/>
          <w:i w:val="0"/>
          <w:color w:val="1A1A1A"/>
          <w:sz w:val="20"/>
          <w:u w:val="none"/>
        </w:rPr>
        <w:t>Define mandatory human review triggers, reviewer authority, override rules, escalation procedures, sampling requirements, and pause criteria.</w:t>
      </w:r>
    </w:p>
    <w:p>
      <w:pPr>
        <w:spacing w:before="160" w:after="60"/>
        <w:pBdr>
          <w:bottom w:val="single" w:sz="8" w:space="1" w:color="1F5C99"/>
        </w:pBdr>
      </w:pPr>
      <w:r>
        <w:rPr>
          <w:rFonts w:ascii="Calibri" w:hAnsi="Calibri"/>
          <w:b/>
          <w:i w:val="0"/>
          <w:color w:val="1F5C99"/>
          <w:sz w:val="22"/>
          <w:u w:val="none"/>
        </w:rPr>
        <w:t>Implementation Strategy</w:t>
      </w:r>
    </w:p>
    <w:p>
      <w:pPr>
        <w:spacing w:before="40" w:after="80"/>
        <w:ind w:left="0"/>
      </w:pPr>
      <w:r>
        <w:rPr>
          <w:rFonts w:ascii="Calibri" w:hAnsi="Calibri"/>
          <w:b w:val="0"/>
          <w:i w:val="0"/>
          <w:color w:val="1A1A1A"/>
          <w:sz w:val="20"/>
          <w:u w:val="none"/>
        </w:rPr>
        <w:t>Human review must be required for borderline scores, low-confidence outputs, missing or inconsistent data, fraud flags, compliance flags, proxy-bias alerts, appeals, model drift alerts, and insufficient explanations.</w:t>
      </w:r>
    </w:p>
    <w:p>
      <w:pPr>
        <w:spacing w:before="80" w:after="160"/>
        <w:ind w:left="144" w:right="144"/>
        <w:shd w:val="clear" w:color="auto" w:fill="FDECEA"/>
      </w:pPr>
      <w:r>
        <w:rPr>
          <w:rFonts w:ascii="Calibri" w:hAnsi="Calibri"/>
          <w:b/>
          <w:i w:val="0"/>
          <w:color w:val="C00000"/>
          <w:sz w:val="20"/>
          <w:u w:val="none"/>
        </w:rPr>
        <w:t xml:space="preserve">  Recommendation: </w:t>
      </w:r>
      <w:r>
        <w:rPr>
          <w:rFonts w:ascii="Calibri" w:hAnsi="Calibri"/>
          <w:b w:val="0"/>
          <w:i w:val="0"/>
          <w:color w:val="1A1A1A"/>
          <w:sz w:val="20"/>
          <w:u w:val="none"/>
        </w:rPr>
        <w:t>Conditional approval only if human oversight rules are documented, tested, and actively monitored.</w:t>
      </w:r>
    </w:p>
    <w:p>
      <w:pPr>
        <w:spacing w:before="280" w:after="100"/>
        <w:shd w:val="clear" w:color="auto" w:fill="1A335C"/>
      </w:pPr>
      <w:r>
        <w:rPr>
          <w:rFonts w:ascii="Calibri" w:hAnsi="Calibri"/>
          <w:b/>
          <w:i w:val="0"/>
          <w:color w:val="FFFFFF"/>
          <w:sz w:val="24"/>
          <w:u w:val="none"/>
        </w:rPr>
        <w:t xml:space="preserve">  6.  CONSOLIDATED RISK VIEW</w:t>
      </w:r>
    </w:p>
    <w:p>
      <w:pPr>
        <w:spacing w:before="80" w:after="100"/>
        <w:ind w:left="0"/>
      </w:pPr>
      <w:r>
        <w:rPr>
          <w:rFonts w:ascii="Calibri" w:hAnsi="Calibri"/>
          <w:b w:val="0"/>
          <w:i w:val="0"/>
          <w:color w:val="1A1A1A"/>
          <w:sz w:val="20"/>
          <w:u w:val="none"/>
        </w:rPr>
        <w:t>The table below summarizes all six risks, their sources, owners, current risk levels, residual risk levels, and mitigation status at a glance.</w:t>
      </w:r>
    </w:p>
    <w:tbl>
      <w:tblPr>
        <w:tblStyle w:val="TableGrid"/>
        <w:tblW w:type="auto" w:w="0"/>
        <w:jc w:val="left"/>
        <w:tblLook w:firstColumn="1" w:firstRow="1" w:lastColumn="0" w:lastRow="0" w:noHBand="0" w:noVBand="1" w:val="04A0"/>
      </w:tblPr>
      <w:tblGrid>
        <w:gridCol w:w="1378"/>
        <w:gridCol w:w="1378"/>
        <w:gridCol w:w="1378"/>
        <w:gridCol w:w="1378"/>
        <w:gridCol w:w="1378"/>
        <w:gridCol w:w="1378"/>
        <w:gridCol w:w="1378"/>
      </w:tblGrid>
      <w:tr>
        <w:tc>
          <w:tcPr>
            <w:tcW w:type="dxa" w:w="432"/>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6"/>
              </w:rPr>
              <w:t>#</w:t>
            </w:r>
          </w:p>
        </w:tc>
        <w:tc>
          <w:tcPr>
            <w:tcW w:type="dxa" w:w="3168"/>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6"/>
              </w:rPr>
              <w:t>Risk</w:t>
            </w:r>
          </w:p>
        </w:tc>
        <w:tc>
          <w:tcPr>
            <w:tcW w:type="dxa" w:w="1152"/>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6"/>
              </w:rPr>
              <w:t>Source</w:t>
            </w:r>
          </w:p>
        </w:tc>
        <w:tc>
          <w:tcPr>
            <w:tcW w:type="dxa" w:w="1872"/>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6"/>
              </w:rPr>
              <w:t>Owner</w:t>
            </w:r>
          </w:p>
        </w:tc>
        <w:tc>
          <w:tcPr>
            <w:tcW w:type="dxa" w:w="1440"/>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6"/>
              </w:rPr>
              <w:t>Current Risk</w:t>
            </w:r>
          </w:p>
        </w:tc>
        <w:tc>
          <w:tcPr>
            <w:tcW w:type="dxa" w:w="1440"/>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6"/>
              </w:rPr>
              <w:t>Residual Risk</w:t>
            </w:r>
          </w:p>
        </w:tc>
        <w:tc>
          <w:tcPr>
            <w:tcW w:type="dxa" w:w="1440"/>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6"/>
              </w:rPr>
              <w:t>Status</w:t>
            </w:r>
          </w:p>
        </w:tc>
      </w:tr>
      <w:tr>
        <w:tc>
          <w:tcPr>
            <w:tcW w:type="dxa" w:w="432"/>
            <w:shd w:val="clear" w:color="auto" w:fill="F8F8F8"/>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i w:val="0"/>
                <w:color w:val="1A1A1A"/>
                <w:sz w:val="16"/>
              </w:rPr>
              <w:t>1</w:t>
            </w:r>
          </w:p>
        </w:tc>
        <w:tc>
          <w:tcPr>
            <w:tcW w:type="dxa" w:w="3168"/>
            <w:shd w:val="clear" w:color="auto" w:fill="F8F8F8"/>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335C"/>
                <w:sz w:val="16"/>
              </w:rPr>
              <w:t>Discriminatory lending outcomes</w:t>
            </w:r>
          </w:p>
        </w:tc>
        <w:tc>
          <w:tcPr>
            <w:tcW w:type="dxa" w:w="1152"/>
            <w:shd w:val="clear" w:color="auto" w:fill="F8F8F8"/>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1A1A"/>
                <w:sz w:val="16"/>
              </w:rPr>
              <w:t>IBM</w:t>
            </w:r>
          </w:p>
        </w:tc>
        <w:tc>
          <w:tcPr>
            <w:tcW w:type="dxa" w:w="1872"/>
            <w:shd w:val="clear" w:color="auto" w:fill="F8F8F8"/>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1A1A"/>
                <w:sz w:val="16"/>
              </w:rPr>
              <w:t>Compliance Reviewer</w:t>
            </w:r>
          </w:p>
        </w:tc>
        <w:tc>
          <w:tcPr>
            <w:tcW w:type="dxa" w:w="1440"/>
            <w:shd w:val="clear" w:color="auto" w:fill="8B0000"/>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Very High</w:t>
            </w:r>
          </w:p>
        </w:tc>
        <w:tc>
          <w:tcPr>
            <w:tcW w:type="dxa" w:w="1440"/>
            <w:shd w:val="clear" w:color="auto" w:fill="E05000"/>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Medium / High</w:t>
            </w:r>
          </w:p>
        </w:tc>
        <w:tc>
          <w:tcPr>
            <w:tcW w:type="dxa" w:w="1440"/>
            <w:shd w:val="clear" w:color="auto" w:fill="F8F8F8"/>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1A1A"/>
                <w:sz w:val="16"/>
              </w:rPr>
              <w:t>In Progress</w:t>
            </w:r>
          </w:p>
        </w:tc>
      </w:tr>
      <w:tr>
        <w:tc>
          <w:tcPr>
            <w:tcW w:type="dxa" w:w="432"/>
            <w:shd w:val="clear" w:color="auto" w:fill="FFFFFF"/>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i w:val="0"/>
                <w:color w:val="1A1A1A"/>
                <w:sz w:val="16"/>
              </w:rPr>
              <w:t>2</w:t>
            </w:r>
          </w:p>
        </w:tc>
        <w:tc>
          <w:tcPr>
            <w:tcW w:type="dxa" w:w="3168"/>
            <w:shd w:val="clear" w:color="auto" w:fill="FFFFFF"/>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335C"/>
                <w:sz w:val="16"/>
              </w:rPr>
              <w:t>Proxy bias through credit and business variables</w:t>
            </w:r>
          </w:p>
        </w:tc>
        <w:tc>
          <w:tcPr>
            <w:tcW w:type="dxa" w:w="1152"/>
            <w:shd w:val="clear" w:color="auto" w:fill="FFFFFF"/>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1A1A"/>
                <w:sz w:val="16"/>
              </w:rPr>
              <w:t>IBM</w:t>
            </w:r>
          </w:p>
        </w:tc>
        <w:tc>
          <w:tcPr>
            <w:tcW w:type="dxa" w:w="1872"/>
            <w:shd w:val="clear" w:color="auto" w:fill="FFFFFF"/>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1A1A"/>
                <w:sz w:val="16"/>
              </w:rPr>
              <w:t>Model Risk Reviewer</w:t>
            </w:r>
          </w:p>
        </w:tc>
        <w:tc>
          <w:tcPr>
            <w:tcW w:type="dxa" w:w="1440"/>
            <w:shd w:val="clear" w:color="auto" w:fill="8B0000"/>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Very High</w:t>
            </w:r>
          </w:p>
        </w:tc>
        <w:tc>
          <w:tcPr>
            <w:tcW w:type="dxa" w:w="1440"/>
            <w:shd w:val="clear" w:color="auto" w:fill="E67E22"/>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Medium</w:t>
            </w:r>
          </w:p>
        </w:tc>
        <w:tc>
          <w:tcPr>
            <w:tcW w:type="dxa" w:w="1440"/>
            <w:shd w:val="clear" w:color="auto" w:fill="FFFFFF"/>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1A1A"/>
                <w:sz w:val="16"/>
              </w:rPr>
              <w:t>In Progress</w:t>
            </w:r>
          </w:p>
        </w:tc>
      </w:tr>
      <w:tr>
        <w:tc>
          <w:tcPr>
            <w:tcW w:type="dxa" w:w="432"/>
            <w:shd w:val="clear" w:color="auto" w:fill="F8F8F8"/>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i w:val="0"/>
                <w:color w:val="1A1A1A"/>
                <w:sz w:val="16"/>
              </w:rPr>
              <w:t>3</w:t>
            </w:r>
          </w:p>
        </w:tc>
        <w:tc>
          <w:tcPr>
            <w:tcW w:type="dxa" w:w="3168"/>
            <w:shd w:val="clear" w:color="auto" w:fill="F8F8F8"/>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335C"/>
                <w:sz w:val="16"/>
              </w:rPr>
              <w:t>Weak explainability and incomplete reason codes</w:t>
            </w:r>
          </w:p>
        </w:tc>
        <w:tc>
          <w:tcPr>
            <w:tcW w:type="dxa" w:w="1152"/>
            <w:shd w:val="clear" w:color="auto" w:fill="F8F8F8"/>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1A1A"/>
                <w:sz w:val="16"/>
              </w:rPr>
              <w:t>IBM</w:t>
            </w:r>
          </w:p>
        </w:tc>
        <w:tc>
          <w:tcPr>
            <w:tcW w:type="dxa" w:w="1872"/>
            <w:shd w:val="clear" w:color="auto" w:fill="F8F8F8"/>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1A1A"/>
                <w:sz w:val="16"/>
              </w:rPr>
              <w:t>Model Risk Reviewer</w:t>
            </w:r>
          </w:p>
        </w:tc>
        <w:tc>
          <w:tcPr>
            <w:tcW w:type="dxa" w:w="1440"/>
            <w:shd w:val="clear" w:color="auto" w:fill="C0392B"/>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High</w:t>
            </w:r>
          </w:p>
        </w:tc>
        <w:tc>
          <w:tcPr>
            <w:tcW w:type="dxa" w:w="1440"/>
            <w:shd w:val="clear" w:color="auto" w:fill="E67E22"/>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Medium</w:t>
            </w:r>
          </w:p>
        </w:tc>
        <w:tc>
          <w:tcPr>
            <w:tcW w:type="dxa" w:w="1440"/>
            <w:shd w:val="clear" w:color="auto" w:fill="F8F8F8"/>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1A1A"/>
                <w:sz w:val="16"/>
              </w:rPr>
              <w:t>In Progress</w:t>
            </w:r>
          </w:p>
        </w:tc>
      </w:tr>
      <w:tr>
        <w:tc>
          <w:tcPr>
            <w:tcW w:type="dxa" w:w="432"/>
            <w:shd w:val="clear" w:color="auto" w:fill="FFFFFF"/>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i w:val="0"/>
                <w:color w:val="1A1A1A"/>
                <w:sz w:val="16"/>
              </w:rPr>
              <w:t>4</w:t>
            </w:r>
          </w:p>
        </w:tc>
        <w:tc>
          <w:tcPr>
            <w:tcW w:type="dxa" w:w="3168"/>
            <w:shd w:val="clear" w:color="auto" w:fill="FFFFFF"/>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335C"/>
                <w:sz w:val="16"/>
              </w:rPr>
              <w:t>Accountability gaps in third-party AI deployment</w:t>
            </w:r>
          </w:p>
        </w:tc>
        <w:tc>
          <w:tcPr>
            <w:tcW w:type="dxa" w:w="1152"/>
            <w:shd w:val="clear" w:color="auto" w:fill="FFFFFF"/>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1A1A"/>
                <w:sz w:val="16"/>
              </w:rPr>
              <w:t>MIT</w:t>
            </w:r>
          </w:p>
        </w:tc>
        <w:tc>
          <w:tcPr>
            <w:tcW w:type="dxa" w:w="1872"/>
            <w:shd w:val="clear" w:color="auto" w:fill="FFFFFF"/>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1A1A"/>
                <w:sz w:val="16"/>
              </w:rPr>
              <w:t>AI Governance Lead</w:t>
            </w:r>
          </w:p>
        </w:tc>
        <w:tc>
          <w:tcPr>
            <w:tcW w:type="dxa" w:w="1440"/>
            <w:shd w:val="clear" w:color="auto" w:fill="C0392B"/>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High</w:t>
            </w:r>
          </w:p>
        </w:tc>
        <w:tc>
          <w:tcPr>
            <w:tcW w:type="dxa" w:w="1440"/>
            <w:shd w:val="clear" w:color="auto" w:fill="E67E22"/>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Medium</w:t>
            </w:r>
          </w:p>
        </w:tc>
        <w:tc>
          <w:tcPr>
            <w:tcW w:type="dxa" w:w="1440"/>
            <w:shd w:val="clear" w:color="auto" w:fill="FFFFFF"/>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856004"/>
                <w:sz w:val="16"/>
              </w:rPr>
              <w:t>Planned</w:t>
            </w:r>
          </w:p>
        </w:tc>
      </w:tr>
      <w:tr>
        <w:tc>
          <w:tcPr>
            <w:tcW w:type="dxa" w:w="432"/>
            <w:shd w:val="clear" w:color="auto" w:fill="F8F8F8"/>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i w:val="0"/>
                <w:color w:val="1A1A1A"/>
                <w:sz w:val="16"/>
              </w:rPr>
              <w:t>5</w:t>
            </w:r>
          </w:p>
        </w:tc>
        <w:tc>
          <w:tcPr>
            <w:tcW w:type="dxa" w:w="3168"/>
            <w:shd w:val="clear" w:color="auto" w:fill="F8F8F8"/>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335C"/>
                <w:sz w:val="16"/>
              </w:rPr>
              <w:t>Inaccurate automated denials</w:t>
            </w:r>
          </w:p>
        </w:tc>
        <w:tc>
          <w:tcPr>
            <w:tcW w:type="dxa" w:w="1152"/>
            <w:shd w:val="clear" w:color="auto" w:fill="F8F8F8"/>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1A1A"/>
                <w:sz w:val="16"/>
              </w:rPr>
              <w:t>Custom</w:t>
            </w:r>
          </w:p>
        </w:tc>
        <w:tc>
          <w:tcPr>
            <w:tcW w:type="dxa" w:w="1872"/>
            <w:shd w:val="clear" w:color="auto" w:fill="F8F8F8"/>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1A1A"/>
                <w:sz w:val="16"/>
              </w:rPr>
              <w:t>Credit Risk Owner</w:t>
            </w:r>
          </w:p>
        </w:tc>
        <w:tc>
          <w:tcPr>
            <w:tcW w:type="dxa" w:w="1440"/>
            <w:shd w:val="clear" w:color="auto" w:fill="C0392B"/>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High</w:t>
            </w:r>
          </w:p>
        </w:tc>
        <w:tc>
          <w:tcPr>
            <w:tcW w:type="dxa" w:w="1440"/>
            <w:shd w:val="clear" w:color="auto" w:fill="E67E22"/>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Medium</w:t>
            </w:r>
          </w:p>
        </w:tc>
        <w:tc>
          <w:tcPr>
            <w:tcW w:type="dxa" w:w="1440"/>
            <w:shd w:val="clear" w:color="auto" w:fill="F8F8F8"/>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856004"/>
                <w:sz w:val="16"/>
              </w:rPr>
              <w:t>Planned</w:t>
            </w:r>
          </w:p>
        </w:tc>
      </w:tr>
      <w:tr>
        <w:tc>
          <w:tcPr>
            <w:tcW w:type="dxa" w:w="432"/>
            <w:shd w:val="clear" w:color="auto" w:fill="FFFFFF"/>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i w:val="0"/>
                <w:color w:val="1A1A1A"/>
                <w:sz w:val="16"/>
              </w:rPr>
              <w:t>6</w:t>
            </w:r>
          </w:p>
        </w:tc>
        <w:tc>
          <w:tcPr>
            <w:tcW w:type="dxa" w:w="3168"/>
            <w:shd w:val="clear" w:color="auto" w:fill="FFFFFF"/>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335C"/>
                <w:sz w:val="16"/>
              </w:rPr>
              <w:t>Lack of meaningful human oversight</w:t>
            </w:r>
          </w:p>
        </w:tc>
        <w:tc>
          <w:tcPr>
            <w:tcW w:type="dxa" w:w="1152"/>
            <w:shd w:val="clear" w:color="auto" w:fill="FFFFFF"/>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1A1A"/>
                <w:sz w:val="16"/>
              </w:rPr>
              <w:t>Custom</w:t>
            </w:r>
          </w:p>
        </w:tc>
        <w:tc>
          <w:tcPr>
            <w:tcW w:type="dxa" w:w="1872"/>
            <w:shd w:val="clear" w:color="auto" w:fill="FFFFFF"/>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1A1A"/>
                <w:sz w:val="16"/>
              </w:rPr>
              <w:t>AI Governance Lead</w:t>
            </w:r>
          </w:p>
        </w:tc>
        <w:tc>
          <w:tcPr>
            <w:tcW w:type="dxa" w:w="1440"/>
            <w:shd w:val="clear" w:color="auto" w:fill="8B0000"/>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Very High</w:t>
            </w:r>
          </w:p>
        </w:tc>
        <w:tc>
          <w:tcPr>
            <w:tcW w:type="dxa" w:w="1440"/>
            <w:shd w:val="clear" w:color="auto" w:fill="C0392B"/>
            <w:tcBorders>
              <w:top w:val="single" w:sz="6" w:color="FFFFFF"/>
              <w:left w:val="single" w:sz="6" w:color="FFFFFF"/>
              <w:bottom w:val="single" w:sz="6" w:color="FFFFFF"/>
              <w:right w:val="single" w:sz="6" w:color="FFFFFF"/>
            </w:tcBorders>
            <w:vAlign w:val="center"/>
          </w:tcPr>
          <w:p>
            <w:pPr>
              <w:spacing w:before="60" w:after="60"/>
              <w:jc w:val="center"/>
            </w:pPr>
            <w:r>
              <w:rPr>
                <w:rFonts w:ascii="Calibri" w:hAnsi="Calibri"/>
                <w:b/>
                <w:color w:val="FFFFFF"/>
                <w:sz w:val="18"/>
              </w:rPr>
              <w:t>High</w:t>
            </w:r>
          </w:p>
        </w:tc>
        <w:tc>
          <w:tcPr>
            <w:tcW w:type="dxa" w:w="1440"/>
            <w:shd w:val="clear" w:color="auto" w:fill="FFFFFF"/>
            <w:tcBorders>
              <w:top w:val="single" w:sz="4" w:color="C8D8E8"/>
              <w:left w:val="single" w:sz="4" w:color="C8D8E8"/>
              <w:bottom w:val="single" w:sz="4" w:color="C8D8E8"/>
              <w:right w:val="single" w:sz="4" w:color="C8D8E8"/>
            </w:tcBorders>
            <w:vAlign w:val="center"/>
          </w:tcPr>
          <w:p>
            <w:pPr>
              <w:spacing w:before="60" w:after="60"/>
              <w:ind w:left="101" w:right="58"/>
              <w:jc w:val="left"/>
            </w:pPr>
            <w:r>
              <w:rPr>
                <w:rFonts w:ascii="Calibri" w:hAnsi="Calibri"/>
                <w:b w:val="0"/>
                <w:i w:val="0"/>
                <w:color w:val="1A1A1A"/>
                <w:sz w:val="16"/>
              </w:rPr>
              <w:t>In Progress</w:t>
            </w:r>
          </w:p>
        </w:tc>
      </w:tr>
    </w:tbl>
    <w:p>
      <w:pPr>
        <w:spacing w:before="0" w:after="160"/>
      </w:pPr>
    </w:p>
    <w:p>
      <w:pPr>
        <w:spacing w:before="280" w:after="100"/>
        <w:shd w:val="clear" w:color="auto" w:fill="1A335C"/>
      </w:pPr>
      <w:r>
        <w:rPr>
          <w:rFonts w:ascii="Calibri" w:hAnsi="Calibri"/>
          <w:b/>
          <w:i w:val="0"/>
          <w:color w:val="FFFFFF"/>
          <w:sz w:val="24"/>
          <w:u w:val="none"/>
        </w:rPr>
        <w:t xml:space="preserve">  7.  HIGHEST-PRIORITY RISKS</w:t>
      </w:r>
    </w:p>
    <w:p>
      <w:pPr>
        <w:spacing w:before="80" w:after="80"/>
        <w:ind w:left="0"/>
      </w:pPr>
      <w:r>
        <w:rPr>
          <w:rFonts w:ascii="Calibri" w:hAnsi="Calibri"/>
          <w:b w:val="0"/>
          <w:i w:val="0"/>
          <w:color w:val="1A1A1A"/>
          <w:sz w:val="20"/>
          <w:u w:val="none"/>
        </w:rPr>
        <w:t>The three highest-priority risks are listed below. These risks are highest priority because they directly affect whether automated credit decisions are fair, reviewable, and accountable.</w:t>
      </w:r>
    </w:p>
    <w:tbl>
      <w:tblPr>
        <w:tblStyle w:val="TableGrid"/>
        <w:tblW w:type="auto" w:w="0"/>
        <w:jc w:val="left"/>
        <w:tblLook w:firstColumn="1" w:firstRow="1" w:lastColumn="0" w:lastRow="0" w:noHBand="0" w:noVBand="1" w:val="04A0"/>
      </w:tblPr>
      <w:tblGrid>
        <w:gridCol w:w="3216"/>
        <w:gridCol w:w="3216"/>
        <w:gridCol w:w="3216"/>
      </w:tblGrid>
      <w:tr>
        <w:tc>
          <w:tcPr>
            <w:tcW w:type="dxa" w:w="1008"/>
            <w:shd w:val="clear" w:color="auto" w:fill="8B0000"/>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Risk</w:t>
            </w:r>
          </w:p>
        </w:tc>
        <w:tc>
          <w:tcPr>
            <w:tcW w:type="dxa" w:w="3600"/>
            <w:shd w:val="clear" w:color="auto" w:fill="8B0000"/>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Name</w:t>
            </w:r>
          </w:p>
        </w:tc>
        <w:tc>
          <w:tcPr>
            <w:tcW w:type="dxa" w:w="6336"/>
            <w:shd w:val="clear" w:color="auto" w:fill="8B0000"/>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Why Highest Priority</w:t>
            </w:r>
          </w:p>
        </w:tc>
      </w:tr>
      <w:tr>
        <w:tc>
          <w:tcPr>
            <w:tcW w:type="dxa" w:w="1008"/>
            <w:shd w:val="clear" w:color="auto" w:fill="FDECEA"/>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C00000"/>
                <w:sz w:val="18"/>
              </w:rPr>
              <w:t>Risk 1</w:t>
            </w:r>
          </w:p>
        </w:tc>
        <w:tc>
          <w:tcPr>
            <w:tcW w:type="dxa" w:w="3600"/>
            <w:shd w:val="clear" w:color="auto" w:fill="FEF3E2"/>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Discriminatory lending outcomes</w:t>
            </w:r>
          </w:p>
        </w:tc>
        <w:tc>
          <w:tcPr>
            <w:tcW w:type="dxa" w:w="6336"/>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Directly affects applicant access to credit and fair lending obligations</w:t>
            </w:r>
          </w:p>
        </w:tc>
      </w:tr>
      <w:tr>
        <w:tc>
          <w:tcPr>
            <w:tcW w:type="dxa" w:w="1008"/>
            <w:shd w:val="clear" w:color="auto" w:fill="FDECEA"/>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C00000"/>
                <w:sz w:val="18"/>
              </w:rPr>
              <w:t>Risk 2</w:t>
            </w:r>
          </w:p>
        </w:tc>
        <w:tc>
          <w:tcPr>
            <w:tcW w:type="dxa" w:w="3600"/>
            <w:shd w:val="clear" w:color="auto" w:fill="FEF3E2"/>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Proxy bias through credit and business variables</w:t>
            </w:r>
          </w:p>
        </w:tc>
        <w:tc>
          <w:tcPr>
            <w:tcW w:type="dxa" w:w="6336"/>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May amplify discriminatory outcomes through correlated variables</w:t>
            </w:r>
          </w:p>
        </w:tc>
      </w:tr>
      <w:tr>
        <w:tc>
          <w:tcPr>
            <w:tcW w:type="dxa" w:w="1008"/>
            <w:shd w:val="clear" w:color="auto" w:fill="FDECEA"/>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C00000"/>
                <w:sz w:val="18"/>
              </w:rPr>
              <w:t>Risk 6</w:t>
            </w:r>
          </w:p>
        </w:tc>
        <w:tc>
          <w:tcPr>
            <w:tcW w:type="dxa" w:w="3600"/>
            <w:shd w:val="clear" w:color="auto" w:fill="FEF3E2"/>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Lack of meaningful human oversight</w:t>
            </w:r>
          </w:p>
        </w:tc>
        <w:tc>
          <w:tcPr>
            <w:tcW w:type="dxa" w:w="6336"/>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Undermines the effectiveness of the entire governance and oversight model</w:t>
            </w:r>
          </w:p>
        </w:tc>
      </w:tr>
    </w:tbl>
    <w:p>
      <w:pPr>
        <w:spacing w:before="0" w:after="160"/>
      </w:pPr>
    </w:p>
    <w:p>
      <w:pPr>
        <w:spacing w:before="280" w:after="100"/>
        <w:shd w:val="clear" w:color="auto" w:fill="1A335C"/>
      </w:pPr>
      <w:r>
        <w:rPr>
          <w:rFonts w:ascii="Calibri" w:hAnsi="Calibri"/>
          <w:b/>
          <w:i w:val="0"/>
          <w:color w:val="FFFFFF"/>
          <w:sz w:val="24"/>
          <w:u w:val="none"/>
        </w:rPr>
        <w:t xml:space="preserve">  8.  REQUIRED CROSS-RISK CONTROLS</w:t>
      </w:r>
    </w:p>
    <w:p>
      <w:pPr>
        <w:spacing w:before="80" w:after="100"/>
        <w:ind w:left="0"/>
      </w:pPr>
      <w:r>
        <w:rPr>
          <w:rFonts w:ascii="Calibri" w:hAnsi="Calibri"/>
          <w:b w:val="0"/>
          <w:i w:val="0"/>
          <w:color w:val="1A1A1A"/>
          <w:sz w:val="20"/>
          <w:u w:val="none"/>
        </w:rPr>
        <w:t>Several controls reduce multiple risks simultaneously. The table below maps each control to the risks it addresses.</w:t>
      </w:r>
    </w:p>
    <w:tbl>
      <w:tblPr>
        <w:tblStyle w:val="TableGrid"/>
        <w:tblW w:type="auto" w:w="0"/>
        <w:jc w:val="left"/>
        <w:tblLook w:firstColumn="1" w:firstRow="1" w:lastColumn="0" w:lastRow="0" w:noHBand="0" w:noVBand="1" w:val="04A0"/>
      </w:tblPr>
      <w:tblGrid>
        <w:gridCol w:w="4824"/>
        <w:gridCol w:w="4824"/>
      </w:tblGrid>
      <w:tr>
        <w:tc>
          <w:tcPr>
            <w:tcW w:type="dxa" w:w="3600"/>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Control</w:t>
            </w:r>
          </w:p>
        </w:tc>
        <w:tc>
          <w:tcPr>
            <w:tcW w:type="dxa" w:w="7344"/>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Risks Addressed</w:t>
            </w:r>
          </w:p>
        </w:tc>
      </w:tr>
      <w:tr>
        <w:tc>
          <w:tcPr>
            <w:tcW w:type="dxa" w:w="3600"/>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Fairness and disparate impact testing</w:t>
            </w:r>
          </w:p>
        </w:tc>
        <w:tc>
          <w:tcPr>
            <w:tcW w:type="dxa" w:w="7344"/>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Discrimination (R1), Proxy bias (R2), Automated denials (R5)</w:t>
            </w:r>
          </w:p>
        </w:tc>
      </w:tr>
      <w:tr>
        <w:tc>
          <w:tcPr>
            <w:tcW w:type="dxa" w:w="3600"/>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Proxy-bias review</w:t>
            </w:r>
          </w:p>
        </w:tc>
        <w:tc>
          <w:tcPr>
            <w:tcW w:type="dxa" w:w="7344"/>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Proxy bias (R2), Discrimination (R1), Explainability (R3)</w:t>
            </w:r>
          </w:p>
        </w:tc>
      </w:tr>
      <w:tr>
        <w:tc>
          <w:tcPr>
            <w:tcW w:type="dxa" w:w="3600"/>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Reason code validation</w:t>
            </w:r>
          </w:p>
        </w:tc>
        <w:tc>
          <w:tcPr>
            <w:tcW w:type="dxa" w:w="7344"/>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Explainability (R3), Automated denials (R5), Appeals</w:t>
            </w:r>
          </w:p>
        </w:tc>
      </w:tr>
      <w:tr>
        <w:tc>
          <w:tcPr>
            <w:tcW w:type="dxa" w:w="3600"/>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Human review routing rules</w:t>
            </w:r>
          </w:p>
        </w:tc>
        <w:tc>
          <w:tcPr>
            <w:tcW w:type="dxa" w:w="7344"/>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Human oversight (R6), Automated denials (R5), Discrimination (R1)</w:t>
            </w:r>
          </w:p>
        </w:tc>
      </w:tr>
      <w:tr>
        <w:tc>
          <w:tcPr>
            <w:tcW w:type="dxa" w:w="3600"/>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Appeal and reconsideration process</w:t>
            </w:r>
          </w:p>
        </w:tc>
        <w:tc>
          <w:tcPr>
            <w:tcW w:type="dxa" w:w="7344"/>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Automated denials (R5), Human oversight (R6), Customer harm</w:t>
            </w:r>
          </w:p>
        </w:tc>
      </w:tr>
      <w:tr>
        <w:tc>
          <w:tcPr>
            <w:tcW w:type="dxa" w:w="3600"/>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Vendor documentation review</w:t>
            </w:r>
          </w:p>
        </w:tc>
        <w:tc>
          <w:tcPr>
            <w:tcW w:type="dxa" w:w="7344"/>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Accountability (R4), Explainability (R3), Proxy bias (R2)</w:t>
            </w:r>
          </w:p>
        </w:tc>
      </w:tr>
      <w:tr>
        <w:tc>
          <w:tcPr>
            <w:tcW w:type="dxa" w:w="3600"/>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Model update notification</w:t>
            </w:r>
          </w:p>
        </w:tc>
        <w:tc>
          <w:tcPr>
            <w:tcW w:type="dxa" w:w="7344"/>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Accountability (R4), Drift detection, Monitoring</w:t>
            </w:r>
          </w:p>
        </w:tc>
      </w:tr>
      <w:tr>
        <w:tc>
          <w:tcPr>
            <w:tcW w:type="dxa" w:w="3600"/>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Audit logging</w:t>
            </w:r>
          </w:p>
        </w:tc>
        <w:tc>
          <w:tcPr>
            <w:tcW w:type="dxa" w:w="7344"/>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Explainability (R3), Accountability (R4), Appeals</w:t>
            </w:r>
          </w:p>
        </w:tc>
      </w:tr>
      <w:tr>
        <w:tc>
          <w:tcPr>
            <w:tcW w:type="dxa" w:w="3600"/>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Monitoring thresholds</w:t>
            </w:r>
          </w:p>
        </w:tc>
        <w:tc>
          <w:tcPr>
            <w:tcW w:type="dxa" w:w="7344"/>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Discrimination (R1), Drift, Human oversight (R6)</w:t>
            </w:r>
          </w:p>
        </w:tc>
      </w:tr>
      <w:tr>
        <w:tc>
          <w:tcPr>
            <w:tcW w:type="dxa" w:w="3600"/>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Governance committee approval</w:t>
            </w:r>
          </w:p>
        </w:tc>
        <w:tc>
          <w:tcPr>
            <w:tcW w:type="dxa" w:w="7344"/>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Residual risk acceptance, Accountability (R4)</w:t>
            </w:r>
          </w:p>
        </w:tc>
      </w:tr>
    </w:tbl>
    <w:p>
      <w:pPr>
        <w:spacing w:before="0" w:after="160"/>
      </w:pPr>
    </w:p>
    <w:p>
      <w:pPr>
        <w:spacing w:before="280" w:after="100"/>
        <w:shd w:val="clear" w:color="auto" w:fill="1A335C"/>
      </w:pPr>
      <w:r>
        <w:rPr>
          <w:rFonts w:ascii="Calibri" w:hAnsi="Calibri"/>
          <w:b/>
          <w:i w:val="0"/>
          <w:color w:val="FFFFFF"/>
          <w:sz w:val="24"/>
          <w:u w:val="none"/>
        </w:rPr>
        <w:t xml:space="preserve">  9.  PRODUCTION READINESS IMPLICATIONS</w:t>
      </w:r>
    </w:p>
    <w:p>
      <w:pPr>
        <w:spacing w:before="80" w:after="160"/>
        <w:ind w:left="144" w:right="144"/>
        <w:shd w:val="clear" w:color="auto" w:fill="FDECEA"/>
      </w:pPr>
      <w:r>
        <w:rPr>
          <w:rFonts w:ascii="Calibri" w:hAnsi="Calibri"/>
          <w:b/>
          <w:i w:val="0"/>
          <w:color w:val="C00000"/>
          <w:sz w:val="20"/>
          <w:u w:val="none"/>
        </w:rPr>
        <w:t xml:space="preserve">  Current Status: </w:t>
      </w:r>
      <w:r>
        <w:rPr>
          <w:rFonts w:ascii="Calibri" w:hAnsi="Calibri"/>
          <w:b w:val="0"/>
          <w:i w:val="0"/>
          <w:color w:val="1A1A1A"/>
          <w:sz w:val="20"/>
          <w:u w:val="none"/>
        </w:rPr>
        <w:t>Based on the current risk register, Meridian must not provide full production approval. A controlled production pilot may be considered only after all conditions below are satisfied.</w:t>
      </w:r>
    </w:p>
    <w:p>
      <w:pPr>
        <w:spacing w:before="80" w:after="60"/>
        <w:ind w:left="0"/>
      </w:pPr>
      <w:r>
        <w:rPr>
          <w:rFonts w:ascii="Calibri" w:hAnsi="Calibri"/>
          <w:b w:val="0"/>
          <w:i w:val="0"/>
          <w:color w:val="1A1A1A"/>
          <w:sz w:val="20"/>
          <w:u w:val="none"/>
        </w:rPr>
        <w:t>A controlled production pilot may be considered only after:</w:t>
      </w:r>
    </w:p>
    <w:p>
      <w:pPr>
        <w:pStyle w:val="ListBullet"/>
        <w:spacing w:before="20" w:after="20"/>
        <w:ind w:left="360"/>
      </w:pPr>
      <w:r>
        <w:rPr>
          <w:rFonts w:ascii="Calibri" w:hAnsi="Calibri"/>
          <w:b w:val="0"/>
          <w:i w:val="0"/>
          <w:color w:val="1A1A1A"/>
          <w:sz w:val="20"/>
          <w:u w:val="none"/>
        </w:rPr>
        <w:t>Fairness testing is completed and results are documented</w:t>
      </w:r>
    </w:p>
    <w:p>
      <w:pPr>
        <w:pStyle w:val="ListBullet"/>
        <w:spacing w:before="20" w:after="20"/>
        <w:ind w:left="360"/>
      </w:pPr>
      <w:r>
        <w:rPr>
          <w:rFonts w:ascii="Calibri" w:hAnsi="Calibri"/>
          <w:b w:val="0"/>
          <w:i w:val="0"/>
          <w:color w:val="1A1A1A"/>
          <w:sz w:val="20"/>
          <w:u w:val="none"/>
        </w:rPr>
        <w:t>Proxy-bias review is completed</w:t>
      </w:r>
    </w:p>
    <w:p>
      <w:pPr>
        <w:pStyle w:val="ListBullet"/>
        <w:spacing w:before="20" w:after="20"/>
        <w:ind w:left="360"/>
      </w:pPr>
      <w:r>
        <w:rPr>
          <w:rFonts w:ascii="Calibri" w:hAnsi="Calibri"/>
          <w:b w:val="0"/>
          <w:i w:val="0"/>
          <w:color w:val="1A1A1A"/>
          <w:sz w:val="20"/>
          <w:u w:val="none"/>
        </w:rPr>
        <w:t>Reason code validation is completed</w:t>
      </w:r>
    </w:p>
    <w:p>
      <w:pPr>
        <w:pStyle w:val="ListBullet"/>
        <w:spacing w:before="20" w:after="20"/>
        <w:ind w:left="360"/>
      </w:pPr>
      <w:r>
        <w:rPr>
          <w:rFonts w:ascii="Calibri" w:hAnsi="Calibri"/>
          <w:b w:val="0"/>
          <w:i w:val="0"/>
          <w:color w:val="1A1A1A"/>
          <w:sz w:val="20"/>
          <w:u w:val="none"/>
        </w:rPr>
        <w:t>Human review triggers are documented and approved</w:t>
      </w:r>
    </w:p>
    <w:p>
      <w:pPr>
        <w:pStyle w:val="ListBullet"/>
        <w:spacing w:before="20" w:after="20"/>
        <w:ind w:left="360"/>
      </w:pPr>
      <w:r>
        <w:rPr>
          <w:rFonts w:ascii="Calibri" w:hAnsi="Calibri"/>
          <w:b w:val="0"/>
          <w:i w:val="0"/>
          <w:color w:val="1A1A1A"/>
          <w:sz w:val="20"/>
          <w:u w:val="none"/>
        </w:rPr>
        <w:t>Appeal and reconsideration procedure is approved</w:t>
      </w:r>
    </w:p>
    <w:p>
      <w:pPr>
        <w:pStyle w:val="ListBullet"/>
        <w:spacing w:before="20" w:after="20"/>
        <w:ind w:left="360"/>
      </w:pPr>
      <w:r>
        <w:rPr>
          <w:rFonts w:ascii="Calibri" w:hAnsi="Calibri"/>
          <w:b w:val="0"/>
          <w:i w:val="0"/>
          <w:color w:val="1A1A1A"/>
          <w:sz w:val="20"/>
          <w:u w:val="none"/>
        </w:rPr>
        <w:t>Vendor accountability requirements are confirmed</w:t>
      </w:r>
    </w:p>
    <w:p>
      <w:pPr>
        <w:pStyle w:val="ListBullet"/>
        <w:spacing w:before="20" w:after="20"/>
        <w:ind w:left="360"/>
      </w:pPr>
      <w:r>
        <w:rPr>
          <w:rFonts w:ascii="Calibri" w:hAnsi="Calibri"/>
          <w:b w:val="0"/>
          <w:i w:val="0"/>
          <w:color w:val="1A1A1A"/>
          <w:sz w:val="20"/>
          <w:u w:val="none"/>
        </w:rPr>
        <w:t>Audit logging is confirmed and tested</w:t>
      </w:r>
    </w:p>
    <w:p>
      <w:pPr>
        <w:pStyle w:val="ListBullet"/>
        <w:spacing w:before="20" w:after="20"/>
        <w:ind w:left="360"/>
      </w:pPr>
      <w:r>
        <w:rPr>
          <w:rFonts w:ascii="Calibri" w:hAnsi="Calibri"/>
          <w:b w:val="0"/>
          <w:i w:val="0"/>
          <w:color w:val="1A1A1A"/>
          <w:sz w:val="20"/>
          <w:u w:val="none"/>
        </w:rPr>
        <w:t>Monitoring thresholds are defined and active</w:t>
      </w:r>
    </w:p>
    <w:p>
      <w:pPr>
        <w:pStyle w:val="ListBullet"/>
        <w:spacing w:before="20" w:after="20"/>
        <w:ind w:left="360"/>
      </w:pPr>
      <w:r>
        <w:rPr>
          <w:rFonts w:ascii="Calibri" w:hAnsi="Calibri"/>
          <w:b w:val="0"/>
          <w:i w:val="0"/>
          <w:color w:val="1A1A1A"/>
          <w:sz w:val="20"/>
          <w:u w:val="none"/>
        </w:rPr>
        <w:t>Governance committee approval is obtained</w:t>
      </w:r>
    </w:p>
    <w:p>
      <w:pPr>
        <w:spacing w:before="0" w:after="120"/>
      </w:pPr>
    </w:p>
    <w:p>
      <w:pPr>
        <w:spacing w:before="280" w:after="100"/>
        <w:shd w:val="clear" w:color="auto" w:fill="1A335C"/>
      </w:pPr>
      <w:r>
        <w:rPr>
          <w:rFonts w:ascii="Calibri" w:hAnsi="Calibri"/>
          <w:b/>
          <w:i w:val="0"/>
          <w:color w:val="FFFFFF"/>
          <w:sz w:val="24"/>
          <w:u w:val="none"/>
        </w:rPr>
        <w:t xml:space="preserve">  10.  RESIDUAL RISK POSITION</w:t>
      </w:r>
    </w:p>
    <w:p>
      <w:pPr>
        <w:spacing w:before="80" w:after="80"/>
        <w:ind w:left="0"/>
      </w:pPr>
      <w:r>
        <w:rPr>
          <w:rFonts w:ascii="Calibri" w:hAnsi="Calibri"/>
          <w:b w:val="0"/>
          <w:i w:val="0"/>
          <w:color w:val="1A1A1A"/>
          <w:sz w:val="20"/>
          <w:u w:val="none"/>
        </w:rPr>
        <w:t>Even after controls are implemented, some residual risk will remain because the system affects access to credit and relies on a third-party AI model. Residual risk may be acceptable only if all of the following conditions are met:</w:t>
      </w:r>
    </w:p>
    <w:p>
      <w:pPr>
        <w:pStyle w:val="ListBullet"/>
        <w:spacing w:before="20" w:after="20"/>
        <w:ind w:left="360"/>
      </w:pPr>
      <w:r>
        <w:rPr>
          <w:rFonts w:ascii="Calibri" w:hAnsi="Calibri"/>
          <w:b w:val="0"/>
          <w:i w:val="0"/>
          <w:color w:val="1A1A1A"/>
          <w:sz w:val="20"/>
          <w:u w:val="none"/>
        </w:rPr>
        <w:t>Risk owners have accepted documented residual risk in writing</w:t>
      </w:r>
    </w:p>
    <w:p>
      <w:pPr>
        <w:pStyle w:val="ListBullet"/>
        <w:spacing w:before="20" w:after="20"/>
        <w:ind w:left="360"/>
      </w:pPr>
      <w:r>
        <w:rPr>
          <w:rFonts w:ascii="Calibri" w:hAnsi="Calibri"/>
          <w:b w:val="0"/>
          <w:i w:val="0"/>
          <w:color w:val="1A1A1A"/>
          <w:sz w:val="20"/>
          <w:u w:val="none"/>
        </w:rPr>
        <w:t>Executive approval has been obtained</w:t>
      </w:r>
    </w:p>
    <w:p>
      <w:pPr>
        <w:pStyle w:val="ListBullet"/>
        <w:spacing w:before="20" w:after="20"/>
        <w:ind w:left="360"/>
      </w:pPr>
      <w:r>
        <w:rPr>
          <w:rFonts w:ascii="Calibri" w:hAnsi="Calibri"/>
          <w:b w:val="0"/>
          <w:i w:val="0"/>
          <w:color w:val="1A1A1A"/>
          <w:sz w:val="20"/>
          <w:u w:val="none"/>
        </w:rPr>
        <w:t>High-risk controls have been implemented and tested</w:t>
      </w:r>
    </w:p>
    <w:p>
      <w:pPr>
        <w:pStyle w:val="ListBullet"/>
        <w:spacing w:before="20" w:after="20"/>
        <w:ind w:left="360"/>
      </w:pPr>
      <w:r>
        <w:rPr>
          <w:rFonts w:ascii="Calibri" w:hAnsi="Calibri"/>
          <w:b w:val="0"/>
          <w:i w:val="0"/>
          <w:color w:val="1A1A1A"/>
          <w:sz w:val="20"/>
          <w:u w:val="none"/>
        </w:rPr>
        <w:t>Monitoring is active and thresholds are defined</w:t>
      </w:r>
    </w:p>
    <w:p>
      <w:pPr>
        <w:pStyle w:val="ListBullet"/>
        <w:spacing w:before="20" w:after="20"/>
        <w:ind w:left="360"/>
      </w:pPr>
      <w:r>
        <w:rPr>
          <w:rFonts w:ascii="Calibri" w:hAnsi="Calibri"/>
          <w:b w:val="0"/>
          <w:i w:val="0"/>
          <w:color w:val="1A1A1A"/>
          <w:sz w:val="20"/>
          <w:u w:val="none"/>
        </w:rPr>
        <w:t>Escalation and pause procedures are available and documented</w:t>
      </w:r>
    </w:p>
    <w:p>
      <w:pPr>
        <w:pStyle w:val="ListBullet"/>
        <w:spacing w:before="20" w:after="20"/>
        <w:ind w:left="360"/>
      </w:pPr>
      <w:r>
        <w:rPr>
          <w:rFonts w:ascii="Calibri" w:hAnsi="Calibri"/>
          <w:b w:val="0"/>
          <w:i w:val="0"/>
          <w:color w:val="1A1A1A"/>
          <w:sz w:val="20"/>
          <w:u w:val="none"/>
        </w:rPr>
        <w:t>Applicants have a meaningful and accessible appeal path</w:t>
      </w:r>
    </w:p>
    <w:p>
      <w:pPr>
        <w:pStyle w:val="ListBullet"/>
        <w:spacing w:before="20" w:after="20"/>
        <w:ind w:left="360"/>
      </w:pPr>
      <w:r>
        <w:rPr>
          <w:rFonts w:ascii="Calibri" w:hAnsi="Calibri"/>
          <w:b w:val="0"/>
          <w:i w:val="0"/>
          <w:color w:val="1A1A1A"/>
          <w:sz w:val="20"/>
          <w:u w:val="none"/>
        </w:rPr>
        <w:t>Model changes trigger governance review before production promotion</w:t>
      </w:r>
    </w:p>
    <w:p>
      <w:pPr>
        <w:spacing w:before="0" w:after="120"/>
      </w:pPr>
    </w:p>
    <w:p>
      <w:pPr>
        <w:spacing w:before="280" w:after="100"/>
        <w:shd w:val="clear" w:color="auto" w:fill="1A335C"/>
      </w:pPr>
      <w:r>
        <w:rPr>
          <w:rFonts w:ascii="Calibri" w:hAnsi="Calibri"/>
          <w:b/>
          <w:i w:val="0"/>
          <w:color w:val="FFFFFF"/>
          <w:sz w:val="24"/>
          <w:u w:val="none"/>
        </w:rPr>
        <w:t xml:space="preserve">  11.  OVERALL RISK RECOMMENDATION</w:t>
      </w:r>
    </w:p>
    <w:p>
      <w:pPr>
        <w:spacing w:before="80" w:after="80"/>
        <w:ind w:left="144" w:right="144"/>
        <w:shd w:val="clear" w:color="auto" w:fill="E8F5EC"/>
      </w:pPr>
      <w:r>
        <w:rPr>
          <w:rFonts w:ascii="Calibri" w:hAnsi="Calibri"/>
          <w:b/>
          <w:i w:val="0"/>
          <w:color w:val="1E7A3A"/>
          <w:sz w:val="24"/>
          <w:u w:val="none"/>
        </w:rPr>
        <w:t xml:space="preserve">  Recommendation: </w:t>
      </w:r>
      <w:r>
        <w:rPr>
          <w:rFonts w:ascii="Calibri" w:hAnsi="Calibri"/>
          <w:b/>
          <w:i w:val="0"/>
          <w:color w:val="1A335C"/>
          <w:sz w:val="22"/>
          <w:u w:val="none"/>
        </w:rPr>
        <w:t>Conditionally approve limited production deployment only after required mitigations, evidence, monitoring thresholds, vendor obligations, human oversight procedures, and governance approvals are completed.</w:t>
      </w:r>
    </w:p>
    <w:p>
      <w:pPr>
        <w:spacing w:before="80" w:after="160"/>
        <w:ind w:left="0"/>
      </w:pPr>
      <w:r>
        <w:rPr>
          <w:rFonts w:ascii="Calibri" w:hAnsi="Calibri"/>
          <w:b w:val="0"/>
          <w:i w:val="0"/>
          <w:color w:val="1A1A1A"/>
          <w:sz w:val="20"/>
          <w:u w:val="none"/>
        </w:rPr>
        <w:t>If fairness testing, proxy-bias analysis, reason code validation, appeal procedures, audit logging, or vendor accountability requirements are incomplete, production deployment must be delayed.</w:t>
      </w:r>
    </w:p>
    <w:p>
      <w:pPr>
        <w:spacing w:before="280" w:after="100"/>
        <w:shd w:val="clear" w:color="auto" w:fill="1A335C"/>
      </w:pPr>
      <w:r>
        <w:rPr>
          <w:rFonts w:ascii="Calibri" w:hAnsi="Calibri"/>
          <w:b/>
          <w:i w:val="0"/>
          <w:color w:val="FFFFFF"/>
          <w:sz w:val="24"/>
          <w:u w:val="none"/>
        </w:rPr>
        <w:t xml:space="preserve">  12.  EVIDENCE MAPPING</w:t>
      </w:r>
    </w:p>
    <w:p>
      <w:pPr>
        <w:spacing w:before="80" w:after="80"/>
        <w:ind w:left="0"/>
      </w:pPr>
      <w:r>
        <w:rPr>
          <w:rFonts w:ascii="Calibri" w:hAnsi="Calibri"/>
          <w:b w:val="0"/>
          <w:i w:val="0"/>
          <w:color w:val="1A1A1A"/>
          <w:sz w:val="20"/>
          <w:u w:val="none"/>
        </w:rPr>
        <w:t>This document supports the following governance frameworks and competency areas.</w:t>
      </w:r>
    </w:p>
    <w:tbl>
      <w:tblPr>
        <w:tblStyle w:val="TableGrid"/>
        <w:tblW w:type="auto" w:w="0"/>
        <w:jc w:val="left"/>
        <w:tblLook w:firstColumn="1" w:firstRow="1" w:lastColumn="0" w:lastRow="0" w:noHBand="0" w:noVBand="1" w:val="04A0"/>
      </w:tblPr>
      <w:tblGrid>
        <w:gridCol w:w="4824"/>
        <w:gridCol w:w="4824"/>
      </w:tblGrid>
      <w:tr>
        <w:tc>
          <w:tcPr>
            <w:tcW w:type="dxa" w:w="2880"/>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Framework</w:t>
            </w:r>
          </w:p>
        </w:tc>
        <w:tc>
          <w:tcPr>
            <w:tcW w:type="dxa" w:w="8064"/>
            <w:shd w:val="clear" w:color="auto" w:fill="1A335C"/>
            <w:tcBorders>
              <w:top w:val="single" w:sz="6" w:color="FFFFFF"/>
              <w:left w:val="single" w:sz="6" w:color="FFFFFF"/>
              <w:bottom w:val="single" w:sz="6" w:color="FFFFFF"/>
              <w:right w:val="single" w:sz="6" w:color="FFFFFF"/>
            </w:tcBorders>
          </w:tcPr>
          <w:p>
            <w:pPr>
              <w:spacing w:before="60" w:after="60"/>
              <w:ind w:left="101" w:right="58"/>
              <w:jc w:val="left"/>
            </w:pPr>
            <w:r>
              <w:rPr>
                <w:rFonts w:ascii="Calibri" w:hAnsi="Calibri"/>
                <w:b/>
                <w:i w:val="0"/>
                <w:color w:val="FFFFFF"/>
                <w:sz w:val="18"/>
              </w:rPr>
              <w:t>Governance Competencies Demonstrated</w:t>
            </w:r>
          </w:p>
        </w:tc>
      </w:tr>
      <w:tr>
        <w:tc>
          <w:tcPr>
            <w:tcW w:type="dxa" w:w="2880"/>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EU AI Act</w:t>
            </w:r>
          </w:p>
        </w:tc>
        <w:tc>
          <w:tcPr>
            <w:tcW w:type="dxa" w:w="8064"/>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High-risk AI risk management; human oversight requirements; data governance and bias review; transparency and explainability; monitoring and incident escalation</w:t>
            </w:r>
          </w:p>
        </w:tc>
      </w:tr>
      <w:tr>
        <w:tc>
          <w:tcPr>
            <w:tcW w:type="dxa" w:w="2880"/>
            <w:shd w:val="clear" w:color="auto" w:fill="E4EEF8"/>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ISO/IEC 42001</w:t>
            </w:r>
          </w:p>
        </w:tc>
        <w:tc>
          <w:tcPr>
            <w:tcW w:type="dxa" w:w="8064"/>
            <w:shd w:val="clear" w:color="auto" w:fill="FAFC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AI risk assessment and treatment; control planning; management review; corrective actions; continual improvement</w:t>
            </w:r>
          </w:p>
        </w:tc>
      </w:tr>
      <w:tr>
        <w:tc>
          <w:tcPr>
            <w:tcW w:type="dxa" w:w="2880"/>
            <w:shd w:val="clear" w:color="auto" w:fill="D6E4F0"/>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i w:val="0"/>
                <w:color w:val="1A335C"/>
                <w:sz w:val="18"/>
              </w:rPr>
              <w:t>NIST AI RMF</w:t>
            </w:r>
          </w:p>
        </w:tc>
        <w:tc>
          <w:tcPr>
            <w:tcW w:type="dxa" w:w="8064"/>
            <w:shd w:val="clear" w:color="auto" w:fill="FFFFFF"/>
            <w:tcBorders>
              <w:top w:val="single" w:sz="4" w:color="B0C4D8"/>
              <w:left w:val="single" w:sz="4" w:color="B0C4D8"/>
              <w:bottom w:val="single" w:sz="4" w:color="B0C4D8"/>
              <w:right w:val="single" w:sz="4" w:color="B0C4D8"/>
            </w:tcBorders>
            <w:vAlign w:val="top"/>
          </w:tcPr>
          <w:p>
            <w:pPr>
              <w:spacing w:before="60" w:after="60"/>
              <w:ind w:left="101" w:right="58"/>
              <w:jc w:val="left"/>
            </w:pPr>
            <w:r>
              <w:rPr>
                <w:rFonts w:ascii="Calibri" w:hAnsi="Calibri"/>
                <w:b w:val="0"/>
                <w:i w:val="0"/>
                <w:color w:val="1A1A1A"/>
                <w:sz w:val="18"/>
              </w:rPr>
              <w:t>Map — Identify stakeholders, context, and harms</w:t>
              <w:br/>
              <w:t>Measure — Assess likelihood, severity, and residual risk</w:t>
              <w:br/>
              <w:t>Manage — Prioritize and mitigate AI risks</w:t>
              <w:br/>
              <w:t>Govern — Assign risk ownership and approval accountability</w:t>
            </w:r>
          </w:p>
        </w:tc>
      </w:tr>
    </w:tbl>
    <w:p>
      <w:pPr>
        <w:spacing w:before="0" w:after="200"/>
      </w:pPr>
    </w:p>
    <w:p>
      <w:pPr>
        <w:spacing w:before="160" w:after="0"/>
        <w:shd w:val="clear" w:color="auto" w:fill="C9A02B"/>
      </w:pPr>
      <w:r>
        <w:rPr>
          <w:rFonts w:ascii="Calibri" w:hAnsi="Calibri"/>
          <w:b w:val="0"/>
          <w:i w:val="0"/>
          <w:color w:val="C9A02B"/>
          <w:sz w:val="10"/>
          <w:u w:val="none"/>
        </w:rPr>
        <w:t xml:space="preserve"> </w:t>
      </w:r>
    </w:p>
    <w:p>
      <w:pPr>
        <w:spacing w:before="0" w:after="0"/>
        <w:jc w:val="center"/>
        <w:shd w:val="clear" w:color="auto" w:fill="1A335C"/>
      </w:pPr>
      <w:r>
        <w:rPr>
          <w:rFonts w:ascii="Calibri" w:hAnsi="Calibri"/>
          <w:b w:val="0"/>
          <w:i/>
          <w:color w:val="FFFFFF"/>
          <w:sz w:val="16"/>
          <w:u w:val="none"/>
        </w:rPr>
        <w:t>FICTIONAL — FOR PORTFOLIO USE ONLY  |  AI Governance Program  |  Meridian Financial Services  |  Version 1.0  |  May 23, 2026</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