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A335C"/>
      </w:pPr>
      <w:r>
        <w:rPr>
          <w:rFonts w:ascii="Calibri" w:hAnsi="Calibri"/>
          <w:b/>
          <w:i w:val="0"/>
          <w:color w:val="FFFFFF"/>
          <w:sz w:val="30"/>
        </w:rPr>
        <w:t>HUMAN OVERSIGHT, EXCEPTION REVIEW, AND APPLICANT APPEAL PROCEDURE</w:t>
      </w:r>
    </w:p>
    <w:p>
      <w:pPr>
        <w:spacing w:before="0" w:after="0"/>
        <w:jc w:val="center"/>
        <w:shd w:val="clear" w:color="auto" w:fill="1F5C99"/>
      </w:pPr>
      <w:r>
        <w:rPr>
          <w:rFonts w:ascii="Calibri" w:hAnsi="Calibri"/>
          <w:b w:val="0"/>
          <w:i/>
          <w:color w:val="FFFFFF"/>
          <w:sz w:val="22"/>
        </w:rPr>
        <w:t>AI Governance Program  |  Operational Oversight and Applicant Protection</w:t>
      </w:r>
    </w:p>
    <w:p>
      <w:pPr>
        <w:spacing w:before="0" w:after="160"/>
        <w:shd w:val="clear" w:color="auto" w:fill="C9A02B"/>
      </w:pPr>
      <w:r>
        <w:rPr>
          <w:rFonts w:ascii="Calibri" w:hAnsi="Calibri"/>
          <w:b w:val="0"/>
          <w:i w:val="0"/>
          <w:color w:val="C9A02B"/>
          <w:sz w:val="10"/>
        </w:rPr>
        <w:t xml:space="preserve"> </w:t>
      </w:r>
    </w:p>
    <w:tbl>
      <w:tblPr>
        <w:tblStyle w:val="TableGrid"/>
        <w:tblW w:type="auto" w:w="0"/>
        <w:jc w:val="left"/>
        <w:tblLook w:firstColumn="1" w:firstRow="1" w:lastColumn="0" w:lastRow="0" w:noHBand="0" w:noVBand="1" w:val="04A0"/>
      </w:tblPr>
      <w:tblGrid>
        <w:gridCol w:w="4824"/>
        <w:gridCol w:w="4824"/>
      </w:tblGrid>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Document Name</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Human Oversight, Exception Review, and Applicant Appeal Procedure</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AI System</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Meridian Automated Loan Underwriting System</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Organization</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Meridian Financial Services  [Fictional — Portfolio Use Only]</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Document Owner</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 xml:space="preserve">Vivek Korikanthimath, AI Governance Lead</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Process Owners</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Credit Risk Owner, Compliance Reviewer, Underwriting Manager</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Contributors</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Model Risk Reviewer, Legal / Risk Advisor, Vendor Risk Owner</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Review Status</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Draft — Pending Operational Approval</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System Status</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Pre-Production Pilot</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Version</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1.0</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Date</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May 23, 2026</w:t>
            </w:r>
          </w:p>
        </w:tc>
      </w:tr>
    </w:tbl>
    <w:p>
      <w:pPr>
        <w:spacing w:before="0" w:after="120"/>
      </w:pPr>
    </w:p>
    <w:p>
      <w:pPr>
        <w:spacing w:before="0" w:after="40"/>
        <w:shd w:val="clear" w:color="auto" w:fill="FEF3E2"/>
      </w:pPr>
      <w:r>
        <w:rPr>
          <w:rFonts w:ascii="Calibri" w:hAnsi="Calibri"/>
          <w:b/>
          <w:i w:val="0"/>
          <w:color w:val="C06000"/>
          <w:sz w:val="20"/>
        </w:rPr>
        <w:t xml:space="preserve">  NOTICE: </w:t>
      </w:r>
      <w:r>
        <w:rPr>
          <w:rFonts w:ascii="Calibri" w:hAnsi="Calibri"/>
          <w:b w:val="0"/>
          <w:i/>
          <w:color w:val="1A1A1A"/>
          <w:sz w:val="20"/>
        </w:rPr>
        <w:t>This document is a fictional, synthetic governance artifact created for portfolio and educational purposes. It does not represent any real organization, system, vendor, or individual. All data, scenarios, and decisions are illustrative only.</w:t>
      </w:r>
    </w:p>
    <w:p>
      <w:pPr>
        <w:spacing w:before="0" w:after="120"/>
      </w:pPr>
    </w:p>
    <w:p>
      <w:pPr>
        <w:spacing w:before="280" w:after="100"/>
        <w:shd w:val="clear" w:color="auto" w:fill="1A335C"/>
      </w:pPr>
      <w:r>
        <w:rPr>
          <w:rFonts w:ascii="Calibri" w:hAnsi="Calibri"/>
          <w:b/>
          <w:i w:val="0"/>
          <w:color w:val="FFFFFF"/>
          <w:sz w:val="24"/>
        </w:rPr>
        <w:t xml:space="preserve">  1.  EXECUTIVE SUMMARY</w:t>
      </w:r>
    </w:p>
    <w:p>
      <w:pPr>
        <w:spacing w:before="80" w:after="80"/>
        <w:ind w:left="0"/>
      </w:pPr>
      <w:r>
        <w:rPr>
          <w:rFonts w:ascii="Calibri" w:hAnsi="Calibri"/>
          <w:b w:val="0"/>
          <w:i w:val="0"/>
          <w:color w:val="1A1A1A"/>
          <w:sz w:val="20"/>
        </w:rPr>
        <w:t>Meridian Financial Services is evaluating the Meridian Automated Loan Underwriting System, an AI-enabled underwriting system that may process approximately 94% of small business loan applications automatically and route approximately 6% to human review. Because the system can automatically approve or deny access to credit, Meridian must ensure that human oversight is meaningful, documented, and operationally enforceable.</w:t>
      </w:r>
    </w:p>
    <w:p>
      <w:pPr>
        <w:spacing w:before="40" w:after="60"/>
        <w:ind w:left="0"/>
      </w:pPr>
      <w:r>
        <w:rPr>
          <w:rFonts w:ascii="Calibri" w:hAnsi="Calibri"/>
          <w:b w:val="0"/>
          <w:i w:val="0"/>
          <w:color w:val="1A1A1A"/>
          <w:sz w:val="20"/>
        </w:rPr>
        <w:t>This procedure defines:</w:t>
      </w:r>
    </w:p>
    <w:p>
      <w:pPr>
        <w:pStyle w:val="ListBullet"/>
        <w:spacing w:before="20" w:after="20"/>
        <w:ind w:left="360"/>
      </w:pPr>
      <w:r>
        <w:rPr>
          <w:rFonts w:ascii="Calibri" w:hAnsi="Calibri"/>
          <w:b w:val="0"/>
          <w:i w:val="0"/>
          <w:color w:val="1A1A1A"/>
          <w:sz w:val="20"/>
        </w:rPr>
        <w:t>When human review is required</w:t>
      </w:r>
    </w:p>
    <w:p>
      <w:pPr>
        <w:pStyle w:val="ListBullet"/>
        <w:spacing w:before="20" w:after="20"/>
        <w:ind w:left="360"/>
      </w:pPr>
      <w:r>
        <w:rPr>
          <w:rFonts w:ascii="Calibri" w:hAnsi="Calibri"/>
          <w:b w:val="0"/>
          <w:i w:val="0"/>
          <w:color w:val="1A1A1A"/>
          <w:sz w:val="20"/>
        </w:rPr>
        <w:t>What authority human reviewers have</w:t>
      </w:r>
    </w:p>
    <w:p>
      <w:pPr>
        <w:pStyle w:val="ListBullet"/>
        <w:spacing w:before="20" w:after="20"/>
        <w:ind w:left="360"/>
      </w:pPr>
      <w:r>
        <w:rPr>
          <w:rFonts w:ascii="Calibri" w:hAnsi="Calibri"/>
          <w:b w:val="0"/>
          <w:i w:val="0"/>
          <w:color w:val="1A1A1A"/>
          <w:sz w:val="20"/>
        </w:rPr>
        <w:t>How automated decisions can be challenged or overridden</w:t>
      </w:r>
    </w:p>
    <w:p>
      <w:pPr>
        <w:pStyle w:val="ListBullet"/>
        <w:spacing w:before="20" w:after="20"/>
        <w:ind w:left="360"/>
      </w:pPr>
      <w:r>
        <w:rPr>
          <w:rFonts w:ascii="Calibri" w:hAnsi="Calibri"/>
          <w:b w:val="0"/>
          <w:i w:val="0"/>
          <w:color w:val="1A1A1A"/>
          <w:sz w:val="20"/>
        </w:rPr>
        <w:t>How applicants may appeal or request reconsideration</w:t>
      </w:r>
    </w:p>
    <w:p>
      <w:pPr>
        <w:pStyle w:val="ListBullet"/>
        <w:spacing w:before="20" w:after="20"/>
        <w:ind w:left="360"/>
      </w:pPr>
      <w:r>
        <w:rPr>
          <w:rFonts w:ascii="Calibri" w:hAnsi="Calibri"/>
          <w:b w:val="0"/>
          <w:i w:val="0"/>
          <w:color w:val="1A1A1A"/>
          <w:sz w:val="20"/>
        </w:rPr>
        <w:t>When issues must be escalated</w:t>
      </w:r>
    </w:p>
    <w:p>
      <w:pPr>
        <w:pStyle w:val="ListBullet"/>
        <w:spacing w:before="20" w:after="20"/>
        <w:ind w:left="360"/>
      </w:pPr>
      <w:r>
        <w:rPr>
          <w:rFonts w:ascii="Calibri" w:hAnsi="Calibri"/>
          <w:b w:val="0"/>
          <w:i w:val="0"/>
          <w:color w:val="1A1A1A"/>
          <w:sz w:val="20"/>
        </w:rPr>
        <w:t>When automated decisioning should be paused</w:t>
      </w:r>
    </w:p>
    <w:p>
      <w:pPr>
        <w:spacing w:before="0" w:after="80"/>
      </w:pPr>
    </w:p>
    <w:p>
      <w:pPr>
        <w:spacing w:before="80" w:after="160"/>
        <w:ind w:left="144" w:right="144"/>
        <w:shd w:val="clear" w:color="auto" w:fill="FDECEA"/>
      </w:pPr>
      <w:r>
        <w:rPr>
          <w:rFonts w:ascii="Calibri" w:hAnsi="Calibri"/>
          <w:b/>
          <w:i w:val="0"/>
          <w:color w:val="C00000"/>
          <w:sz w:val="20"/>
        </w:rPr>
        <w:t xml:space="preserve">  Current Position: </w:t>
      </w:r>
      <w:r>
        <w:rPr>
          <w:rFonts w:ascii="Calibri" w:hAnsi="Calibri"/>
          <w:b w:val="0"/>
          <w:i w:val="0"/>
          <w:color w:val="1A1A1A"/>
          <w:sz w:val="20"/>
        </w:rPr>
        <w:t>The system must not be approved for production unless human oversight, exception review, appeal handling, escalation, and pause procedures are documented, tested, and approved.</w:t>
      </w:r>
    </w:p>
    <w:p>
      <w:pPr>
        <w:spacing w:before="280" w:after="100"/>
        <w:shd w:val="clear" w:color="auto" w:fill="1A335C"/>
      </w:pPr>
      <w:r>
        <w:rPr>
          <w:rFonts w:ascii="Calibri" w:hAnsi="Calibri"/>
          <w:b/>
          <w:i w:val="0"/>
          <w:color w:val="FFFFFF"/>
          <w:sz w:val="24"/>
        </w:rPr>
        <w:t xml:space="preserve">  2.  PURPOSE</w:t>
      </w:r>
    </w:p>
    <w:p>
      <w:pPr>
        <w:spacing w:before="80" w:after="80"/>
        <w:ind w:left="0"/>
      </w:pPr>
      <w:r>
        <w:rPr>
          <w:rFonts w:ascii="Calibri" w:hAnsi="Calibri"/>
          <w:b w:val="0"/>
          <w:i w:val="0"/>
          <w:color w:val="1A1A1A"/>
          <w:sz w:val="20"/>
        </w:rPr>
        <w:t>The purpose of this procedure is to ensure that automated credit decisions are subject to appropriate human oversight and applicant protection. Human oversight must be more than a formal checkbox — reviewers must have the ability, authority, information, and training needed to challenge AI outputs.</w:t>
      </w:r>
    </w:p>
    <w:p>
      <w:pPr>
        <w:spacing w:before="40" w:after="60"/>
        <w:ind w:left="0"/>
      </w:pPr>
      <w:r>
        <w:rPr>
          <w:rFonts w:ascii="Calibri" w:hAnsi="Calibri"/>
          <w:b w:val="0"/>
          <w:i w:val="0"/>
          <w:color w:val="1A1A1A"/>
          <w:sz w:val="20"/>
        </w:rPr>
        <w:t>This procedure supports:</w:t>
      </w:r>
    </w:p>
    <w:p>
      <w:pPr>
        <w:pStyle w:val="ListBullet"/>
        <w:spacing w:before="20" w:after="20"/>
        <w:ind w:left="360"/>
      </w:pPr>
      <w:r>
        <w:rPr>
          <w:rFonts w:ascii="Calibri" w:hAnsi="Calibri"/>
          <w:b w:val="0"/>
          <w:i w:val="0"/>
          <w:color w:val="1A1A1A"/>
          <w:sz w:val="20"/>
        </w:rPr>
        <w:t>Fair lending governance and applicant protection</w:t>
      </w:r>
    </w:p>
    <w:p>
      <w:pPr>
        <w:pStyle w:val="ListBullet"/>
        <w:spacing w:before="20" w:after="20"/>
        <w:ind w:left="360"/>
      </w:pPr>
      <w:r>
        <w:rPr>
          <w:rFonts w:ascii="Calibri" w:hAnsi="Calibri"/>
          <w:b w:val="0"/>
          <w:i w:val="0"/>
          <w:color w:val="1A1A1A"/>
          <w:sz w:val="20"/>
        </w:rPr>
        <w:t>AI risk management and high-risk outcome review</w:t>
      </w:r>
    </w:p>
    <w:p>
      <w:pPr>
        <w:pStyle w:val="ListBullet"/>
        <w:spacing w:before="20" w:after="20"/>
        <w:ind w:left="360"/>
      </w:pPr>
      <w:r>
        <w:rPr>
          <w:rFonts w:ascii="Calibri" w:hAnsi="Calibri"/>
          <w:b w:val="0"/>
          <w:i w:val="0"/>
          <w:color w:val="1A1A1A"/>
          <w:sz w:val="20"/>
        </w:rPr>
        <w:t>Human review of borderline and uncertain decisions</w:t>
      </w:r>
    </w:p>
    <w:p>
      <w:pPr>
        <w:pStyle w:val="ListBullet"/>
        <w:spacing w:before="20" w:after="20"/>
        <w:ind w:left="360"/>
      </w:pPr>
      <w:r>
        <w:rPr>
          <w:rFonts w:ascii="Calibri" w:hAnsi="Calibri"/>
          <w:b w:val="0"/>
          <w:i w:val="0"/>
          <w:color w:val="1A1A1A"/>
          <w:sz w:val="20"/>
        </w:rPr>
        <w:t>Appeal and reconsideration rights for denied applicants</w:t>
      </w:r>
    </w:p>
    <w:p>
      <w:pPr>
        <w:pStyle w:val="ListBullet"/>
        <w:spacing w:before="20" w:after="20"/>
        <w:ind w:left="360"/>
      </w:pPr>
      <w:r>
        <w:rPr>
          <w:rFonts w:ascii="Calibri" w:hAnsi="Calibri"/>
          <w:b w:val="0"/>
          <w:i w:val="0"/>
          <w:color w:val="1A1A1A"/>
          <w:sz w:val="20"/>
        </w:rPr>
        <w:t>Explainability and adverse action review</w:t>
      </w:r>
    </w:p>
    <w:p>
      <w:pPr>
        <w:pStyle w:val="ListBullet"/>
        <w:spacing w:before="20" w:after="20"/>
        <w:ind w:left="360"/>
      </w:pPr>
      <w:r>
        <w:rPr>
          <w:rFonts w:ascii="Calibri" w:hAnsi="Calibri"/>
          <w:b w:val="0"/>
          <w:i w:val="0"/>
          <w:color w:val="1A1A1A"/>
          <w:sz w:val="20"/>
        </w:rPr>
        <w:t>Operational accountability and audit readiness</w:t>
      </w:r>
    </w:p>
    <w:p>
      <w:pPr>
        <w:pStyle w:val="ListBullet"/>
        <w:spacing w:before="20" w:after="20"/>
        <w:ind w:left="360"/>
      </w:pPr>
      <w:r>
        <w:rPr>
          <w:rFonts w:ascii="Calibri" w:hAnsi="Calibri"/>
          <w:b w:val="0"/>
          <w:i w:val="0"/>
          <w:color w:val="1A1A1A"/>
          <w:sz w:val="20"/>
        </w:rPr>
        <w:t>Escalation and incident response</w:t>
      </w:r>
    </w:p>
    <w:p>
      <w:pPr>
        <w:pStyle w:val="ListBullet"/>
        <w:spacing w:before="20" w:after="20"/>
        <w:ind w:left="360"/>
      </w:pPr>
      <w:r>
        <w:rPr>
          <w:rFonts w:ascii="Calibri" w:hAnsi="Calibri"/>
          <w:b w:val="0"/>
          <w:i w:val="0"/>
          <w:color w:val="1A1A1A"/>
          <w:sz w:val="20"/>
        </w:rPr>
        <w:t>Governance approval readiness</w:t>
      </w:r>
    </w:p>
    <w:p>
      <w:pPr>
        <w:spacing w:before="0" w:after="120"/>
      </w:pPr>
    </w:p>
    <w:p>
      <w:pPr>
        <w:spacing w:before="280" w:after="100"/>
        <w:shd w:val="clear" w:color="auto" w:fill="1A335C"/>
      </w:pPr>
      <w:r>
        <w:rPr>
          <w:rFonts w:ascii="Calibri" w:hAnsi="Calibri"/>
          <w:b/>
          <w:i w:val="0"/>
          <w:color w:val="FFFFFF"/>
          <w:sz w:val="24"/>
        </w:rPr>
        <w:t xml:space="preserve">  3.  SCOPE</w:t>
      </w:r>
    </w:p>
    <w:p>
      <w:pPr>
        <w:spacing w:before="80" w:after="80"/>
        <w:ind w:left="0"/>
      </w:pPr>
      <w:r>
        <w:rPr>
          <w:rFonts w:ascii="Calibri" w:hAnsi="Calibri"/>
          <w:b w:val="0"/>
          <w:i w:val="0"/>
          <w:color w:val="1A1A1A"/>
          <w:sz w:val="20"/>
        </w:rPr>
        <w:t>This procedure applies to the use of the CrediSure Credit Decision Engine within the Meridian Automated Loan Underwriting System for small business lending.</w:t>
      </w:r>
    </w:p>
    <w:p>
      <w:pPr>
        <w:spacing w:before="160" w:after="60"/>
        <w:pBdr>
          <w:bottom w:val="single" w:sz="8" w:space="1" w:color="1F5C99"/>
        </w:pBdr>
      </w:pPr>
      <w:r>
        <w:rPr>
          <w:rFonts w:ascii="Calibri" w:hAnsi="Calibri"/>
          <w:b/>
          <w:i w:val="0"/>
          <w:color w:val="1F5C99"/>
          <w:sz w:val="22"/>
        </w:rPr>
        <w:t>In Scope</w:t>
      </w:r>
    </w:p>
    <w:p>
      <w:pPr>
        <w:pStyle w:val="ListBullet"/>
        <w:spacing w:before="20" w:after="20"/>
        <w:ind w:left="360"/>
      </w:pPr>
      <w:r>
        <w:rPr>
          <w:rFonts w:ascii="Calibri" w:hAnsi="Calibri"/>
          <w:b w:val="0"/>
          <w:i w:val="0"/>
          <w:color w:val="1A1A1A"/>
          <w:sz w:val="20"/>
        </w:rPr>
        <w:t>Auto-approved applications</w:t>
      </w:r>
    </w:p>
    <w:p>
      <w:pPr>
        <w:pStyle w:val="ListBullet"/>
        <w:spacing w:before="20" w:after="20"/>
        <w:ind w:left="360"/>
      </w:pPr>
      <w:r>
        <w:rPr>
          <w:rFonts w:ascii="Calibri" w:hAnsi="Calibri"/>
          <w:b w:val="0"/>
          <w:i w:val="0"/>
          <w:color w:val="1A1A1A"/>
          <w:sz w:val="20"/>
        </w:rPr>
        <w:t>Auto-denied applications</w:t>
      </w:r>
    </w:p>
    <w:p>
      <w:pPr>
        <w:pStyle w:val="ListBullet"/>
        <w:spacing w:before="20" w:after="20"/>
        <w:ind w:left="360"/>
      </w:pPr>
      <w:r>
        <w:rPr>
          <w:rFonts w:ascii="Calibri" w:hAnsi="Calibri"/>
          <w:b w:val="0"/>
          <w:i w:val="0"/>
          <w:color w:val="1A1A1A"/>
          <w:sz w:val="20"/>
        </w:rPr>
        <w:t>Manual review applications</w:t>
      </w:r>
    </w:p>
    <w:p>
      <w:pPr>
        <w:pStyle w:val="ListBullet"/>
        <w:spacing w:before="20" w:after="20"/>
        <w:ind w:left="360"/>
      </w:pPr>
      <w:r>
        <w:rPr>
          <w:rFonts w:ascii="Calibri" w:hAnsi="Calibri"/>
          <w:b w:val="0"/>
          <w:i w:val="0"/>
          <w:color w:val="1A1A1A"/>
          <w:sz w:val="20"/>
        </w:rPr>
        <w:t>Borderline applications near approval or denial thresholds</w:t>
      </w:r>
    </w:p>
    <w:p>
      <w:pPr>
        <w:pStyle w:val="ListBullet"/>
        <w:spacing w:before="20" w:after="20"/>
        <w:ind w:left="360"/>
      </w:pPr>
      <w:r>
        <w:rPr>
          <w:rFonts w:ascii="Calibri" w:hAnsi="Calibri"/>
          <w:b w:val="0"/>
          <w:i w:val="0"/>
          <w:color w:val="1A1A1A"/>
          <w:sz w:val="20"/>
        </w:rPr>
        <w:t>Low-confidence model outputs</w:t>
      </w:r>
    </w:p>
    <w:p>
      <w:pPr>
        <w:pStyle w:val="ListBullet"/>
        <w:spacing w:before="20" w:after="20"/>
        <w:ind w:left="360"/>
      </w:pPr>
      <w:r>
        <w:rPr>
          <w:rFonts w:ascii="Calibri" w:hAnsi="Calibri"/>
          <w:b w:val="0"/>
          <w:i w:val="0"/>
          <w:color w:val="1A1A1A"/>
          <w:sz w:val="20"/>
        </w:rPr>
        <w:t>Applications with missing or inconsistent data</w:t>
      </w:r>
    </w:p>
    <w:p>
      <w:pPr>
        <w:pStyle w:val="ListBullet"/>
        <w:spacing w:before="20" w:after="20"/>
        <w:ind w:left="360"/>
      </w:pPr>
      <w:r>
        <w:rPr>
          <w:rFonts w:ascii="Calibri" w:hAnsi="Calibri"/>
          <w:b w:val="0"/>
          <w:i w:val="0"/>
          <w:color w:val="1A1A1A"/>
          <w:sz w:val="20"/>
        </w:rPr>
        <w:t>Applications with fraud or compliance flags</w:t>
      </w:r>
    </w:p>
    <w:p>
      <w:pPr>
        <w:pStyle w:val="ListBullet"/>
        <w:spacing w:before="20" w:after="20"/>
        <w:ind w:left="360"/>
      </w:pPr>
      <w:r>
        <w:rPr>
          <w:rFonts w:ascii="Calibri" w:hAnsi="Calibri"/>
          <w:b w:val="0"/>
          <w:i w:val="0"/>
          <w:color w:val="1A1A1A"/>
          <w:sz w:val="20"/>
        </w:rPr>
        <w:t>Applicant appeals or reconsideration requests</w:t>
      </w:r>
    </w:p>
    <w:p>
      <w:pPr>
        <w:pStyle w:val="ListBullet"/>
        <w:spacing w:before="20" w:after="20"/>
        <w:ind w:left="360"/>
      </w:pPr>
      <w:r>
        <w:rPr>
          <w:rFonts w:ascii="Calibri" w:hAnsi="Calibri"/>
          <w:b w:val="0"/>
          <w:i w:val="0"/>
          <w:color w:val="1A1A1A"/>
          <w:sz w:val="20"/>
        </w:rPr>
        <w:t>Model monitoring alerts and drift notifications</w:t>
      </w:r>
    </w:p>
    <w:p>
      <w:pPr>
        <w:pStyle w:val="ListBullet"/>
        <w:spacing w:before="20" w:after="20"/>
        <w:ind w:left="360"/>
      </w:pPr>
      <w:r>
        <w:rPr>
          <w:rFonts w:ascii="Calibri" w:hAnsi="Calibri"/>
          <w:b w:val="0"/>
          <w:i w:val="0"/>
          <w:color w:val="1A1A1A"/>
          <w:sz w:val="20"/>
        </w:rPr>
        <w:t>Post-deployment issues that may affect decision quality</w:t>
      </w:r>
    </w:p>
    <w:p>
      <w:pPr>
        <w:spacing w:before="0" w:after="80"/>
      </w:pPr>
    </w:p>
    <w:p>
      <w:pPr>
        <w:spacing w:before="160" w:after="60"/>
        <w:pBdr>
          <w:bottom w:val="single" w:sz="8" w:space="1" w:color="1F5C99"/>
        </w:pBdr>
      </w:pPr>
      <w:r>
        <w:rPr>
          <w:rFonts w:ascii="Calibri" w:hAnsi="Calibri"/>
          <w:b/>
          <w:i w:val="0"/>
          <w:color w:val="1F5C99"/>
          <w:sz w:val="22"/>
        </w:rPr>
        <w:t>Out of Scope</w:t>
      </w:r>
    </w:p>
    <w:p>
      <w:pPr>
        <w:pStyle w:val="ListBullet"/>
        <w:spacing w:before="20" w:after="20"/>
        <w:ind w:left="360"/>
      </w:pPr>
      <w:r>
        <w:rPr>
          <w:rFonts w:ascii="Calibri" w:hAnsi="Calibri"/>
          <w:b w:val="0"/>
          <w:i w:val="0"/>
          <w:color w:val="5A5A5A"/>
          <w:sz w:val="20"/>
        </w:rPr>
        <w:t>Unrelated lending products or consumer mortgage lending</w:t>
      </w:r>
    </w:p>
    <w:p>
      <w:pPr>
        <w:pStyle w:val="ListBullet"/>
        <w:spacing w:before="20" w:after="20"/>
        <w:ind w:left="360"/>
      </w:pPr>
      <w:r>
        <w:rPr>
          <w:rFonts w:ascii="Calibri" w:hAnsi="Calibri"/>
          <w:b w:val="0"/>
          <w:i w:val="0"/>
          <w:color w:val="5A5A5A"/>
          <w:sz w:val="20"/>
        </w:rPr>
        <w:t>Personal loans, student loans, or insurance eligibility decisions</w:t>
      </w:r>
    </w:p>
    <w:p>
      <w:pPr>
        <w:pStyle w:val="ListBullet"/>
        <w:spacing w:before="20" w:after="20"/>
        <w:ind w:left="360"/>
      </w:pPr>
      <w:r>
        <w:rPr>
          <w:rFonts w:ascii="Calibri" w:hAnsi="Calibri"/>
          <w:b w:val="0"/>
          <w:i w:val="0"/>
          <w:color w:val="5A5A5A"/>
          <w:sz w:val="20"/>
        </w:rPr>
        <w:t>Employment decisions or any use case outside the approved system scope</w:t>
      </w:r>
    </w:p>
    <w:p>
      <w:pPr>
        <w:spacing w:before="0" w:after="120"/>
      </w:pPr>
    </w:p>
    <w:p>
      <w:pPr>
        <w:spacing w:before="280" w:after="100"/>
        <w:shd w:val="clear" w:color="auto" w:fill="1A335C"/>
      </w:pPr>
      <w:r>
        <w:rPr>
          <w:rFonts w:ascii="Calibri" w:hAnsi="Calibri"/>
          <w:b/>
          <w:i w:val="0"/>
          <w:color w:val="FFFFFF"/>
          <w:sz w:val="24"/>
        </w:rPr>
        <w:t xml:space="preserve">  4.  OVERSIGHT MODEL</w:t>
      </w:r>
    </w:p>
    <w:p>
      <w:pPr>
        <w:spacing w:before="80" w:after="100"/>
        <w:ind w:left="0"/>
      </w:pPr>
      <w:r>
        <w:rPr>
          <w:rFonts w:ascii="Calibri" w:hAnsi="Calibri"/>
          <w:b w:val="0"/>
          <w:i w:val="0"/>
          <w:color w:val="1A1A1A"/>
          <w:sz w:val="20"/>
        </w:rPr>
        <w:t>The proposed operating model routes approximately 94% of applications through automated processing. The table below shows the expected decision distribution and oversight requirement for each outcome.</w:t>
      </w:r>
    </w:p>
    <w:tbl>
      <w:tblPr>
        <w:tblStyle w:val="TableGrid"/>
        <w:tblW w:type="auto" w:w="0"/>
        <w:jc w:val="left"/>
        <w:tblLook w:firstColumn="1" w:firstRow="1" w:lastColumn="0" w:lastRow="0" w:noHBand="0" w:noVBand="1" w:val="04A0"/>
      </w:tblPr>
      <w:tblGrid>
        <w:gridCol w:w="3216"/>
        <w:gridCol w:w="3216"/>
        <w:gridCol w:w="3216"/>
      </w:tblGrid>
      <w:tr>
        <w:tc>
          <w:tcPr>
            <w:tcW w:type="dxa" w:w="2592"/>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Decision Outcome</w:t>
            </w:r>
          </w:p>
        </w:tc>
        <w:tc>
          <w:tcPr>
            <w:tcW w:type="dxa" w:w="1728"/>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Share</w:t>
            </w:r>
          </w:p>
        </w:tc>
        <w:tc>
          <w:tcPr>
            <w:tcW w:type="dxa" w:w="6624"/>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Oversight Requirement</w:t>
            </w:r>
          </w:p>
        </w:tc>
      </w:tr>
      <w:tr>
        <w:tc>
          <w:tcPr>
            <w:tcW w:type="dxa" w:w="2592"/>
            <w:shd w:val="clear" w:color="auto" w:fill="E8F5EC"/>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i w:val="0"/>
                <w:color w:val="1E7A3A"/>
                <w:sz w:val="18"/>
              </w:rPr>
              <w:t>Auto-approve</w:t>
            </w:r>
          </w:p>
        </w:tc>
        <w:tc>
          <w:tcPr>
            <w:tcW w:type="dxa" w:w="1728"/>
            <w:shd w:val="clear" w:color="auto" w:fill="E8F5EC"/>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E7A3A"/>
                <w:sz w:val="18"/>
              </w:rPr>
              <w:t>52%</w:t>
            </w:r>
          </w:p>
        </w:tc>
        <w:tc>
          <w:tcPr>
            <w:tcW w:type="dxa" w:w="6624"/>
            <w:shd w:val="clear" w:color="auto" w:fill="E8F5EC"/>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E7A3A"/>
                <w:sz w:val="18"/>
              </w:rPr>
              <w:t>Subject to monitoring, sampling, and post-decision audit</w:t>
            </w:r>
          </w:p>
        </w:tc>
      </w:tr>
      <w:tr>
        <w:tc>
          <w:tcPr>
            <w:tcW w:type="dxa" w:w="2592"/>
            <w:shd w:val="clear" w:color="auto" w:fill="FDECEA"/>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i w:val="0"/>
                <w:color w:val="C00000"/>
                <w:sz w:val="18"/>
              </w:rPr>
              <w:t>Auto-deny</w:t>
            </w:r>
          </w:p>
        </w:tc>
        <w:tc>
          <w:tcPr>
            <w:tcW w:type="dxa" w:w="1728"/>
            <w:shd w:val="clear" w:color="auto" w:fill="FDECEA"/>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C00000"/>
                <w:sz w:val="18"/>
              </w:rPr>
              <w:t>42%</w:t>
            </w:r>
          </w:p>
        </w:tc>
        <w:tc>
          <w:tcPr>
            <w:tcW w:type="dxa" w:w="6624"/>
            <w:shd w:val="clear" w:color="auto" w:fill="FDECEA"/>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C00000"/>
                <w:sz w:val="18"/>
              </w:rPr>
              <w:t>Subject to reason code validation, appeal rights, sampling, and monitoring</w:t>
            </w:r>
          </w:p>
        </w:tc>
      </w:tr>
      <w:tr>
        <w:tc>
          <w:tcPr>
            <w:tcW w:type="dxa" w:w="2592"/>
            <w:shd w:val="clear" w:color="auto" w:fill="EEF4FA"/>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i w:val="0"/>
                <w:color w:val="1F5C99"/>
                <w:sz w:val="18"/>
              </w:rPr>
              <w:t>Manual review</w:t>
            </w:r>
          </w:p>
        </w:tc>
        <w:tc>
          <w:tcPr>
            <w:tcW w:type="dxa" w:w="1728"/>
            <w:shd w:val="clear" w:color="auto" w:fill="EEF4FA"/>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F5C99"/>
                <w:sz w:val="18"/>
              </w:rPr>
              <w:t xml:space="preserve"> 6%</w:t>
            </w:r>
          </w:p>
        </w:tc>
        <w:tc>
          <w:tcPr>
            <w:tcW w:type="dxa" w:w="6624"/>
            <w:shd w:val="clear" w:color="auto" w:fill="EEF4FA"/>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F5C99"/>
                <w:sz w:val="18"/>
              </w:rPr>
              <w:t>Reviewed by trained human underwriter before final decision is issued</w:t>
            </w:r>
          </w:p>
        </w:tc>
      </w:tr>
    </w:tbl>
    <w:p>
      <w:pPr>
        <w:spacing w:before="0" w:after="80"/>
      </w:pPr>
    </w:p>
    <w:p>
      <w:pPr>
        <w:spacing w:before="80" w:after="160"/>
        <w:ind w:left="144" w:right="144"/>
        <w:shd w:val="clear" w:color="auto" w:fill="FEF3E2"/>
      </w:pPr>
      <w:r>
        <w:rPr>
          <w:rFonts w:ascii="Calibri" w:hAnsi="Calibri"/>
          <w:b/>
          <w:i w:val="0"/>
          <w:color w:val="C06000"/>
          <w:sz w:val="20"/>
        </w:rPr>
        <w:t xml:space="preserve">  Governance Note: </w:t>
      </w:r>
      <w:r>
        <w:rPr>
          <w:rFonts w:ascii="Calibri" w:hAnsi="Calibri"/>
          <w:b w:val="0"/>
          <w:i w:val="0"/>
          <w:color w:val="1A1A1A"/>
          <w:sz w:val="20"/>
        </w:rPr>
        <w:t>A fixed 6% manual review rate is not sufficient if the system is producing borderline, low-confidence, unexplained, or potentially unfair decisions. The manual review rate must increase automatically when risk triggers are present.</w:t>
      </w:r>
    </w:p>
    <w:p>
      <w:pPr>
        <w:spacing w:before="280" w:after="100"/>
        <w:shd w:val="clear" w:color="auto" w:fill="1A335C"/>
      </w:pPr>
      <w:r>
        <w:rPr>
          <w:rFonts w:ascii="Calibri" w:hAnsi="Calibri"/>
          <w:b/>
          <w:i w:val="0"/>
          <w:color w:val="FFFFFF"/>
          <w:sz w:val="24"/>
        </w:rPr>
        <w:t xml:space="preserve">  5.  ROLES AND RESPONSIBILITIES</w:t>
      </w:r>
    </w:p>
    <w:tbl>
      <w:tblPr>
        <w:tblStyle w:val="TableGrid"/>
        <w:tblW w:type="auto" w:w="0"/>
        <w:jc w:val="left"/>
        <w:tblLook w:firstColumn="1" w:firstRow="1" w:lastColumn="0" w:lastRow="0" w:noHBand="0" w:noVBand="1" w:val="04A0"/>
      </w:tblPr>
      <w:tblGrid>
        <w:gridCol w:w="4824"/>
        <w:gridCol w:w="4824"/>
      </w:tblGrid>
      <w:tr>
        <w:tc>
          <w:tcPr>
            <w:tcW w:type="dxa" w:w="2880"/>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Role</w:t>
            </w:r>
          </w:p>
        </w:tc>
        <w:tc>
          <w:tcPr>
            <w:tcW w:type="dxa" w:w="8064"/>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Responsibility</w:t>
            </w:r>
          </w:p>
        </w:tc>
      </w:tr>
      <w:tr>
        <w:tc>
          <w:tcPr>
            <w:tcW w:type="dxa" w:w="288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AI Governance Lead</w:t>
            </w:r>
          </w:p>
        </w:tc>
        <w:tc>
          <w:tcPr>
            <w:tcW w:type="dxa" w:w="806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Owns oversight procedure; confirms governance controls are documented; coordinates escalation</w:t>
            </w:r>
          </w:p>
        </w:tc>
      </w:tr>
      <w:tr>
        <w:tc>
          <w:tcPr>
            <w:tcW w:type="dxa" w:w="288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Credit Risk Owner</w:t>
            </w:r>
          </w:p>
        </w:tc>
        <w:tc>
          <w:tcPr>
            <w:tcW w:type="dxa" w:w="806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Owns underwriting policy, decision thresholds, credit exceptions, and risk acceptance</w:t>
            </w:r>
          </w:p>
        </w:tc>
      </w:tr>
      <w:tr>
        <w:tc>
          <w:tcPr>
            <w:tcW w:type="dxa" w:w="288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Underwriting Manager</w:t>
            </w:r>
          </w:p>
        </w:tc>
        <w:tc>
          <w:tcPr>
            <w:tcW w:type="dxa" w:w="806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Oversees human reviewers, quality checks, and exception handling</w:t>
            </w:r>
          </w:p>
        </w:tc>
      </w:tr>
      <w:tr>
        <w:tc>
          <w:tcPr>
            <w:tcW w:type="dxa" w:w="288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Human Underwriter</w:t>
            </w:r>
          </w:p>
        </w:tc>
        <w:tc>
          <w:tcPr>
            <w:tcW w:type="dxa" w:w="806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Reviews routed cases; challenges AI outputs; documents rationale; applies override authority</w:t>
            </w:r>
          </w:p>
        </w:tc>
      </w:tr>
      <w:tr>
        <w:tc>
          <w:tcPr>
            <w:tcW w:type="dxa" w:w="288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Compliance Reviewer</w:t>
            </w:r>
          </w:p>
        </w:tc>
        <w:tc>
          <w:tcPr>
            <w:tcW w:type="dxa" w:w="806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Reviews fair lending, adverse action, explainability, and applicant impact concerns</w:t>
            </w:r>
          </w:p>
        </w:tc>
      </w:tr>
      <w:tr>
        <w:tc>
          <w:tcPr>
            <w:tcW w:type="dxa" w:w="288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Model Risk Reviewer</w:t>
            </w:r>
          </w:p>
        </w:tc>
        <w:tc>
          <w:tcPr>
            <w:tcW w:type="dxa" w:w="806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Reviews model confidence, reason code reliability, drift, validation, and monitoring issues</w:t>
            </w:r>
          </w:p>
        </w:tc>
      </w:tr>
      <w:tr>
        <w:tc>
          <w:tcPr>
            <w:tcW w:type="dxa" w:w="288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Vendor Risk Owner</w:t>
            </w:r>
          </w:p>
        </w:tc>
        <w:tc>
          <w:tcPr>
            <w:tcW w:type="dxa" w:w="806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Coordinates vendor obligations related to model outputs, reason codes, and issue resolution</w:t>
            </w:r>
          </w:p>
        </w:tc>
      </w:tr>
      <w:tr>
        <w:tc>
          <w:tcPr>
            <w:tcW w:type="dxa" w:w="288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Executive Approver</w:t>
            </w:r>
          </w:p>
        </w:tc>
        <w:tc>
          <w:tcPr>
            <w:tcW w:type="dxa" w:w="806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Reviews unresolved high-risk issues; approves production readiness or pause decisions</w:t>
            </w:r>
          </w:p>
        </w:tc>
      </w:tr>
    </w:tbl>
    <w:p>
      <w:pPr>
        <w:spacing w:before="0" w:after="160"/>
      </w:pPr>
    </w:p>
    <w:p>
      <w:pPr>
        <w:spacing w:before="280" w:after="100"/>
        <w:shd w:val="clear" w:color="auto" w:fill="1A335C"/>
      </w:pPr>
      <w:r>
        <w:rPr>
          <w:rFonts w:ascii="Calibri" w:hAnsi="Calibri"/>
          <w:b/>
          <w:i w:val="0"/>
          <w:color w:val="FFFFFF"/>
          <w:sz w:val="24"/>
        </w:rPr>
        <w:t xml:space="preserve">  6.  MANDATORY HUMAN REVIEW TRIGGERS</w:t>
      </w:r>
    </w:p>
    <w:p>
      <w:pPr>
        <w:spacing w:before="80" w:after="100"/>
        <w:ind w:left="0"/>
      </w:pPr>
      <w:r>
        <w:rPr>
          <w:rFonts w:ascii="Calibri" w:hAnsi="Calibri"/>
          <w:b w:val="0"/>
          <w:i w:val="0"/>
          <w:color w:val="1A1A1A"/>
          <w:sz w:val="20"/>
        </w:rPr>
        <w:t>Applications must be routed to human review when any of the following conditions apply. These triggers are mandatory — routing must occur automatically where technically feasible and must be confirmed through manual check where automation is not available.</w:t>
      </w:r>
    </w:p>
    <w:tbl>
      <w:tblPr>
        <w:tblStyle w:val="TableGrid"/>
        <w:tblW w:type="auto" w:w="0"/>
        <w:jc w:val="left"/>
        <w:tblLook w:firstColumn="1" w:firstRow="1" w:lastColumn="0" w:lastRow="0" w:noHBand="0" w:noVBand="1" w:val="04A0"/>
      </w:tblPr>
      <w:tblGrid>
        <w:gridCol w:w="4824"/>
        <w:gridCol w:w="4824"/>
      </w:tblGrid>
      <w:tr>
        <w:tc>
          <w:tcPr>
            <w:tcW w:type="dxa" w:w="3168"/>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Trigger</w:t>
            </w:r>
          </w:p>
        </w:tc>
        <w:tc>
          <w:tcPr>
            <w:tcW w:type="dxa" w:w="7776"/>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Condition</w:t>
            </w:r>
          </w:p>
        </w:tc>
      </w:tr>
      <w:tr>
        <w:tc>
          <w:tcPr>
            <w:tcW w:type="dxa" w:w="3168"/>
            <w:shd w:val="clear" w:color="auto" w:fill="FEF3E2"/>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6000"/>
                <w:sz w:val="18"/>
              </w:rPr>
              <w:t>Borderline Risk Score</w:t>
            </w:r>
          </w:p>
        </w:tc>
        <w:tc>
          <w:tcPr>
            <w:tcW w:type="dxa" w:w="777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The application falls within the defined borderline range near the approval or denial threshold</w:t>
            </w:r>
          </w:p>
        </w:tc>
      </w:tr>
      <w:tr>
        <w:tc>
          <w:tcPr>
            <w:tcW w:type="dxa" w:w="3168"/>
            <w:shd w:val="clear" w:color="auto" w:fill="FFF9E6"/>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6000"/>
                <w:sz w:val="18"/>
              </w:rPr>
              <w:t>Low Model Confidence</w:t>
            </w:r>
          </w:p>
        </w:tc>
        <w:tc>
          <w:tcPr>
            <w:tcW w:type="dxa" w:w="7776"/>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The model confidence score falls below the approved threshold</w:t>
            </w:r>
          </w:p>
        </w:tc>
      </w:tr>
      <w:tr>
        <w:tc>
          <w:tcPr>
            <w:tcW w:type="dxa" w:w="3168"/>
            <w:shd w:val="clear" w:color="auto" w:fill="FEF3E2"/>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6000"/>
                <w:sz w:val="18"/>
              </w:rPr>
              <w:t>Missing or Inconsistent Data</w:t>
            </w:r>
          </w:p>
        </w:tc>
        <w:tc>
          <w:tcPr>
            <w:tcW w:type="dxa" w:w="777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Required application, credit, financial, banking, or documentation fields are missing or inconsistent</w:t>
            </w:r>
          </w:p>
        </w:tc>
      </w:tr>
      <w:tr>
        <w:tc>
          <w:tcPr>
            <w:tcW w:type="dxa" w:w="3168"/>
            <w:shd w:val="clear" w:color="auto" w:fill="FFF9E6"/>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6000"/>
                <w:sz w:val="18"/>
              </w:rPr>
              <w:t>Fraud Flag</w:t>
            </w:r>
          </w:p>
        </w:tc>
        <w:tc>
          <w:tcPr>
            <w:tcW w:type="dxa" w:w="7776"/>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 fraud indicator is present or requires review</w:t>
            </w:r>
          </w:p>
        </w:tc>
      </w:tr>
      <w:tr>
        <w:tc>
          <w:tcPr>
            <w:tcW w:type="dxa" w:w="3168"/>
            <w:shd w:val="clear" w:color="auto" w:fill="FEF3E2"/>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6000"/>
                <w:sz w:val="18"/>
              </w:rPr>
              <w:t>Compliance Flag</w:t>
            </w:r>
          </w:p>
        </w:tc>
        <w:tc>
          <w:tcPr>
            <w:tcW w:type="dxa" w:w="777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The application triggers a compliance concern or requires additional review</w:t>
            </w:r>
          </w:p>
        </w:tc>
      </w:tr>
      <w:tr>
        <w:tc>
          <w:tcPr>
            <w:tcW w:type="dxa" w:w="3168"/>
            <w:shd w:val="clear" w:color="auto" w:fill="FFF9E6"/>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6000"/>
                <w:sz w:val="18"/>
              </w:rPr>
              <w:t>Proxy-Bias Alert</w:t>
            </w:r>
          </w:p>
        </w:tc>
        <w:tc>
          <w:tcPr>
            <w:tcW w:type="dxa" w:w="7776"/>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Monitoring or review indicates potential proxy-bias concerns involving geography, industry, business age, credit history, or cash-flow volatility</w:t>
            </w:r>
          </w:p>
        </w:tc>
      </w:tr>
      <w:tr>
        <w:tc>
          <w:tcPr>
            <w:tcW w:type="dxa" w:w="3168"/>
            <w:shd w:val="clear" w:color="auto" w:fill="FEF3E2"/>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6000"/>
                <w:sz w:val="18"/>
              </w:rPr>
              <w:t>High-Value Loan Request</w:t>
            </w:r>
          </w:p>
        </w:tc>
        <w:tc>
          <w:tcPr>
            <w:tcW w:type="dxa" w:w="777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The requested loan amount exceeds the automated decisioning limit</w:t>
            </w:r>
          </w:p>
        </w:tc>
      </w:tr>
      <w:tr>
        <w:tc>
          <w:tcPr>
            <w:tcW w:type="dxa" w:w="3168"/>
            <w:shd w:val="clear" w:color="auto" w:fill="FFF9E6"/>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6000"/>
                <w:sz w:val="18"/>
              </w:rPr>
              <w:t>Insufficient Explanation</w:t>
            </w:r>
          </w:p>
        </w:tc>
        <w:tc>
          <w:tcPr>
            <w:tcW w:type="dxa" w:w="7776"/>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The model output lacks a clear, specific, and reviewable reason code</w:t>
            </w:r>
          </w:p>
        </w:tc>
      </w:tr>
      <w:tr>
        <w:tc>
          <w:tcPr>
            <w:tcW w:type="dxa" w:w="3168"/>
            <w:shd w:val="clear" w:color="auto" w:fill="FEF3E2"/>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6000"/>
                <w:sz w:val="18"/>
              </w:rPr>
              <w:t>Applicant Appeal or Reconsideration Request</w:t>
            </w:r>
          </w:p>
        </w:tc>
        <w:tc>
          <w:tcPr>
            <w:tcW w:type="dxa" w:w="777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Any appealed automated denial must be reviewed by a human underwriter</w:t>
            </w:r>
          </w:p>
        </w:tc>
      </w:tr>
      <w:tr>
        <w:tc>
          <w:tcPr>
            <w:tcW w:type="dxa" w:w="3168"/>
            <w:shd w:val="clear" w:color="auto" w:fill="FFF9E6"/>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6000"/>
                <w:sz w:val="18"/>
              </w:rPr>
              <w:t>Model Drift or Monitoring Alert</w:t>
            </w:r>
          </w:p>
        </w:tc>
        <w:tc>
          <w:tcPr>
            <w:tcW w:type="dxa" w:w="7776"/>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The system detects drift, unusual outcome patterns, or performance changes outside approved thresholds</w:t>
            </w:r>
          </w:p>
        </w:tc>
      </w:tr>
      <w:tr>
        <w:tc>
          <w:tcPr>
            <w:tcW w:type="dxa" w:w="3168"/>
            <w:shd w:val="clear" w:color="auto" w:fill="FEF3E2"/>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6000"/>
                <w:sz w:val="18"/>
              </w:rPr>
              <w:t>Vendor Model Change</w:t>
            </w:r>
          </w:p>
        </w:tc>
        <w:tc>
          <w:tcPr>
            <w:tcW w:type="dxa" w:w="777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The vendor releases or deploys a material model change affecting scoring, confidence, outputs, reason codes, or decision thresholds</w:t>
            </w:r>
          </w:p>
        </w:tc>
      </w:tr>
      <w:tr>
        <w:tc>
          <w:tcPr>
            <w:tcW w:type="dxa" w:w="3168"/>
            <w:shd w:val="clear" w:color="auto" w:fill="FFF9E6"/>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6000"/>
                <w:sz w:val="18"/>
              </w:rPr>
              <w:t>Adverse Trend in Complaints or Appeals</w:t>
            </w:r>
          </w:p>
        </w:tc>
        <w:tc>
          <w:tcPr>
            <w:tcW w:type="dxa" w:w="7776"/>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Complaint volume, appeal volume, or appeal success rates increase above approved monitoring thresholds</w:t>
            </w:r>
          </w:p>
        </w:tc>
      </w:tr>
    </w:tbl>
    <w:p>
      <w:pPr>
        <w:spacing w:before="0" w:after="160"/>
      </w:pPr>
    </w:p>
    <w:p>
      <w:pPr>
        <w:spacing w:before="280" w:after="100"/>
        <w:shd w:val="clear" w:color="auto" w:fill="1A335C"/>
      </w:pPr>
      <w:r>
        <w:rPr>
          <w:rFonts w:ascii="Calibri" w:hAnsi="Calibri"/>
          <w:b/>
          <w:i w:val="0"/>
          <w:color w:val="FFFFFF"/>
          <w:sz w:val="24"/>
        </w:rPr>
        <w:t xml:space="preserve">  7.  HUMAN REVIEWER AUTHORITY</w:t>
      </w:r>
    </w:p>
    <w:p>
      <w:pPr>
        <w:spacing w:before="80" w:after="80"/>
        <w:ind w:left="0"/>
      </w:pPr>
      <w:r>
        <w:rPr>
          <w:rFonts w:ascii="Calibri" w:hAnsi="Calibri"/>
          <w:b w:val="0"/>
          <w:i w:val="0"/>
          <w:color w:val="1A1A1A"/>
          <w:sz w:val="20"/>
        </w:rPr>
        <w:t>Human reviewers must have full authority to review, challenge, and override AI-generated recommendations. Reviewers must not be required to accept the AI recommendation by default. A reviewer must be able to make an independent judgment based on approved underwriting policy, supporting evidence, and documented exception criteria.</w:t>
      </w:r>
    </w:p>
    <w:p>
      <w:pPr>
        <w:pStyle w:val="ListBullet"/>
        <w:spacing w:before="20" w:after="20"/>
        <w:ind w:left="360"/>
      </w:pPr>
      <w:r>
        <w:rPr>
          <w:rFonts w:ascii="Calibri" w:hAnsi="Calibri"/>
          <w:b w:val="0"/>
          <w:i w:val="0"/>
          <w:color w:val="1A1A1A"/>
          <w:sz w:val="20"/>
        </w:rPr>
        <w:t>Access the full application record</w:t>
      </w:r>
    </w:p>
    <w:p>
      <w:pPr>
        <w:pStyle w:val="ListBullet"/>
        <w:spacing w:before="20" w:after="20"/>
        <w:ind w:left="360"/>
      </w:pPr>
      <w:r>
        <w:rPr>
          <w:rFonts w:ascii="Calibri" w:hAnsi="Calibri"/>
          <w:b w:val="0"/>
          <w:i w:val="0"/>
          <w:color w:val="1A1A1A"/>
          <w:sz w:val="20"/>
        </w:rPr>
        <w:t>Review the AI-generated score, confidence score, recommendation, and reason codes</w:t>
      </w:r>
    </w:p>
    <w:p>
      <w:pPr>
        <w:pStyle w:val="ListBullet"/>
        <w:spacing w:before="20" w:after="20"/>
        <w:ind w:left="360"/>
      </w:pPr>
      <w:r>
        <w:rPr>
          <w:rFonts w:ascii="Calibri" w:hAnsi="Calibri"/>
          <w:b w:val="0"/>
          <w:i w:val="0"/>
          <w:color w:val="1A1A1A"/>
          <w:sz w:val="20"/>
        </w:rPr>
        <w:t>Review supporting financial, credit, banking, and documentation data</w:t>
      </w:r>
    </w:p>
    <w:p>
      <w:pPr>
        <w:pStyle w:val="ListBullet"/>
        <w:spacing w:before="20" w:after="20"/>
        <w:ind w:left="360"/>
      </w:pPr>
      <w:r>
        <w:rPr>
          <w:rFonts w:ascii="Calibri" w:hAnsi="Calibri"/>
          <w:b w:val="0"/>
          <w:i w:val="0"/>
          <w:color w:val="1A1A1A"/>
          <w:sz w:val="20"/>
        </w:rPr>
        <w:t>Request additional information from the applicant</w:t>
      </w:r>
    </w:p>
    <w:p>
      <w:pPr>
        <w:pStyle w:val="ListBullet"/>
        <w:spacing w:before="20" w:after="20"/>
        <w:ind w:left="360"/>
      </w:pPr>
      <w:r>
        <w:rPr>
          <w:rFonts w:ascii="Calibri" w:hAnsi="Calibri"/>
          <w:b w:val="0"/>
          <w:i w:val="0"/>
          <w:color w:val="1A1A1A"/>
          <w:sz w:val="20"/>
        </w:rPr>
        <w:t>Challenge the AI recommendation</w:t>
      </w:r>
    </w:p>
    <w:p>
      <w:pPr>
        <w:pStyle w:val="ListBullet"/>
        <w:spacing w:before="20" w:after="20"/>
        <w:ind w:left="360"/>
      </w:pPr>
      <w:r>
        <w:rPr>
          <w:rFonts w:ascii="Calibri" w:hAnsi="Calibri"/>
          <w:b w:val="0"/>
          <w:i w:val="0"/>
          <w:color w:val="1A1A1A"/>
          <w:sz w:val="20"/>
        </w:rPr>
        <w:t>Override the AI recommendation when justified</w:t>
      </w:r>
    </w:p>
    <w:p>
      <w:pPr>
        <w:pStyle w:val="ListBullet"/>
        <w:spacing w:before="20" w:after="20"/>
        <w:ind w:left="360"/>
      </w:pPr>
      <w:r>
        <w:rPr>
          <w:rFonts w:ascii="Calibri" w:hAnsi="Calibri"/>
          <w:b w:val="0"/>
          <w:i w:val="0"/>
          <w:color w:val="1A1A1A"/>
          <w:sz w:val="20"/>
        </w:rPr>
        <w:t>Escalate high-risk or unclear cases to senior underwriters or governance</w:t>
      </w:r>
    </w:p>
    <w:p>
      <w:pPr>
        <w:pStyle w:val="ListBullet"/>
        <w:spacing w:before="20" w:after="20"/>
        <w:ind w:left="360"/>
      </w:pPr>
      <w:r>
        <w:rPr>
          <w:rFonts w:ascii="Calibri" w:hAnsi="Calibri"/>
          <w:b w:val="0"/>
          <w:i w:val="0"/>
          <w:color w:val="1A1A1A"/>
          <w:sz w:val="20"/>
        </w:rPr>
        <w:t>Document the final decision rationale independently of the AI output</w:t>
      </w:r>
    </w:p>
    <w:p>
      <w:pPr>
        <w:pStyle w:val="ListBullet"/>
        <w:spacing w:before="20" w:after="20"/>
        <w:ind w:left="360"/>
      </w:pPr>
      <w:r>
        <w:rPr>
          <w:rFonts w:ascii="Calibri" w:hAnsi="Calibri"/>
          <w:b w:val="0"/>
          <w:i w:val="0"/>
          <w:color w:val="1A1A1A"/>
          <w:sz w:val="20"/>
        </w:rPr>
        <w:t>Identify potential system issues for model risk or compliance review</w:t>
      </w:r>
    </w:p>
    <w:p>
      <w:pPr>
        <w:spacing w:before="0" w:after="120"/>
      </w:pPr>
    </w:p>
    <w:p>
      <w:pPr>
        <w:spacing w:before="280" w:after="100"/>
        <w:shd w:val="clear" w:color="auto" w:fill="1A335C"/>
      </w:pPr>
      <w:r>
        <w:rPr>
          <w:rFonts w:ascii="Calibri" w:hAnsi="Calibri"/>
          <w:b/>
          <w:i w:val="0"/>
          <w:color w:val="FFFFFF"/>
          <w:sz w:val="24"/>
        </w:rPr>
        <w:t xml:space="preserve">  8.  OVERRIDE RULES</w:t>
      </w:r>
    </w:p>
    <w:p>
      <w:pPr>
        <w:spacing w:before="160" w:after="60"/>
        <w:pBdr>
          <w:bottom w:val="single" w:sz="8" w:space="1" w:color="1F5C99"/>
        </w:pBdr>
      </w:pPr>
      <w:r>
        <w:rPr>
          <w:rFonts w:ascii="Calibri" w:hAnsi="Calibri"/>
          <w:b/>
          <w:i w:val="0"/>
          <w:color w:val="1F5C99"/>
          <w:sz w:val="22"/>
        </w:rPr>
        <w:t>When Overrides Are Permitted</w:t>
      </w:r>
    </w:p>
    <w:p>
      <w:pPr>
        <w:spacing w:before="40" w:after="60"/>
        <w:ind w:left="0"/>
      </w:pPr>
      <w:r>
        <w:rPr>
          <w:rFonts w:ascii="Calibri" w:hAnsi="Calibri"/>
          <w:b w:val="0"/>
          <w:i w:val="0"/>
          <w:color w:val="1A1A1A"/>
          <w:sz w:val="20"/>
        </w:rPr>
        <w:t>Human reviewers may override an AI recommendation when any of the following apply:</w:t>
      </w:r>
    </w:p>
    <w:p>
      <w:pPr>
        <w:pStyle w:val="ListBullet"/>
        <w:spacing w:before="20" w:after="20"/>
        <w:ind w:left="360"/>
      </w:pPr>
      <w:r>
        <w:rPr>
          <w:rFonts w:ascii="Calibri" w:hAnsi="Calibri"/>
          <w:b w:val="0"/>
          <w:i w:val="0"/>
          <w:color w:val="1A1A1A"/>
          <w:sz w:val="20"/>
        </w:rPr>
        <w:t>The model appears to rely on incorrect or incomplete data</w:t>
      </w:r>
    </w:p>
    <w:p>
      <w:pPr>
        <w:pStyle w:val="ListBullet"/>
        <w:spacing w:before="20" w:after="20"/>
        <w:ind w:left="360"/>
      </w:pPr>
      <w:r>
        <w:rPr>
          <w:rFonts w:ascii="Calibri" w:hAnsi="Calibri"/>
          <w:b w:val="0"/>
          <w:i w:val="0"/>
          <w:color w:val="1A1A1A"/>
          <w:sz w:val="20"/>
        </w:rPr>
        <w:t>The decision conflicts with approved underwriting policy</w:t>
      </w:r>
    </w:p>
    <w:p>
      <w:pPr>
        <w:pStyle w:val="ListBullet"/>
        <w:spacing w:before="20" w:after="20"/>
        <w:ind w:left="360"/>
      </w:pPr>
      <w:r>
        <w:rPr>
          <w:rFonts w:ascii="Calibri" w:hAnsi="Calibri"/>
          <w:b w:val="0"/>
          <w:i w:val="0"/>
          <w:color w:val="1A1A1A"/>
          <w:sz w:val="20"/>
        </w:rPr>
        <w:t>The reason code does not match the underlying application facts</w:t>
      </w:r>
    </w:p>
    <w:p>
      <w:pPr>
        <w:pStyle w:val="ListBullet"/>
        <w:spacing w:before="20" w:after="20"/>
        <w:ind w:left="360"/>
      </w:pPr>
      <w:r>
        <w:rPr>
          <w:rFonts w:ascii="Calibri" w:hAnsi="Calibri"/>
          <w:b w:val="0"/>
          <w:i w:val="0"/>
          <w:color w:val="1A1A1A"/>
          <w:sz w:val="20"/>
        </w:rPr>
        <w:t>The applicant provides additional documentation that changes the risk assessment</w:t>
      </w:r>
    </w:p>
    <w:p>
      <w:pPr>
        <w:pStyle w:val="ListBullet"/>
        <w:spacing w:before="20" w:after="20"/>
        <w:ind w:left="360"/>
      </w:pPr>
      <w:r>
        <w:rPr>
          <w:rFonts w:ascii="Calibri" w:hAnsi="Calibri"/>
          <w:b w:val="0"/>
          <w:i w:val="0"/>
          <w:color w:val="1A1A1A"/>
          <w:sz w:val="20"/>
        </w:rPr>
        <w:t>A borderline decision requires contextual judgment beyond the model's capability</w:t>
      </w:r>
    </w:p>
    <w:p>
      <w:pPr>
        <w:pStyle w:val="ListBullet"/>
        <w:spacing w:before="20" w:after="20"/>
        <w:ind w:left="360"/>
      </w:pPr>
      <w:r>
        <w:rPr>
          <w:rFonts w:ascii="Calibri" w:hAnsi="Calibri"/>
          <w:b w:val="0"/>
          <w:i w:val="0"/>
          <w:color w:val="1A1A1A"/>
          <w:sz w:val="20"/>
        </w:rPr>
        <w:t>A compliance concern requires manual evaluation</w:t>
      </w:r>
    </w:p>
    <w:p>
      <w:pPr>
        <w:pStyle w:val="ListBullet"/>
        <w:spacing w:before="20" w:after="20"/>
        <w:ind w:left="360"/>
      </w:pPr>
      <w:r>
        <w:rPr>
          <w:rFonts w:ascii="Calibri" w:hAnsi="Calibri"/>
          <w:b w:val="0"/>
          <w:i w:val="0"/>
          <w:color w:val="1A1A1A"/>
          <w:sz w:val="20"/>
        </w:rPr>
        <w:t>A fairness or proxy-bias concern is identified</w:t>
      </w:r>
    </w:p>
    <w:p>
      <w:pPr>
        <w:pStyle w:val="ListBullet"/>
        <w:spacing w:before="20" w:after="20"/>
        <w:ind w:left="360"/>
      </w:pPr>
      <w:r>
        <w:rPr>
          <w:rFonts w:ascii="Calibri" w:hAnsi="Calibri"/>
          <w:b w:val="0"/>
          <w:i w:val="0"/>
          <w:color w:val="1A1A1A"/>
          <w:sz w:val="20"/>
        </w:rPr>
        <w:t>The model confidence score is below the approved threshold</w:t>
      </w:r>
    </w:p>
    <w:p>
      <w:pPr>
        <w:pStyle w:val="ListBullet"/>
        <w:spacing w:before="20" w:after="20"/>
        <w:ind w:left="360"/>
      </w:pPr>
      <w:r>
        <w:rPr>
          <w:rFonts w:ascii="Calibri" w:hAnsi="Calibri"/>
          <w:b w:val="0"/>
          <w:i w:val="0"/>
          <w:color w:val="1A1A1A"/>
          <w:sz w:val="20"/>
        </w:rPr>
        <w:t>A human reviewer determines that the AI output is not sufficiently reliable</w:t>
      </w:r>
    </w:p>
    <w:p>
      <w:pPr>
        <w:spacing w:before="0" w:after="100"/>
      </w:pPr>
    </w:p>
    <w:p>
      <w:pPr>
        <w:spacing w:before="160" w:after="60"/>
        <w:pBdr>
          <w:bottom w:val="single" w:sz="8" w:space="1" w:color="1F5C99"/>
        </w:pBdr>
      </w:pPr>
      <w:r>
        <w:rPr>
          <w:rFonts w:ascii="Calibri" w:hAnsi="Calibri"/>
          <w:b/>
          <w:i w:val="0"/>
          <w:color w:val="1F5C99"/>
          <w:sz w:val="22"/>
        </w:rPr>
        <w:t>Override Documentation Requirements</w:t>
      </w:r>
    </w:p>
    <w:p>
      <w:pPr>
        <w:spacing w:before="40" w:after="60"/>
        <w:ind w:left="0"/>
      </w:pPr>
      <w:r>
        <w:rPr>
          <w:rFonts w:ascii="Calibri" w:hAnsi="Calibri"/>
          <w:b w:val="0"/>
          <w:i w:val="0"/>
          <w:color w:val="1A1A1A"/>
          <w:sz w:val="20"/>
        </w:rPr>
        <w:t>All overrides must be documented with the following information:</w:t>
      </w:r>
    </w:p>
    <w:tbl>
      <w:tblPr>
        <w:tblStyle w:val="TableGrid"/>
        <w:tblW w:type="auto" w:w="0"/>
        <w:jc w:val="left"/>
        <w:tblLook w:firstColumn="1" w:firstRow="1" w:lastColumn="0" w:lastRow="0" w:noHBand="0" w:noVBand="1" w:val="04A0"/>
      </w:tblPr>
      <w:tblGrid>
        <w:gridCol w:w="4824"/>
        <w:gridCol w:w="4824"/>
      </w:tblGrid>
      <w:tr>
        <w:tc>
          <w:tcPr>
            <w:tcW w:type="dxa" w:w="3168"/>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Documentation Field</w:t>
            </w:r>
          </w:p>
        </w:tc>
        <w:tc>
          <w:tcPr>
            <w:tcW w:type="dxa" w:w="7776"/>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Description</w:t>
            </w:r>
          </w:p>
        </w:tc>
      </w:tr>
      <w:tr>
        <w:tc>
          <w:tcPr>
            <w:tcW w:type="dxa" w:w="3168"/>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Original AI Recommendation</w:t>
            </w:r>
          </w:p>
        </w:tc>
        <w:tc>
          <w:tcPr>
            <w:tcW w:type="dxa" w:w="777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The AI-generated outcome before override</w:t>
            </w:r>
          </w:p>
        </w:tc>
      </w:tr>
      <w:tr>
        <w:tc>
          <w:tcPr>
            <w:tcW w:type="dxa" w:w="3168"/>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Final Human Decision</w:t>
            </w:r>
          </w:p>
        </w:tc>
        <w:tc>
          <w:tcPr>
            <w:tcW w:type="dxa" w:w="7776"/>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The decision made by the human reviewer</w:t>
            </w:r>
          </w:p>
        </w:tc>
      </w:tr>
      <w:tr>
        <w:tc>
          <w:tcPr>
            <w:tcW w:type="dxa" w:w="3168"/>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Reason for Override</w:t>
            </w:r>
          </w:p>
        </w:tc>
        <w:tc>
          <w:tcPr>
            <w:tcW w:type="dxa" w:w="777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Clear explanation of why the AI recommendation was not accepted</w:t>
            </w:r>
          </w:p>
        </w:tc>
      </w:tr>
      <w:tr>
        <w:tc>
          <w:tcPr>
            <w:tcW w:type="dxa" w:w="3168"/>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Evidence Reviewed</w:t>
            </w:r>
          </w:p>
        </w:tc>
        <w:tc>
          <w:tcPr>
            <w:tcW w:type="dxa" w:w="7776"/>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Documents, data, or information considered in the review</w:t>
            </w:r>
          </w:p>
        </w:tc>
      </w:tr>
      <w:tr>
        <w:tc>
          <w:tcPr>
            <w:tcW w:type="dxa" w:w="3168"/>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Reviewer Name or Role</w:t>
            </w:r>
          </w:p>
        </w:tc>
        <w:tc>
          <w:tcPr>
            <w:tcW w:type="dxa" w:w="777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Identity or role of the reviewer who made the override</w:t>
            </w:r>
          </w:p>
        </w:tc>
      </w:tr>
      <w:tr>
        <w:tc>
          <w:tcPr>
            <w:tcW w:type="dxa" w:w="3168"/>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Date of Review</w:t>
            </w:r>
          </w:p>
        </w:tc>
        <w:tc>
          <w:tcPr>
            <w:tcW w:type="dxa" w:w="7776"/>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Date the override decision was made</w:t>
            </w:r>
          </w:p>
        </w:tc>
      </w:tr>
      <w:tr>
        <w:tc>
          <w:tcPr>
            <w:tcW w:type="dxa" w:w="3168"/>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Escalation Required</w:t>
            </w:r>
          </w:p>
        </w:tc>
        <w:tc>
          <w:tcPr>
            <w:tcW w:type="dxa" w:w="777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Whether the case was escalated and to whom</w:t>
            </w:r>
          </w:p>
        </w:tc>
      </w:tr>
    </w:tbl>
    <w:p>
      <w:pPr>
        <w:spacing w:before="0" w:after="160"/>
      </w:pPr>
    </w:p>
    <w:p>
      <w:pPr>
        <w:spacing w:before="280" w:after="100"/>
        <w:shd w:val="clear" w:color="auto" w:fill="1A335C"/>
      </w:pPr>
      <w:r>
        <w:rPr>
          <w:rFonts w:ascii="Calibri" w:hAnsi="Calibri"/>
          <w:b/>
          <w:i w:val="0"/>
          <w:color w:val="FFFFFF"/>
          <w:sz w:val="24"/>
        </w:rPr>
        <w:t xml:space="preserve">  9.  APPLICANT APPEAL AND RECONSIDERATION PROCESS</w:t>
      </w:r>
    </w:p>
    <w:p>
      <w:pPr>
        <w:spacing w:before="80" w:after="100"/>
        <w:ind w:left="0"/>
      </w:pPr>
      <w:r>
        <w:rPr>
          <w:rFonts w:ascii="Calibri" w:hAnsi="Calibri"/>
          <w:b w:val="0"/>
          <w:i w:val="0"/>
          <w:color w:val="1A1A1A"/>
          <w:sz w:val="20"/>
        </w:rPr>
        <w:t>Applicants who receive an automated denial must have a clear and accessible path to request reconsideration. Appeals must not be reviewed solely by the same automated model that produced the original denial.</w:t>
      </w:r>
    </w:p>
    <w:tbl>
      <w:tblPr>
        <w:tblStyle w:val="TableGrid"/>
        <w:tblW w:type="auto" w:w="0"/>
        <w:jc w:val="left"/>
        <w:tblLook w:firstColumn="1" w:firstRow="1" w:lastColumn="0" w:lastRow="0" w:noHBand="0" w:noVBand="1" w:val="04A0"/>
      </w:tblPr>
      <w:tblGrid>
        <w:gridCol w:w="4824"/>
        <w:gridCol w:w="4824"/>
      </w:tblGrid>
      <w:tr>
        <w:tc>
          <w:tcPr>
            <w:tcW w:type="dxa" w:w="2880"/>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Step</w:t>
            </w:r>
          </w:p>
        </w:tc>
        <w:tc>
          <w:tcPr>
            <w:tcW w:type="dxa" w:w="8064"/>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Action</w:t>
            </w:r>
          </w:p>
        </w:tc>
      </w:tr>
      <w:tr>
        <w:tc>
          <w:tcPr>
            <w:tcW w:type="dxa" w:w="288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Step 1 — Denial Notice</w:t>
            </w:r>
          </w:p>
        </w:tc>
        <w:tc>
          <w:tcPr>
            <w:tcW w:type="dxa" w:w="806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Applicant receives a denial notice containing understandable reason codes that explain the basis for the decision</w:t>
            </w:r>
          </w:p>
        </w:tc>
      </w:tr>
      <w:tr>
        <w:tc>
          <w:tcPr>
            <w:tcW w:type="dxa" w:w="288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Step 2 — Appeal Rights Communication</w:t>
            </w:r>
          </w:p>
        </w:tc>
        <w:tc>
          <w:tcPr>
            <w:tcW w:type="dxa" w:w="806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Applicant is informed that reconsideration may be requested and is provided with clear instructions for doing so</w:t>
            </w:r>
          </w:p>
        </w:tc>
      </w:tr>
      <w:tr>
        <w:tc>
          <w:tcPr>
            <w:tcW w:type="dxa" w:w="288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Step 3 — Submission of Additional Information</w:t>
            </w:r>
          </w:p>
        </w:tc>
        <w:tc>
          <w:tcPr>
            <w:tcW w:type="dxa" w:w="806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Applicant may submit additional documentation, corrected information, or a written explanation</w:t>
            </w:r>
          </w:p>
        </w:tc>
      </w:tr>
      <w:tr>
        <w:tc>
          <w:tcPr>
            <w:tcW w:type="dxa" w:w="288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Step 4 — Human Review Assignment</w:t>
            </w:r>
          </w:p>
        </w:tc>
        <w:tc>
          <w:tcPr>
            <w:tcW w:type="dxa" w:w="806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The appeal is routed to a trained human underwriter who was not involved in the original automated decision</w:t>
            </w:r>
          </w:p>
        </w:tc>
      </w:tr>
      <w:tr>
        <w:tc>
          <w:tcPr>
            <w:tcW w:type="dxa" w:w="288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Step 5 — Independent Review</w:t>
            </w:r>
          </w:p>
        </w:tc>
        <w:tc>
          <w:tcPr>
            <w:tcW w:type="dxa" w:w="806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Human underwriter reviews the original AI output, reason codes, application data, and any new information provided</w:t>
            </w:r>
          </w:p>
        </w:tc>
      </w:tr>
      <w:tr>
        <w:tc>
          <w:tcPr>
            <w:tcW w:type="dxa" w:w="288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Step 6 — Decision</w:t>
            </w:r>
          </w:p>
        </w:tc>
        <w:tc>
          <w:tcPr>
            <w:tcW w:type="dxa" w:w="806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Human underwriter determines whether to uphold, reverse, or escalate the decision based on independent judgment</w:t>
            </w:r>
          </w:p>
        </w:tc>
      </w:tr>
      <w:tr>
        <w:tc>
          <w:tcPr>
            <w:tcW w:type="dxa" w:w="288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Step 7 — Documentation</w:t>
            </w:r>
          </w:p>
        </w:tc>
        <w:tc>
          <w:tcPr>
            <w:tcW w:type="dxa" w:w="806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Final decision and rationale are documented, including the basis for upholding or reversing the original outcome</w:t>
            </w:r>
          </w:p>
        </w:tc>
      </w:tr>
      <w:tr>
        <w:tc>
          <w:tcPr>
            <w:tcW w:type="dxa" w:w="288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Step 8 — Monitoring</w:t>
            </w:r>
          </w:p>
        </w:tc>
        <w:tc>
          <w:tcPr>
            <w:tcW w:type="dxa" w:w="806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Appeal outcomes are included in monitoring reports and reviewed for patterns that may indicate systemic issues</w:t>
            </w:r>
          </w:p>
        </w:tc>
      </w:tr>
    </w:tbl>
    <w:p>
      <w:pPr>
        <w:spacing w:before="0" w:after="160"/>
      </w:pPr>
    </w:p>
    <w:p>
      <w:pPr>
        <w:spacing w:before="280" w:after="100"/>
        <w:shd w:val="clear" w:color="auto" w:fill="1A335C"/>
      </w:pPr>
      <w:r>
        <w:rPr>
          <w:rFonts w:ascii="Calibri" w:hAnsi="Calibri"/>
          <w:b/>
          <w:i w:val="0"/>
          <w:color w:val="FFFFFF"/>
          <w:sz w:val="24"/>
        </w:rPr>
        <w:t xml:space="preserve">  10.  ADVERSE ACTION AND REASON CODE REVIEW</w:t>
      </w:r>
    </w:p>
    <w:p>
      <w:pPr>
        <w:spacing w:before="80" w:after="80"/>
        <w:ind w:left="0"/>
      </w:pPr>
      <w:r>
        <w:rPr>
          <w:rFonts w:ascii="Calibri" w:hAnsi="Calibri"/>
          <w:b w:val="0"/>
          <w:i w:val="0"/>
          <w:color w:val="1A1A1A"/>
          <w:sz w:val="20"/>
        </w:rPr>
        <w:t>Automated denials must be supported by reason codes that meet the following quality standards. Reason codes are required to support adverse action communication, applicant appeals, compliance review, and audit inquiries.</w:t>
      </w:r>
    </w:p>
    <w:tbl>
      <w:tblPr>
        <w:tblStyle w:val="TableGrid"/>
        <w:tblW w:type="auto" w:w="0"/>
        <w:jc w:val="left"/>
        <w:tblLook w:firstColumn="1" w:firstRow="1" w:lastColumn="0" w:lastRow="0" w:noHBand="0" w:noVBand="1" w:val="04A0"/>
      </w:tblPr>
      <w:tblGrid>
        <w:gridCol w:w="4824"/>
        <w:gridCol w:w="4824"/>
      </w:tblGrid>
      <w:tr>
        <w:tc>
          <w:tcPr>
            <w:tcW w:type="dxa" w:w="2592"/>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Standard</w:t>
            </w:r>
          </w:p>
        </w:tc>
        <w:tc>
          <w:tcPr>
            <w:tcW w:type="dxa" w:w="8352"/>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Requirement</w:t>
            </w:r>
          </w:p>
        </w:tc>
      </w:tr>
      <w:tr>
        <w:tc>
          <w:tcPr>
            <w:tcW w:type="dxa" w:w="2592"/>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Accurate</w:t>
            </w:r>
          </w:p>
        </w:tc>
        <w:tc>
          <w:tcPr>
            <w:tcW w:type="dxa" w:w="8352"/>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Reason codes must correctly reflect the factors that drove the model's decision</w:t>
            </w:r>
          </w:p>
        </w:tc>
      </w:tr>
      <w:tr>
        <w:tc>
          <w:tcPr>
            <w:tcW w:type="dxa" w:w="2592"/>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Specific</w:t>
            </w:r>
          </w:p>
        </w:tc>
        <w:tc>
          <w:tcPr>
            <w:tcW w:type="dxa" w:w="8352"/>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Reason codes must be specific enough to support applicant understanding and appeal</w:t>
            </w:r>
          </w:p>
        </w:tc>
      </w:tr>
      <w:tr>
        <w:tc>
          <w:tcPr>
            <w:tcW w:type="dxa" w:w="2592"/>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Understandable</w:t>
            </w:r>
          </w:p>
        </w:tc>
        <w:tc>
          <w:tcPr>
            <w:tcW w:type="dxa" w:w="8352"/>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Reason codes must be written in plain language accessible to applicants</w:t>
            </w:r>
          </w:p>
        </w:tc>
      </w:tr>
      <w:tr>
        <w:tc>
          <w:tcPr>
            <w:tcW w:type="dxa" w:w="2592"/>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Consistent</w:t>
            </w:r>
          </w:p>
        </w:tc>
        <w:tc>
          <w:tcPr>
            <w:tcW w:type="dxa" w:w="8352"/>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Reason codes must be consistent with the underlying application facts</w:t>
            </w:r>
          </w:p>
        </w:tc>
      </w:tr>
      <w:tr>
        <w:tc>
          <w:tcPr>
            <w:tcW w:type="dxa" w:w="2592"/>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Reviewable</w:t>
            </w:r>
          </w:p>
        </w:tc>
        <w:tc>
          <w:tcPr>
            <w:tcW w:type="dxa" w:w="8352"/>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Human underwriters must be able to review and validate reason codes</w:t>
            </w:r>
          </w:p>
        </w:tc>
      </w:tr>
      <w:tr>
        <w:tc>
          <w:tcPr>
            <w:tcW w:type="dxa" w:w="2592"/>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Communicable</w:t>
            </w:r>
          </w:p>
        </w:tc>
        <w:tc>
          <w:tcPr>
            <w:tcW w:type="dxa" w:w="8352"/>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Reason codes must be usable for applicant communication and adverse action notices</w:t>
            </w:r>
          </w:p>
        </w:tc>
      </w:tr>
      <w:tr>
        <w:tc>
          <w:tcPr>
            <w:tcW w:type="dxa" w:w="2592"/>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Auditable</w:t>
            </w:r>
          </w:p>
        </w:tc>
        <w:tc>
          <w:tcPr>
            <w:tcW w:type="dxa" w:w="8352"/>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Reason codes must be supportable during compliance or regulatory audit review</w:t>
            </w:r>
          </w:p>
        </w:tc>
      </w:tr>
    </w:tbl>
    <w:p>
      <w:pPr>
        <w:spacing w:before="0" w:after="80"/>
      </w:pPr>
    </w:p>
    <w:p>
      <w:pPr>
        <w:spacing w:before="80" w:after="160"/>
        <w:ind w:left="144" w:right="144"/>
        <w:shd w:val="clear" w:color="auto" w:fill="FDECEA"/>
      </w:pPr>
      <w:r>
        <w:rPr>
          <w:rFonts w:ascii="Calibri" w:hAnsi="Calibri"/>
          <w:b/>
          <w:i w:val="0"/>
          <w:color w:val="C00000"/>
          <w:sz w:val="20"/>
        </w:rPr>
        <w:t xml:space="preserve">  Production Gate: </w:t>
      </w:r>
      <w:r>
        <w:rPr>
          <w:rFonts w:ascii="Calibri" w:hAnsi="Calibri"/>
          <w:b w:val="0"/>
          <w:i w:val="0"/>
          <w:color w:val="1A1A1A"/>
          <w:sz w:val="20"/>
        </w:rPr>
        <w:t>If reason codes are missing, generic, contradictory, or inconsistent with the model output, the decision must be routed to human review. Production must be delayed if reason codes cannot support adverse action communication and appeal review.</w:t>
      </w:r>
    </w:p>
    <w:p>
      <w:pPr>
        <w:spacing w:before="280" w:after="100"/>
        <w:shd w:val="clear" w:color="auto" w:fill="1A335C"/>
      </w:pPr>
      <w:r>
        <w:rPr>
          <w:rFonts w:ascii="Calibri" w:hAnsi="Calibri"/>
          <w:b/>
          <w:i w:val="0"/>
          <w:color w:val="FFFFFF"/>
          <w:sz w:val="24"/>
        </w:rPr>
        <w:t xml:space="preserve">  11.  SAMPLING AND QUALITY REVIEW</w:t>
      </w:r>
    </w:p>
    <w:p>
      <w:pPr>
        <w:spacing w:before="80" w:after="100"/>
        <w:ind w:left="0"/>
      </w:pPr>
      <w:r>
        <w:rPr>
          <w:rFonts w:ascii="Calibri" w:hAnsi="Calibri"/>
          <w:b w:val="0"/>
          <w:i w:val="0"/>
          <w:color w:val="1A1A1A"/>
          <w:sz w:val="20"/>
        </w:rPr>
        <w:t>Meridian must sample automated decisions on a regular basis to confirm the system is operating as intended. Sampling results must be reviewed by Credit Risk, Compliance, Model Risk, and AI Governance.</w:t>
      </w:r>
    </w:p>
    <w:p>
      <w:pPr>
        <w:spacing w:before="160" w:after="60"/>
        <w:pBdr>
          <w:bottom w:val="single" w:sz="8" w:space="1" w:color="1F5C99"/>
        </w:pBdr>
      </w:pPr>
      <w:r>
        <w:rPr>
          <w:rFonts w:ascii="Calibri" w:hAnsi="Calibri"/>
          <w:b/>
          <w:i w:val="0"/>
          <w:color w:val="1F5C99"/>
          <w:sz w:val="22"/>
        </w:rPr>
        <w:t>Sampling Coverage</w:t>
      </w:r>
    </w:p>
    <w:p>
      <w:pPr>
        <w:spacing w:before="40" w:after="60"/>
        <w:ind w:left="0"/>
      </w:pPr>
      <w:r>
        <w:rPr>
          <w:rFonts w:ascii="Calibri" w:hAnsi="Calibri"/>
          <w:b w:val="0"/>
          <w:i w:val="0"/>
          <w:color w:val="1A1A1A"/>
          <w:sz w:val="20"/>
        </w:rPr>
        <w:t>Sampling must include the following decision types:</w:t>
      </w:r>
    </w:p>
    <w:p>
      <w:pPr>
        <w:pStyle w:val="ListBullet"/>
        <w:spacing w:before="20" w:after="20"/>
        <w:ind w:left="360"/>
      </w:pPr>
      <w:r>
        <w:rPr>
          <w:rFonts w:ascii="Calibri" w:hAnsi="Calibri"/>
          <w:b w:val="0"/>
          <w:i w:val="0"/>
          <w:color w:val="1A1A1A"/>
          <w:sz w:val="20"/>
        </w:rPr>
        <w:t>Auto-approved applications</w:t>
      </w:r>
    </w:p>
    <w:p>
      <w:pPr>
        <w:pStyle w:val="ListBullet"/>
        <w:spacing w:before="20" w:after="20"/>
        <w:ind w:left="360"/>
      </w:pPr>
      <w:r>
        <w:rPr>
          <w:rFonts w:ascii="Calibri" w:hAnsi="Calibri"/>
          <w:b w:val="0"/>
          <w:i w:val="0"/>
          <w:color w:val="1A1A1A"/>
          <w:sz w:val="20"/>
        </w:rPr>
        <w:t>Auto-denied applications</w:t>
      </w:r>
    </w:p>
    <w:p>
      <w:pPr>
        <w:pStyle w:val="ListBullet"/>
        <w:spacing w:before="20" w:after="20"/>
        <w:ind w:left="360"/>
      </w:pPr>
      <w:r>
        <w:rPr>
          <w:rFonts w:ascii="Calibri" w:hAnsi="Calibri"/>
          <w:b w:val="0"/>
          <w:i w:val="0"/>
          <w:color w:val="1A1A1A"/>
          <w:sz w:val="20"/>
        </w:rPr>
        <w:t>Borderline approvals and borderline denials</w:t>
      </w:r>
    </w:p>
    <w:p>
      <w:pPr>
        <w:pStyle w:val="ListBullet"/>
        <w:spacing w:before="20" w:after="20"/>
        <w:ind w:left="360"/>
      </w:pPr>
      <w:r>
        <w:rPr>
          <w:rFonts w:ascii="Calibri" w:hAnsi="Calibri"/>
          <w:b w:val="0"/>
          <w:i w:val="0"/>
          <w:color w:val="1A1A1A"/>
          <w:sz w:val="20"/>
        </w:rPr>
        <w:t>High-confidence denials</w:t>
      </w:r>
    </w:p>
    <w:p>
      <w:pPr>
        <w:pStyle w:val="ListBullet"/>
        <w:spacing w:before="20" w:after="20"/>
        <w:ind w:left="360"/>
      </w:pPr>
      <w:r>
        <w:rPr>
          <w:rFonts w:ascii="Calibri" w:hAnsi="Calibri"/>
          <w:b w:val="0"/>
          <w:i w:val="0"/>
          <w:color w:val="1A1A1A"/>
          <w:sz w:val="20"/>
        </w:rPr>
        <w:t>Low-confidence decisions</w:t>
      </w:r>
    </w:p>
    <w:p>
      <w:pPr>
        <w:pStyle w:val="ListBullet"/>
        <w:spacing w:before="20" w:after="20"/>
        <w:ind w:left="360"/>
      </w:pPr>
      <w:r>
        <w:rPr>
          <w:rFonts w:ascii="Calibri" w:hAnsi="Calibri"/>
          <w:b w:val="0"/>
          <w:i w:val="0"/>
          <w:color w:val="1A1A1A"/>
          <w:sz w:val="20"/>
        </w:rPr>
        <w:t>Applications from higher-risk segments</w:t>
      </w:r>
    </w:p>
    <w:p>
      <w:pPr>
        <w:pStyle w:val="ListBullet"/>
        <w:spacing w:before="20" w:after="20"/>
        <w:ind w:left="360"/>
      </w:pPr>
      <w:r>
        <w:rPr>
          <w:rFonts w:ascii="Calibri" w:hAnsi="Calibri"/>
          <w:b w:val="0"/>
          <w:i w:val="0"/>
          <w:color w:val="1A1A1A"/>
          <w:sz w:val="20"/>
        </w:rPr>
        <w:t>Applications with unusual reason code patterns</w:t>
      </w:r>
    </w:p>
    <w:p>
      <w:pPr>
        <w:pStyle w:val="ListBullet"/>
        <w:spacing w:before="20" w:after="20"/>
        <w:ind w:left="360"/>
      </w:pPr>
      <w:r>
        <w:rPr>
          <w:rFonts w:ascii="Calibri" w:hAnsi="Calibri"/>
          <w:b w:val="0"/>
          <w:i w:val="0"/>
          <w:color w:val="1A1A1A"/>
          <w:sz w:val="20"/>
        </w:rPr>
        <w:t>Appeals and overturned decisions</w:t>
      </w:r>
    </w:p>
    <w:p>
      <w:pPr>
        <w:spacing w:before="0" w:after="80"/>
      </w:pPr>
    </w:p>
    <w:p>
      <w:pPr>
        <w:spacing w:before="160" w:after="60"/>
        <w:pBdr>
          <w:bottom w:val="single" w:sz="8" w:space="1" w:color="1F5C99"/>
        </w:pBdr>
      </w:pPr>
      <w:r>
        <w:rPr>
          <w:rFonts w:ascii="Calibri" w:hAnsi="Calibri"/>
          <w:b/>
          <w:i w:val="0"/>
          <w:color w:val="1F5C99"/>
          <w:sz w:val="22"/>
        </w:rPr>
        <w:t>Sampling Assessment Areas</w:t>
      </w:r>
    </w:p>
    <w:p>
      <w:pPr>
        <w:spacing w:before="40" w:after="60"/>
        <w:ind w:left="0"/>
      </w:pPr>
      <w:r>
        <w:rPr>
          <w:rFonts w:ascii="Calibri" w:hAnsi="Calibri"/>
          <w:b w:val="0"/>
          <w:i w:val="0"/>
          <w:color w:val="1A1A1A"/>
          <w:sz w:val="20"/>
        </w:rPr>
        <w:t>Each sampled case must be assessed for:</w:t>
      </w:r>
    </w:p>
    <w:p>
      <w:pPr>
        <w:pStyle w:val="ListBullet"/>
        <w:spacing w:before="20" w:after="20"/>
        <w:ind w:left="360"/>
      </w:pPr>
      <w:r>
        <w:rPr>
          <w:rFonts w:ascii="Calibri" w:hAnsi="Calibri"/>
          <w:b w:val="0"/>
          <w:i w:val="0"/>
          <w:color w:val="1A1A1A"/>
          <w:sz w:val="20"/>
        </w:rPr>
        <w:t>Decision accuracy and consistency with underwriting policy</w:t>
      </w:r>
    </w:p>
    <w:p>
      <w:pPr>
        <w:pStyle w:val="ListBullet"/>
        <w:spacing w:before="20" w:after="20"/>
        <w:ind w:left="360"/>
      </w:pPr>
      <w:r>
        <w:rPr>
          <w:rFonts w:ascii="Calibri" w:hAnsi="Calibri"/>
          <w:b w:val="0"/>
          <w:i w:val="0"/>
          <w:color w:val="1A1A1A"/>
          <w:sz w:val="20"/>
        </w:rPr>
        <w:t>Reason code quality and accuracy</w:t>
      </w:r>
    </w:p>
    <w:p>
      <w:pPr>
        <w:pStyle w:val="ListBullet"/>
        <w:spacing w:before="20" w:after="20"/>
        <w:ind w:left="360"/>
      </w:pPr>
      <w:r>
        <w:rPr>
          <w:rFonts w:ascii="Calibri" w:hAnsi="Calibri"/>
          <w:b w:val="0"/>
          <w:i w:val="0"/>
          <w:color w:val="1A1A1A"/>
          <w:sz w:val="20"/>
        </w:rPr>
        <w:t>Fairness concerns and potential disparate impact</w:t>
      </w:r>
    </w:p>
    <w:p>
      <w:pPr>
        <w:pStyle w:val="ListBullet"/>
        <w:spacing w:before="20" w:after="20"/>
        <w:ind w:left="360"/>
      </w:pPr>
      <w:r>
        <w:rPr>
          <w:rFonts w:ascii="Calibri" w:hAnsi="Calibri"/>
          <w:b w:val="0"/>
          <w:i w:val="0"/>
          <w:color w:val="1A1A1A"/>
          <w:sz w:val="20"/>
        </w:rPr>
        <w:t>Data quality issues that may have affected the decision</w:t>
      </w:r>
    </w:p>
    <w:p>
      <w:pPr>
        <w:pStyle w:val="ListBullet"/>
        <w:spacing w:before="20" w:after="20"/>
        <w:ind w:left="360"/>
      </w:pPr>
      <w:r>
        <w:rPr>
          <w:rFonts w:ascii="Calibri" w:hAnsi="Calibri"/>
          <w:b w:val="0"/>
          <w:i w:val="0"/>
          <w:color w:val="1A1A1A"/>
          <w:sz w:val="20"/>
        </w:rPr>
        <w:t>Reviewer override patterns and rationale</w:t>
      </w:r>
    </w:p>
    <w:p>
      <w:pPr>
        <w:pStyle w:val="ListBullet"/>
        <w:spacing w:before="20" w:after="20"/>
        <w:ind w:left="360"/>
      </w:pPr>
      <w:r>
        <w:rPr>
          <w:rFonts w:ascii="Calibri" w:hAnsi="Calibri"/>
          <w:b w:val="0"/>
          <w:i w:val="0"/>
          <w:color w:val="1A1A1A"/>
          <w:sz w:val="20"/>
        </w:rPr>
        <w:t>Applicant harm indicators</w:t>
      </w:r>
    </w:p>
    <w:p>
      <w:pPr>
        <w:spacing w:before="0" w:after="120"/>
      </w:pPr>
    </w:p>
    <w:p>
      <w:pPr>
        <w:spacing w:before="280" w:after="100"/>
        <w:shd w:val="clear" w:color="auto" w:fill="1A335C"/>
      </w:pPr>
      <w:r>
        <w:rPr>
          <w:rFonts w:ascii="Calibri" w:hAnsi="Calibri"/>
          <w:b/>
          <w:i w:val="0"/>
          <w:color w:val="FFFFFF"/>
          <w:sz w:val="24"/>
        </w:rPr>
        <w:t xml:space="preserve">  12.  ESCALATION CRITERIA</w:t>
      </w:r>
    </w:p>
    <w:p>
      <w:pPr>
        <w:spacing w:before="80" w:after="80"/>
        <w:ind w:left="0"/>
      </w:pPr>
      <w:r>
        <w:rPr>
          <w:rFonts w:ascii="Calibri" w:hAnsi="Calibri"/>
          <w:b w:val="0"/>
          <w:i w:val="0"/>
          <w:color w:val="1A1A1A"/>
          <w:sz w:val="20"/>
        </w:rPr>
        <w:t>Issues must be escalated to the AI Governance Lead, Compliance Reviewer, Model Risk Reviewer, Credit Risk Owner, and Executive Approver as appropriate when any of the following conditions are present.</w:t>
      </w:r>
    </w:p>
    <w:p>
      <w:pPr>
        <w:pStyle w:val="ListBullet"/>
        <w:spacing w:before="20" w:after="20"/>
        <w:ind w:left="360"/>
      </w:pPr>
      <w:r>
        <w:rPr>
          <w:rFonts w:ascii="Calibri" w:hAnsi="Calibri"/>
          <w:b w:val="0"/>
          <w:i w:val="0"/>
          <w:color w:val="856004"/>
          <w:sz w:val="20"/>
        </w:rPr>
        <w:t>Fairness testing identifies material disparities in approval or denial outcomes</w:t>
      </w:r>
    </w:p>
    <w:p>
      <w:pPr>
        <w:pStyle w:val="ListBullet"/>
        <w:spacing w:before="20" w:after="20"/>
        <w:ind w:left="360"/>
      </w:pPr>
      <w:r>
        <w:rPr>
          <w:rFonts w:ascii="Calibri" w:hAnsi="Calibri"/>
          <w:b w:val="0"/>
          <w:i w:val="0"/>
          <w:color w:val="856004"/>
          <w:sz w:val="20"/>
        </w:rPr>
        <w:t>Approval or denial rates diverge materially by applicant segment</w:t>
      </w:r>
    </w:p>
    <w:p>
      <w:pPr>
        <w:pStyle w:val="ListBullet"/>
        <w:spacing w:before="20" w:after="20"/>
        <w:ind w:left="360"/>
      </w:pPr>
      <w:r>
        <w:rPr>
          <w:rFonts w:ascii="Calibri" w:hAnsi="Calibri"/>
          <w:b w:val="0"/>
          <w:i w:val="0"/>
          <w:color w:val="856004"/>
          <w:sz w:val="20"/>
        </w:rPr>
        <w:t>Appeal rates increase above the approved monitoring threshold</w:t>
      </w:r>
    </w:p>
    <w:p>
      <w:pPr>
        <w:pStyle w:val="ListBullet"/>
        <w:spacing w:before="20" w:after="20"/>
        <w:ind w:left="360"/>
      </w:pPr>
      <w:r>
        <w:rPr>
          <w:rFonts w:ascii="Calibri" w:hAnsi="Calibri"/>
          <w:b w:val="0"/>
          <w:i w:val="0"/>
          <w:color w:val="856004"/>
          <w:sz w:val="20"/>
        </w:rPr>
        <w:t>Appeal reversal rates increase above the approved threshold</w:t>
      </w:r>
    </w:p>
    <w:p>
      <w:pPr>
        <w:pStyle w:val="ListBullet"/>
        <w:spacing w:before="20" w:after="20"/>
        <w:ind w:left="360"/>
      </w:pPr>
      <w:r>
        <w:rPr>
          <w:rFonts w:ascii="Calibri" w:hAnsi="Calibri"/>
          <w:b w:val="0"/>
          <w:i w:val="0"/>
          <w:color w:val="856004"/>
          <w:sz w:val="20"/>
        </w:rPr>
        <w:t>Complaint volume increases materially</w:t>
      </w:r>
    </w:p>
    <w:p>
      <w:pPr>
        <w:pStyle w:val="ListBullet"/>
        <w:spacing w:before="20" w:after="20"/>
        <w:ind w:left="360"/>
      </w:pPr>
      <w:r>
        <w:rPr>
          <w:rFonts w:ascii="Calibri" w:hAnsi="Calibri"/>
          <w:b w:val="0"/>
          <w:i w:val="0"/>
          <w:color w:val="856004"/>
          <w:sz w:val="20"/>
        </w:rPr>
        <w:t>Reason code errors are identified in sampling or review</w:t>
      </w:r>
    </w:p>
    <w:p>
      <w:pPr>
        <w:pStyle w:val="ListBullet"/>
        <w:spacing w:before="20" w:after="20"/>
        <w:ind w:left="360"/>
      </w:pPr>
      <w:r>
        <w:rPr>
          <w:rFonts w:ascii="Calibri" w:hAnsi="Calibri"/>
          <w:b w:val="0"/>
          <w:i w:val="0"/>
          <w:color w:val="856004"/>
          <w:sz w:val="20"/>
        </w:rPr>
        <w:t>Model drift is detected</w:t>
      </w:r>
    </w:p>
    <w:p>
      <w:pPr>
        <w:pStyle w:val="ListBullet"/>
        <w:spacing w:before="20" w:after="20"/>
        <w:ind w:left="360"/>
      </w:pPr>
      <w:r>
        <w:rPr>
          <w:rFonts w:ascii="Calibri" w:hAnsi="Calibri"/>
          <w:b w:val="0"/>
          <w:i w:val="0"/>
          <w:color w:val="856004"/>
          <w:sz w:val="20"/>
        </w:rPr>
        <w:t>Vendor model changes affect decision behavior</w:t>
      </w:r>
    </w:p>
    <w:p>
      <w:pPr>
        <w:pStyle w:val="ListBullet"/>
        <w:spacing w:before="20" w:after="20"/>
        <w:ind w:left="360"/>
      </w:pPr>
      <w:r>
        <w:rPr>
          <w:rFonts w:ascii="Calibri" w:hAnsi="Calibri"/>
          <w:b w:val="0"/>
          <w:i w:val="0"/>
          <w:color w:val="856004"/>
          <w:sz w:val="20"/>
        </w:rPr>
        <w:t>Security or API incidents occur</w:t>
      </w:r>
    </w:p>
    <w:p>
      <w:pPr>
        <w:pStyle w:val="ListBullet"/>
        <w:spacing w:before="20" w:after="20"/>
        <w:ind w:left="360"/>
      </w:pPr>
      <w:r>
        <w:rPr>
          <w:rFonts w:ascii="Calibri" w:hAnsi="Calibri"/>
          <w:b w:val="0"/>
          <w:i w:val="0"/>
          <w:color w:val="856004"/>
          <w:sz w:val="20"/>
        </w:rPr>
        <w:t>Human reviewers report systematic decision issues</w:t>
      </w:r>
    </w:p>
    <w:p>
      <w:pPr>
        <w:pStyle w:val="ListBullet"/>
        <w:spacing w:before="20" w:after="20"/>
        <w:ind w:left="360"/>
      </w:pPr>
      <w:r>
        <w:rPr>
          <w:rFonts w:ascii="Calibri" w:hAnsi="Calibri"/>
          <w:b w:val="0"/>
          <w:i w:val="0"/>
          <w:color w:val="856004"/>
          <w:sz w:val="20"/>
        </w:rPr>
        <w:t>Automated denials appear inconsistent with approved underwriting policy</w:t>
      </w:r>
    </w:p>
    <w:p>
      <w:pPr>
        <w:spacing w:before="0" w:after="120"/>
      </w:pPr>
    </w:p>
    <w:p>
      <w:pPr>
        <w:spacing w:before="280" w:after="100"/>
        <w:shd w:val="clear" w:color="auto" w:fill="1A335C"/>
      </w:pPr>
      <w:r>
        <w:rPr>
          <w:rFonts w:ascii="Calibri" w:hAnsi="Calibri"/>
          <w:b/>
          <w:i w:val="0"/>
          <w:color w:val="FFFFFF"/>
          <w:sz w:val="24"/>
        </w:rPr>
        <w:t xml:space="preserve">  13.  PAUSE CRITERIA</w:t>
      </w:r>
    </w:p>
    <w:p>
      <w:pPr>
        <w:spacing w:before="80" w:after="80"/>
        <w:ind w:left="0"/>
      </w:pPr>
      <w:r>
        <w:rPr>
          <w:rFonts w:ascii="Calibri" w:hAnsi="Calibri"/>
          <w:b w:val="0"/>
          <w:i w:val="0"/>
          <w:color w:val="1A1A1A"/>
          <w:sz w:val="20"/>
        </w:rPr>
        <w:t>Automated decisioning must be paused or restricted when any of the following conditions are present. During a pause, applications must be routed to manual underwriting or another approved fallback process.</w:t>
      </w:r>
    </w:p>
    <w:tbl>
      <w:tblPr>
        <w:tblStyle w:val="TableGrid"/>
        <w:tblW w:type="auto" w:w="0"/>
        <w:jc w:val="left"/>
        <w:tblLook w:firstColumn="1" w:firstRow="1" w:lastColumn="0" w:lastRow="0" w:noHBand="0" w:noVBand="1" w:val="04A0"/>
      </w:tblPr>
      <w:tblGrid>
        <w:gridCol w:w="4824"/>
        <w:gridCol w:w="4824"/>
      </w:tblGrid>
      <w:tr>
        <w:tc>
          <w:tcPr>
            <w:tcW w:type="dxa" w:w="576"/>
            <w:shd w:val="clear" w:color="auto" w:fill="8B0000"/>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w:t>
            </w:r>
          </w:p>
        </w:tc>
        <w:tc>
          <w:tcPr>
            <w:tcW w:type="dxa" w:w="10368"/>
            <w:shd w:val="clear" w:color="auto" w:fill="8B0000"/>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Pause Trigger</w:t>
            </w:r>
          </w:p>
        </w:tc>
      </w:tr>
      <w:tr>
        <w:tc>
          <w:tcPr>
            <w:tcW w:type="dxa" w:w="576"/>
            <w:shd w:val="clear" w:color="auto" w:fill="FDECEA"/>
            <w:tcBorders>
              <w:top w:val="single" w:sz="4" w:color="B0C4D8"/>
              <w:left w:val="single" w:sz="4" w:color="B0C4D8"/>
              <w:bottom w:val="single" w:sz="4" w:color="B0C4D8"/>
              <w:right w:val="single" w:sz="4" w:color="B0C4D8"/>
            </w:tcBorders>
            <w:vAlign w:val="center"/>
          </w:tcPr>
          <w:p>
            <w:pPr>
              <w:spacing w:before="60" w:after="60"/>
              <w:ind w:left="101" w:right="58"/>
              <w:jc w:val="center"/>
            </w:pPr>
            <w:r>
              <w:rPr>
                <w:rFonts w:ascii="Calibri" w:hAnsi="Calibri"/>
                <w:b/>
                <w:i w:val="0"/>
                <w:color w:val="C00000"/>
                <w:sz w:val="18"/>
              </w:rPr>
              <w:t>1</w:t>
            </w:r>
          </w:p>
        </w:tc>
        <w:tc>
          <w:tcPr>
            <w:tcW w:type="dxa" w:w="1036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Serious fairness concerns are identified that cannot be immediately remediated</w:t>
            </w:r>
          </w:p>
        </w:tc>
      </w:tr>
      <w:tr>
        <w:tc>
          <w:tcPr>
            <w:tcW w:type="dxa" w:w="576"/>
            <w:shd w:val="clear" w:color="auto" w:fill="FEF3E2"/>
            <w:tcBorders>
              <w:top w:val="single" w:sz="4" w:color="B0C4D8"/>
              <w:left w:val="single" w:sz="4" w:color="B0C4D8"/>
              <w:bottom w:val="single" w:sz="4" w:color="B0C4D8"/>
              <w:right w:val="single" w:sz="4" w:color="B0C4D8"/>
            </w:tcBorders>
            <w:vAlign w:val="center"/>
          </w:tcPr>
          <w:p>
            <w:pPr>
              <w:spacing w:before="60" w:after="60"/>
              <w:ind w:left="101" w:right="58"/>
              <w:jc w:val="center"/>
            </w:pPr>
            <w:r>
              <w:rPr>
                <w:rFonts w:ascii="Calibri" w:hAnsi="Calibri"/>
                <w:b/>
                <w:i w:val="0"/>
                <w:color w:val="C00000"/>
                <w:sz w:val="18"/>
              </w:rPr>
              <w:t>2</w:t>
            </w:r>
          </w:p>
        </w:tc>
        <w:tc>
          <w:tcPr>
            <w:tcW w:type="dxa" w:w="1036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Reason codes cannot be validated or are found to be systematically inaccurate</w:t>
            </w:r>
          </w:p>
        </w:tc>
      </w:tr>
      <w:tr>
        <w:tc>
          <w:tcPr>
            <w:tcW w:type="dxa" w:w="576"/>
            <w:shd w:val="clear" w:color="auto" w:fill="FDECEA"/>
            <w:tcBorders>
              <w:top w:val="single" w:sz="4" w:color="B0C4D8"/>
              <w:left w:val="single" w:sz="4" w:color="B0C4D8"/>
              <w:bottom w:val="single" w:sz="4" w:color="B0C4D8"/>
              <w:right w:val="single" w:sz="4" w:color="B0C4D8"/>
            </w:tcBorders>
            <w:vAlign w:val="center"/>
          </w:tcPr>
          <w:p>
            <w:pPr>
              <w:spacing w:before="60" w:after="60"/>
              <w:ind w:left="101" w:right="58"/>
              <w:jc w:val="center"/>
            </w:pPr>
            <w:r>
              <w:rPr>
                <w:rFonts w:ascii="Calibri" w:hAnsi="Calibri"/>
                <w:b/>
                <w:i w:val="0"/>
                <w:color w:val="C00000"/>
                <w:sz w:val="18"/>
              </w:rPr>
              <w:t>3</w:t>
            </w:r>
          </w:p>
        </w:tc>
        <w:tc>
          <w:tcPr>
            <w:tcW w:type="dxa" w:w="1036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Model outputs become unstable or inconsistent</w:t>
            </w:r>
          </w:p>
        </w:tc>
      </w:tr>
      <w:tr>
        <w:tc>
          <w:tcPr>
            <w:tcW w:type="dxa" w:w="576"/>
            <w:shd w:val="clear" w:color="auto" w:fill="FEF3E2"/>
            <w:tcBorders>
              <w:top w:val="single" w:sz="4" w:color="B0C4D8"/>
              <w:left w:val="single" w:sz="4" w:color="B0C4D8"/>
              <w:bottom w:val="single" w:sz="4" w:color="B0C4D8"/>
              <w:right w:val="single" w:sz="4" w:color="B0C4D8"/>
            </w:tcBorders>
            <w:vAlign w:val="center"/>
          </w:tcPr>
          <w:p>
            <w:pPr>
              <w:spacing w:before="60" w:after="60"/>
              <w:ind w:left="101" w:right="58"/>
              <w:jc w:val="center"/>
            </w:pPr>
            <w:r>
              <w:rPr>
                <w:rFonts w:ascii="Calibri" w:hAnsi="Calibri"/>
                <w:b/>
                <w:i w:val="0"/>
                <w:color w:val="C00000"/>
                <w:sz w:val="18"/>
              </w:rPr>
              <w:t>4</w:t>
            </w:r>
          </w:p>
        </w:tc>
        <w:tc>
          <w:tcPr>
            <w:tcW w:type="dxa" w:w="1036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Monitoring thresholds are breached</w:t>
            </w:r>
          </w:p>
        </w:tc>
      </w:tr>
      <w:tr>
        <w:tc>
          <w:tcPr>
            <w:tcW w:type="dxa" w:w="576"/>
            <w:shd w:val="clear" w:color="auto" w:fill="FDECEA"/>
            <w:tcBorders>
              <w:top w:val="single" w:sz="4" w:color="B0C4D8"/>
              <w:left w:val="single" w:sz="4" w:color="B0C4D8"/>
              <w:bottom w:val="single" w:sz="4" w:color="B0C4D8"/>
              <w:right w:val="single" w:sz="4" w:color="B0C4D8"/>
            </w:tcBorders>
            <w:vAlign w:val="center"/>
          </w:tcPr>
          <w:p>
            <w:pPr>
              <w:spacing w:before="60" w:after="60"/>
              <w:ind w:left="101" w:right="58"/>
              <w:jc w:val="center"/>
            </w:pPr>
            <w:r>
              <w:rPr>
                <w:rFonts w:ascii="Calibri" w:hAnsi="Calibri"/>
                <w:b/>
                <w:i w:val="0"/>
                <w:color w:val="C00000"/>
                <w:sz w:val="18"/>
              </w:rPr>
              <w:t>5</w:t>
            </w:r>
          </w:p>
        </w:tc>
        <w:tc>
          <w:tcPr>
            <w:tcW w:type="dxa" w:w="1036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Vendor model changes are deployed without prior governance approval</w:t>
            </w:r>
          </w:p>
        </w:tc>
      </w:tr>
      <w:tr>
        <w:tc>
          <w:tcPr>
            <w:tcW w:type="dxa" w:w="576"/>
            <w:shd w:val="clear" w:color="auto" w:fill="FEF3E2"/>
            <w:tcBorders>
              <w:top w:val="single" w:sz="4" w:color="B0C4D8"/>
              <w:left w:val="single" w:sz="4" w:color="B0C4D8"/>
              <w:bottom w:val="single" w:sz="4" w:color="B0C4D8"/>
              <w:right w:val="single" w:sz="4" w:color="B0C4D8"/>
            </w:tcBorders>
            <w:vAlign w:val="center"/>
          </w:tcPr>
          <w:p>
            <w:pPr>
              <w:spacing w:before="60" w:after="60"/>
              <w:ind w:left="101" w:right="58"/>
              <w:jc w:val="center"/>
            </w:pPr>
            <w:r>
              <w:rPr>
                <w:rFonts w:ascii="Calibri" w:hAnsi="Calibri"/>
                <w:b/>
                <w:i w:val="0"/>
                <w:color w:val="C00000"/>
                <w:sz w:val="18"/>
              </w:rPr>
              <w:t>6</w:t>
            </w:r>
          </w:p>
        </w:tc>
        <w:tc>
          <w:tcPr>
            <w:tcW w:type="dxa" w:w="1036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Audit logging fails or is found to be incomplete</w:t>
            </w:r>
          </w:p>
        </w:tc>
      </w:tr>
      <w:tr>
        <w:tc>
          <w:tcPr>
            <w:tcW w:type="dxa" w:w="576"/>
            <w:shd w:val="clear" w:color="auto" w:fill="FDECEA"/>
            <w:tcBorders>
              <w:top w:val="single" w:sz="4" w:color="B0C4D8"/>
              <w:left w:val="single" w:sz="4" w:color="B0C4D8"/>
              <w:bottom w:val="single" w:sz="4" w:color="B0C4D8"/>
              <w:right w:val="single" w:sz="4" w:color="B0C4D8"/>
            </w:tcBorders>
            <w:vAlign w:val="center"/>
          </w:tcPr>
          <w:p>
            <w:pPr>
              <w:spacing w:before="60" w:after="60"/>
              <w:ind w:left="101" w:right="58"/>
              <w:jc w:val="center"/>
            </w:pPr>
            <w:r>
              <w:rPr>
                <w:rFonts w:ascii="Calibri" w:hAnsi="Calibri"/>
                <w:b/>
                <w:i w:val="0"/>
                <w:color w:val="C00000"/>
                <w:sz w:val="18"/>
              </w:rPr>
              <w:t>7</w:t>
            </w:r>
          </w:p>
        </w:tc>
        <w:tc>
          <w:tcPr>
            <w:tcW w:type="dxa" w:w="1036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Appeal or complaint rates spike above approved thresholds</w:t>
            </w:r>
          </w:p>
        </w:tc>
      </w:tr>
      <w:tr>
        <w:tc>
          <w:tcPr>
            <w:tcW w:type="dxa" w:w="576"/>
            <w:shd w:val="clear" w:color="auto" w:fill="FEF3E2"/>
            <w:tcBorders>
              <w:top w:val="single" w:sz="4" w:color="B0C4D8"/>
              <w:left w:val="single" w:sz="4" w:color="B0C4D8"/>
              <w:bottom w:val="single" w:sz="4" w:color="B0C4D8"/>
              <w:right w:val="single" w:sz="4" w:color="B0C4D8"/>
            </w:tcBorders>
            <w:vAlign w:val="center"/>
          </w:tcPr>
          <w:p>
            <w:pPr>
              <w:spacing w:before="60" w:after="60"/>
              <w:ind w:left="101" w:right="58"/>
              <w:jc w:val="center"/>
            </w:pPr>
            <w:r>
              <w:rPr>
                <w:rFonts w:ascii="Calibri" w:hAnsi="Calibri"/>
                <w:b/>
                <w:i w:val="0"/>
                <w:color w:val="C00000"/>
                <w:sz w:val="18"/>
              </w:rPr>
              <w:t>8</w:t>
            </w:r>
          </w:p>
        </w:tc>
        <w:tc>
          <w:tcPr>
            <w:tcW w:type="dxa" w:w="1036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Security or privacy incidents affect decision integrity</w:t>
            </w:r>
          </w:p>
        </w:tc>
      </w:tr>
      <w:tr>
        <w:tc>
          <w:tcPr>
            <w:tcW w:type="dxa" w:w="576"/>
            <w:shd w:val="clear" w:color="auto" w:fill="FDECEA"/>
            <w:tcBorders>
              <w:top w:val="single" w:sz="4" w:color="B0C4D8"/>
              <w:left w:val="single" w:sz="4" w:color="B0C4D8"/>
              <w:bottom w:val="single" w:sz="4" w:color="B0C4D8"/>
              <w:right w:val="single" w:sz="4" w:color="B0C4D8"/>
            </w:tcBorders>
            <w:vAlign w:val="center"/>
          </w:tcPr>
          <w:p>
            <w:pPr>
              <w:spacing w:before="60" w:after="60"/>
              <w:ind w:left="101" w:right="58"/>
              <w:jc w:val="center"/>
            </w:pPr>
            <w:r>
              <w:rPr>
                <w:rFonts w:ascii="Calibri" w:hAnsi="Calibri"/>
                <w:b/>
                <w:i w:val="0"/>
                <w:color w:val="C00000"/>
                <w:sz w:val="18"/>
              </w:rPr>
              <w:t>9</w:t>
            </w:r>
          </w:p>
        </w:tc>
        <w:tc>
          <w:tcPr>
            <w:tcW w:type="dxa" w:w="1036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Manual reviewers identify repeated and systematic decision errors</w:t>
            </w:r>
          </w:p>
        </w:tc>
      </w:tr>
      <w:tr>
        <w:tc>
          <w:tcPr>
            <w:tcW w:type="dxa" w:w="576"/>
            <w:shd w:val="clear" w:color="auto" w:fill="FEF3E2"/>
            <w:tcBorders>
              <w:top w:val="single" w:sz="4" w:color="B0C4D8"/>
              <w:left w:val="single" w:sz="4" w:color="B0C4D8"/>
              <w:bottom w:val="single" w:sz="4" w:color="B0C4D8"/>
              <w:right w:val="single" w:sz="4" w:color="B0C4D8"/>
            </w:tcBorders>
            <w:vAlign w:val="center"/>
          </w:tcPr>
          <w:p>
            <w:pPr>
              <w:spacing w:before="60" w:after="60"/>
              <w:ind w:left="101" w:right="58"/>
              <w:jc w:val="center"/>
            </w:pPr>
            <w:r>
              <w:rPr>
                <w:rFonts w:ascii="Calibri" w:hAnsi="Calibri"/>
                <w:b/>
                <w:i w:val="0"/>
                <w:color w:val="C00000"/>
                <w:sz w:val="18"/>
              </w:rPr>
              <w:t>10</w:t>
            </w:r>
          </w:p>
        </w:tc>
        <w:tc>
          <w:tcPr>
            <w:tcW w:type="dxa" w:w="1036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Required governance controls are not operating as intended</w:t>
            </w:r>
          </w:p>
        </w:tc>
      </w:tr>
    </w:tbl>
    <w:p>
      <w:pPr>
        <w:spacing w:before="0" w:after="160"/>
      </w:pPr>
    </w:p>
    <w:p>
      <w:pPr>
        <w:spacing w:before="280" w:after="100"/>
        <w:shd w:val="clear" w:color="auto" w:fill="1A335C"/>
      </w:pPr>
      <w:r>
        <w:rPr>
          <w:rFonts w:ascii="Calibri" w:hAnsi="Calibri"/>
          <w:b/>
          <w:i w:val="0"/>
          <w:color w:val="FFFFFF"/>
          <w:sz w:val="24"/>
        </w:rPr>
        <w:t xml:space="preserve">  14.  MONITORING METRICS</w:t>
      </w:r>
    </w:p>
    <w:p>
      <w:pPr>
        <w:spacing w:before="80" w:after="100"/>
        <w:ind w:left="0"/>
      </w:pPr>
      <w:r>
        <w:rPr>
          <w:rFonts w:ascii="Calibri" w:hAnsi="Calibri"/>
          <w:b w:val="0"/>
          <w:i w:val="0"/>
          <w:color w:val="1A1A1A"/>
          <w:sz w:val="20"/>
        </w:rPr>
        <w:t>The following metrics must be monitored on an ongoing basis. Monitoring must be active at launch, during pilot deployment, and throughout production use.</w:t>
      </w:r>
    </w:p>
    <w:tbl>
      <w:tblPr>
        <w:tblStyle w:val="TableGrid"/>
        <w:tblW w:type="auto" w:w="0"/>
        <w:jc w:val="left"/>
        <w:tblLook w:firstColumn="1" w:firstRow="1" w:lastColumn="0" w:lastRow="0" w:noHBand="0" w:noVBand="1" w:val="04A0"/>
      </w:tblPr>
      <w:tblGrid>
        <w:gridCol w:w="4824"/>
        <w:gridCol w:w="4824"/>
      </w:tblGrid>
      <w:tr>
        <w:tc>
          <w:tcPr>
            <w:tcW w:type="dxa" w:w="3312"/>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Metric</w:t>
            </w:r>
          </w:p>
        </w:tc>
        <w:tc>
          <w:tcPr>
            <w:tcW w:type="dxa" w:w="7632"/>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Purpose</w:t>
            </w:r>
          </w:p>
        </w:tc>
      </w:tr>
      <w:tr>
        <w:tc>
          <w:tcPr>
            <w:tcW w:type="dxa" w:w="3312"/>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Approval Rate</w:t>
            </w:r>
          </w:p>
        </w:tc>
        <w:tc>
          <w:tcPr>
            <w:tcW w:type="dxa" w:w="7632"/>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Detect shifts in approval behavior over time</w:t>
            </w:r>
          </w:p>
        </w:tc>
      </w:tr>
      <w:tr>
        <w:tc>
          <w:tcPr>
            <w:tcW w:type="dxa" w:w="3312"/>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Denial Rate</w:t>
            </w:r>
          </w:p>
        </w:tc>
        <w:tc>
          <w:tcPr>
            <w:tcW w:type="dxa" w:w="7632"/>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Detect potential applicant harm or disparate outcomes</w:t>
            </w:r>
          </w:p>
        </w:tc>
      </w:tr>
      <w:tr>
        <w:tc>
          <w:tcPr>
            <w:tcW w:type="dxa" w:w="3312"/>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Manual Review Rate</w:t>
            </w:r>
          </w:p>
        </w:tc>
        <w:tc>
          <w:tcPr>
            <w:tcW w:type="dxa" w:w="7632"/>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Confirm human review is occurring at appropriate levels</w:t>
            </w:r>
          </w:p>
        </w:tc>
      </w:tr>
      <w:tr>
        <w:tc>
          <w:tcPr>
            <w:tcW w:type="dxa" w:w="3312"/>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Appeal Rate</w:t>
            </w:r>
          </w:p>
        </w:tc>
        <w:tc>
          <w:tcPr>
            <w:tcW w:type="dxa" w:w="7632"/>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Monitor applicant challenge volume</w:t>
            </w:r>
          </w:p>
        </w:tc>
      </w:tr>
      <w:tr>
        <w:tc>
          <w:tcPr>
            <w:tcW w:type="dxa" w:w="3312"/>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Appeal Reversal Rate</w:t>
            </w:r>
          </w:p>
        </w:tc>
        <w:tc>
          <w:tcPr>
            <w:tcW w:type="dxa" w:w="7632"/>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Identify possible automated denial quality issues</w:t>
            </w:r>
          </w:p>
        </w:tc>
      </w:tr>
      <w:tr>
        <w:tc>
          <w:tcPr>
            <w:tcW w:type="dxa" w:w="3312"/>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Override Rate</w:t>
            </w:r>
          </w:p>
        </w:tc>
        <w:tc>
          <w:tcPr>
            <w:tcW w:type="dxa" w:w="7632"/>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Track human disagreement with AI outputs</w:t>
            </w:r>
          </w:p>
        </w:tc>
      </w:tr>
      <w:tr>
        <w:tc>
          <w:tcPr>
            <w:tcW w:type="dxa" w:w="3312"/>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Complaint Volume</w:t>
            </w:r>
          </w:p>
        </w:tc>
        <w:tc>
          <w:tcPr>
            <w:tcW w:type="dxa" w:w="7632"/>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Identify customer harm or process issues</w:t>
            </w:r>
          </w:p>
        </w:tc>
      </w:tr>
      <w:tr>
        <w:tc>
          <w:tcPr>
            <w:tcW w:type="dxa" w:w="3312"/>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Reason Code Error Rate</w:t>
            </w:r>
          </w:p>
        </w:tc>
        <w:tc>
          <w:tcPr>
            <w:tcW w:type="dxa" w:w="7632"/>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Monitor explainability quality and accuracy</w:t>
            </w:r>
          </w:p>
        </w:tc>
      </w:tr>
      <w:tr>
        <w:tc>
          <w:tcPr>
            <w:tcW w:type="dxa" w:w="3312"/>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Segment-Level Approval/Denial Rates</w:t>
            </w:r>
          </w:p>
        </w:tc>
        <w:tc>
          <w:tcPr>
            <w:tcW w:type="dxa" w:w="7632"/>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Identify potential fairness concerns across applicant groups</w:t>
            </w:r>
          </w:p>
        </w:tc>
      </w:tr>
      <w:tr>
        <w:tc>
          <w:tcPr>
            <w:tcW w:type="dxa" w:w="3312"/>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Model Confidence Distribution</w:t>
            </w:r>
          </w:p>
        </w:tc>
        <w:tc>
          <w:tcPr>
            <w:tcW w:type="dxa" w:w="7632"/>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Detect output uncertainty or model drift</w:t>
            </w:r>
          </w:p>
        </w:tc>
      </w:tr>
      <w:tr>
        <w:tc>
          <w:tcPr>
            <w:tcW w:type="dxa" w:w="3312"/>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Drift Indicators</w:t>
            </w:r>
          </w:p>
        </w:tc>
        <w:tc>
          <w:tcPr>
            <w:tcW w:type="dxa" w:w="7632"/>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Detect changes in model performance over time</w:t>
            </w:r>
          </w:p>
        </w:tc>
      </w:tr>
      <w:tr>
        <w:tc>
          <w:tcPr>
            <w:tcW w:type="dxa" w:w="3312"/>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Vendor Model Change Frequency</w:t>
            </w:r>
          </w:p>
        </w:tc>
        <w:tc>
          <w:tcPr>
            <w:tcW w:type="dxa" w:w="7632"/>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Track third-party change risk and deployment cadence</w:t>
            </w:r>
          </w:p>
        </w:tc>
      </w:tr>
    </w:tbl>
    <w:p>
      <w:pPr>
        <w:spacing w:before="0" w:after="160"/>
      </w:pPr>
    </w:p>
    <w:p>
      <w:pPr>
        <w:spacing w:before="280" w:after="100"/>
        <w:shd w:val="clear" w:color="auto" w:fill="1A335C"/>
      </w:pPr>
      <w:r>
        <w:rPr>
          <w:rFonts w:ascii="Calibri" w:hAnsi="Calibri"/>
          <w:b/>
          <w:i w:val="0"/>
          <w:color w:val="FFFFFF"/>
          <w:sz w:val="24"/>
        </w:rPr>
        <w:t xml:space="preserve">  15.  TRAINING REQUIREMENTS</w:t>
      </w:r>
    </w:p>
    <w:p>
      <w:pPr>
        <w:spacing w:before="80" w:after="80"/>
        <w:ind w:left="0"/>
      </w:pPr>
      <w:r>
        <w:rPr>
          <w:rFonts w:ascii="Calibri" w:hAnsi="Calibri"/>
          <w:b w:val="0"/>
          <w:i w:val="0"/>
          <w:color w:val="1A1A1A"/>
          <w:sz w:val="20"/>
        </w:rPr>
        <w:t>Before production deployment, relevant stakeholders must complete role-based training. Training completion must be documented in the AI Training Registry.</w:t>
      </w:r>
    </w:p>
    <w:p>
      <w:pPr>
        <w:pStyle w:val="ListBullet"/>
        <w:spacing w:before="20" w:after="20"/>
        <w:ind w:left="360"/>
      </w:pPr>
      <w:r>
        <w:rPr>
          <w:rFonts w:ascii="Calibri" w:hAnsi="Calibri"/>
          <w:b w:val="0"/>
          <w:i w:val="0"/>
          <w:color w:val="1A1A1A"/>
          <w:sz w:val="20"/>
        </w:rPr>
        <w:t>High-risk AI governance and regulatory obligations</w:t>
      </w:r>
    </w:p>
    <w:p>
      <w:pPr>
        <w:pStyle w:val="ListBullet"/>
        <w:spacing w:before="20" w:after="20"/>
        <w:ind w:left="360"/>
      </w:pPr>
      <w:r>
        <w:rPr>
          <w:rFonts w:ascii="Calibri" w:hAnsi="Calibri"/>
          <w:b w:val="0"/>
          <w:i w:val="0"/>
          <w:color w:val="1A1A1A"/>
          <w:sz w:val="20"/>
        </w:rPr>
        <w:t>Automated credit decisioning risk and applicant impact</w:t>
      </w:r>
    </w:p>
    <w:p>
      <w:pPr>
        <w:pStyle w:val="ListBullet"/>
        <w:spacing w:before="20" w:after="20"/>
        <w:ind w:left="360"/>
      </w:pPr>
      <w:r>
        <w:rPr>
          <w:rFonts w:ascii="Calibri" w:hAnsi="Calibri"/>
          <w:b w:val="0"/>
          <w:i w:val="0"/>
          <w:color w:val="1A1A1A"/>
          <w:sz w:val="20"/>
        </w:rPr>
        <w:t>Fair lending and proxy bias awareness</w:t>
      </w:r>
    </w:p>
    <w:p>
      <w:pPr>
        <w:pStyle w:val="ListBullet"/>
        <w:spacing w:before="20" w:after="20"/>
        <w:ind w:left="360"/>
      </w:pPr>
      <w:r>
        <w:rPr>
          <w:rFonts w:ascii="Calibri" w:hAnsi="Calibri"/>
          <w:b w:val="0"/>
          <w:i w:val="0"/>
          <w:color w:val="1A1A1A"/>
          <w:sz w:val="20"/>
        </w:rPr>
        <w:t>Explainability and reason code review</w:t>
      </w:r>
    </w:p>
    <w:p>
      <w:pPr>
        <w:pStyle w:val="ListBullet"/>
        <w:spacing w:before="20" w:after="20"/>
        <w:ind w:left="360"/>
      </w:pPr>
      <w:r>
        <w:rPr>
          <w:rFonts w:ascii="Calibri" w:hAnsi="Calibri"/>
          <w:b w:val="0"/>
          <w:i w:val="0"/>
          <w:color w:val="1A1A1A"/>
          <w:sz w:val="20"/>
        </w:rPr>
        <w:t>Human review triggers and routing procedures</w:t>
      </w:r>
    </w:p>
    <w:p>
      <w:pPr>
        <w:pStyle w:val="ListBullet"/>
        <w:spacing w:before="20" w:after="20"/>
        <w:ind w:left="360"/>
      </w:pPr>
      <w:r>
        <w:rPr>
          <w:rFonts w:ascii="Calibri" w:hAnsi="Calibri"/>
          <w:b w:val="0"/>
          <w:i w:val="0"/>
          <w:color w:val="1A1A1A"/>
          <w:sz w:val="20"/>
        </w:rPr>
        <w:t>Override documentation requirements</w:t>
      </w:r>
    </w:p>
    <w:p>
      <w:pPr>
        <w:pStyle w:val="ListBullet"/>
        <w:spacing w:before="20" w:after="20"/>
        <w:ind w:left="360"/>
      </w:pPr>
      <w:r>
        <w:rPr>
          <w:rFonts w:ascii="Calibri" w:hAnsi="Calibri"/>
          <w:b w:val="0"/>
          <w:i w:val="0"/>
          <w:color w:val="1A1A1A"/>
          <w:sz w:val="20"/>
        </w:rPr>
        <w:t>Appeal and reconsideration handling</w:t>
      </w:r>
    </w:p>
    <w:p>
      <w:pPr>
        <w:pStyle w:val="ListBullet"/>
        <w:spacing w:before="20" w:after="20"/>
        <w:ind w:left="360"/>
      </w:pPr>
      <w:r>
        <w:rPr>
          <w:rFonts w:ascii="Calibri" w:hAnsi="Calibri"/>
          <w:b w:val="0"/>
          <w:i w:val="0"/>
          <w:color w:val="1A1A1A"/>
          <w:sz w:val="20"/>
        </w:rPr>
        <w:t>Escalation procedures and escalation contacts</w:t>
      </w:r>
    </w:p>
    <w:p>
      <w:pPr>
        <w:pStyle w:val="ListBullet"/>
        <w:spacing w:before="20" w:after="20"/>
        <w:ind w:left="360"/>
      </w:pPr>
      <w:r>
        <w:rPr>
          <w:rFonts w:ascii="Calibri" w:hAnsi="Calibri"/>
          <w:b w:val="0"/>
          <w:i w:val="0"/>
          <w:color w:val="1A1A1A"/>
          <w:sz w:val="20"/>
        </w:rPr>
        <w:t>Monitoring indicators and threshold interpretation</w:t>
      </w:r>
    </w:p>
    <w:p>
      <w:pPr>
        <w:pStyle w:val="ListBullet"/>
        <w:spacing w:before="20" w:after="20"/>
        <w:ind w:left="360"/>
      </w:pPr>
      <w:r>
        <w:rPr>
          <w:rFonts w:ascii="Calibri" w:hAnsi="Calibri"/>
          <w:b w:val="0"/>
          <w:i w:val="0"/>
          <w:color w:val="1A1A1A"/>
          <w:sz w:val="20"/>
        </w:rPr>
        <w:t>Incident and pause criteria</w:t>
      </w:r>
    </w:p>
    <w:p>
      <w:pPr>
        <w:spacing w:before="0" w:after="120"/>
      </w:pPr>
    </w:p>
    <w:p>
      <w:pPr>
        <w:spacing w:before="280" w:after="100"/>
        <w:shd w:val="clear" w:color="auto" w:fill="1A335C"/>
      </w:pPr>
      <w:r>
        <w:rPr>
          <w:rFonts w:ascii="Calibri" w:hAnsi="Calibri"/>
          <w:b/>
          <w:i w:val="0"/>
          <w:color w:val="FFFFFF"/>
          <w:sz w:val="24"/>
        </w:rPr>
        <w:t xml:space="preserve">  16.  REQUIRED EVIDENCE</w:t>
      </w:r>
    </w:p>
    <w:p>
      <w:pPr>
        <w:spacing w:before="80" w:after="80"/>
        <w:ind w:left="0"/>
      </w:pPr>
      <w:r>
        <w:rPr>
          <w:rFonts w:ascii="Calibri" w:hAnsi="Calibri"/>
          <w:b w:val="0"/>
          <w:i w:val="0"/>
          <w:color w:val="1A1A1A"/>
          <w:sz w:val="20"/>
        </w:rPr>
        <w:t>This procedure must be supported by the following evidence documents. This document serves as the primary evidence artifact for human oversight and appeal readiness in the portfolio.</w:t>
      </w:r>
    </w:p>
    <w:tbl>
      <w:tblPr>
        <w:tblStyle w:val="TableGrid"/>
        <w:tblW w:type="auto" w:w="0"/>
        <w:jc w:val="left"/>
        <w:tblLook w:firstColumn="1" w:firstRow="1" w:lastColumn="0" w:lastRow="0" w:noHBand="0" w:noVBand="1" w:val="04A0"/>
      </w:tblPr>
      <w:tblGrid>
        <w:gridCol w:w="3216"/>
        <w:gridCol w:w="3216"/>
        <w:gridCol w:w="3216"/>
      </w:tblGrid>
      <w:tr>
        <w:tc>
          <w:tcPr>
            <w:tcW w:type="dxa" w:w="576"/>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r>
          </w:p>
        </w:tc>
        <w:tc>
          <w:tcPr>
            <w:tcW w:type="dxa" w:w="7776"/>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Evidence Item</w:t>
            </w:r>
          </w:p>
        </w:tc>
        <w:tc>
          <w:tcPr>
            <w:tcW w:type="dxa" w:w="2592"/>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Status</w:t>
            </w:r>
          </w:p>
        </w:tc>
      </w:tr>
      <w:tr>
        <w:tc>
          <w:tcPr>
            <w:tcW w:type="dxa" w:w="576"/>
            <w:shd w:val="clear" w:color="auto" w:fill="E8F5EC"/>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1E7A3A"/>
                <w:sz w:val="22"/>
              </w:rPr>
              <w:t>☑</w:t>
            </w:r>
          </w:p>
        </w:tc>
        <w:tc>
          <w:tcPr>
            <w:tcW w:type="dxa" w:w="7776"/>
            <w:shd w:val="clear" w:color="auto" w:fill="E8F5EC"/>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val="0"/>
                <w:i w:val="0"/>
                <w:color w:val="1A1A1A"/>
                <w:sz w:val="18"/>
              </w:rPr>
              <w:t>AI System Profile and Governance Intake Record</w:t>
            </w:r>
          </w:p>
        </w:tc>
        <w:tc>
          <w:tcPr>
            <w:tcW w:type="dxa" w:w="2592"/>
            <w:shd w:val="clear" w:color="auto" w:fill="E8F5EC"/>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1E7A3A"/>
                <w:sz w:val="16"/>
              </w:rPr>
              <w:t>Completed — portfolio evidence item</w:t>
            </w:r>
          </w:p>
        </w:tc>
      </w:tr>
      <w:tr>
        <w:tc>
          <w:tcPr>
            <w:tcW w:type="dxa" w:w="576"/>
            <w:shd w:val="clear" w:color="auto" w:fill="E8F5EC"/>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1E7A3A"/>
                <w:sz w:val="22"/>
              </w:rPr>
              <w:t>☑</w:t>
            </w:r>
          </w:p>
        </w:tc>
        <w:tc>
          <w:tcPr>
            <w:tcW w:type="dxa" w:w="7776"/>
            <w:shd w:val="clear" w:color="auto" w:fill="E8F5EC"/>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val="0"/>
                <w:i w:val="0"/>
                <w:color w:val="1A1A1A"/>
                <w:sz w:val="18"/>
              </w:rPr>
              <w:t>Third-Party Model and Vendor Governance Review</w:t>
            </w:r>
          </w:p>
        </w:tc>
        <w:tc>
          <w:tcPr>
            <w:tcW w:type="dxa" w:w="2592"/>
            <w:shd w:val="clear" w:color="auto" w:fill="E8F5EC"/>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1E7A3A"/>
                <w:sz w:val="16"/>
              </w:rPr>
              <w:t>Completed — portfolio evidence item</w:t>
            </w:r>
          </w:p>
        </w:tc>
      </w:tr>
      <w:tr>
        <w:tc>
          <w:tcPr>
            <w:tcW w:type="dxa" w:w="576"/>
            <w:shd w:val="clear" w:color="auto" w:fill="E8F5EC"/>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1E7A3A"/>
                <w:sz w:val="22"/>
              </w:rPr>
              <w:t>☑</w:t>
            </w:r>
          </w:p>
        </w:tc>
        <w:tc>
          <w:tcPr>
            <w:tcW w:type="dxa" w:w="7776"/>
            <w:shd w:val="clear" w:color="auto" w:fill="E8F5EC"/>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val="0"/>
                <w:i w:val="0"/>
                <w:color w:val="1A1A1A"/>
                <w:sz w:val="18"/>
              </w:rPr>
              <w:t>AI Risk Register and Mitigation Summary</w:t>
            </w:r>
          </w:p>
        </w:tc>
        <w:tc>
          <w:tcPr>
            <w:tcW w:type="dxa" w:w="2592"/>
            <w:shd w:val="clear" w:color="auto" w:fill="E8F5EC"/>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1E7A3A"/>
                <w:sz w:val="16"/>
              </w:rPr>
              <w:t>Completed — portfolio evidence item</w:t>
            </w:r>
          </w:p>
        </w:tc>
      </w:tr>
      <w:tr>
        <w:tc>
          <w:tcPr>
            <w:tcW w:type="dxa" w:w="576"/>
            <w:shd w:val="clear" w:color="auto" w:fill="E8F5EC"/>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1E7A3A"/>
                <w:sz w:val="22"/>
              </w:rPr>
              <w:t>☑</w:t>
            </w:r>
          </w:p>
        </w:tc>
        <w:tc>
          <w:tcPr>
            <w:tcW w:type="dxa" w:w="7776"/>
            <w:shd w:val="clear" w:color="auto" w:fill="E8F5EC"/>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val="0"/>
                <w:i w:val="0"/>
                <w:color w:val="1A1A1A"/>
                <w:sz w:val="18"/>
              </w:rPr>
              <w:t>Human Oversight and Appeal Procedure</w:t>
            </w:r>
          </w:p>
        </w:tc>
        <w:tc>
          <w:tcPr>
            <w:tcW w:type="dxa" w:w="2592"/>
            <w:shd w:val="clear" w:color="auto" w:fill="E8F5EC"/>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1E7A3A"/>
                <w:sz w:val="16"/>
              </w:rPr>
              <w:t>This document — portfolio evidence item</w:t>
            </w:r>
          </w:p>
        </w:tc>
      </w:tr>
      <w:tr>
        <w:tc>
          <w:tcPr>
            <w:tcW w:type="dxa" w:w="576"/>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856004"/>
                <w:sz w:val="22"/>
              </w:rPr>
              <w:t>☐</w:t>
            </w:r>
          </w:p>
        </w:tc>
        <w:tc>
          <w:tcPr>
            <w:tcW w:type="dxa" w:w="7776"/>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val="0"/>
                <w:i w:val="0"/>
                <w:color w:val="1A1A1A"/>
                <w:sz w:val="18"/>
              </w:rPr>
              <w:t>Reason code validation results</w:t>
            </w:r>
          </w:p>
        </w:tc>
        <w:tc>
          <w:tcPr>
            <w:tcW w:type="dxa" w:w="2592"/>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856004"/>
                <w:sz w:val="16"/>
              </w:rPr>
              <w:t>Pending</w:t>
            </w:r>
          </w:p>
        </w:tc>
      </w:tr>
      <w:tr>
        <w:tc>
          <w:tcPr>
            <w:tcW w:type="dxa" w:w="576"/>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856004"/>
                <w:sz w:val="22"/>
              </w:rPr>
              <w:t>☐</w:t>
            </w:r>
          </w:p>
        </w:tc>
        <w:tc>
          <w:tcPr>
            <w:tcW w:type="dxa" w:w="7776"/>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val="0"/>
                <w:i w:val="0"/>
                <w:color w:val="1A1A1A"/>
                <w:sz w:val="18"/>
              </w:rPr>
              <w:t>Fairness and bias testing results</w:t>
            </w:r>
          </w:p>
        </w:tc>
        <w:tc>
          <w:tcPr>
            <w:tcW w:type="dxa" w:w="2592"/>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856004"/>
                <w:sz w:val="16"/>
              </w:rPr>
              <w:t>Pending</w:t>
            </w:r>
          </w:p>
        </w:tc>
      </w:tr>
      <w:tr>
        <w:tc>
          <w:tcPr>
            <w:tcW w:type="dxa" w:w="576"/>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856004"/>
                <w:sz w:val="22"/>
              </w:rPr>
              <w:t>☐</w:t>
            </w:r>
          </w:p>
        </w:tc>
        <w:tc>
          <w:tcPr>
            <w:tcW w:type="dxa" w:w="7776"/>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val="0"/>
                <w:i w:val="0"/>
                <w:color w:val="1A1A1A"/>
                <w:sz w:val="18"/>
              </w:rPr>
              <w:t>Monitoring plan</w:t>
            </w:r>
          </w:p>
        </w:tc>
        <w:tc>
          <w:tcPr>
            <w:tcW w:type="dxa" w:w="2592"/>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856004"/>
                <w:sz w:val="16"/>
              </w:rPr>
              <w:t>Pending</w:t>
            </w:r>
          </w:p>
        </w:tc>
      </w:tr>
      <w:tr>
        <w:tc>
          <w:tcPr>
            <w:tcW w:type="dxa" w:w="576"/>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856004"/>
                <w:sz w:val="22"/>
              </w:rPr>
              <w:t>☐</w:t>
            </w:r>
          </w:p>
        </w:tc>
        <w:tc>
          <w:tcPr>
            <w:tcW w:type="dxa" w:w="7776"/>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val="0"/>
                <w:i w:val="0"/>
                <w:color w:val="1A1A1A"/>
                <w:sz w:val="18"/>
              </w:rPr>
              <w:t>Training registry record</w:t>
            </w:r>
          </w:p>
        </w:tc>
        <w:tc>
          <w:tcPr>
            <w:tcW w:type="dxa" w:w="2592"/>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856004"/>
                <w:sz w:val="16"/>
              </w:rPr>
              <w:t>Pending</w:t>
            </w:r>
          </w:p>
        </w:tc>
      </w:tr>
      <w:tr>
        <w:tc>
          <w:tcPr>
            <w:tcW w:type="dxa" w:w="576"/>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856004"/>
                <w:sz w:val="22"/>
              </w:rPr>
              <w:t>☐</w:t>
            </w:r>
          </w:p>
        </w:tc>
        <w:tc>
          <w:tcPr>
            <w:tcW w:type="dxa" w:w="7776"/>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val="0"/>
                <w:i w:val="0"/>
                <w:color w:val="1A1A1A"/>
                <w:sz w:val="18"/>
              </w:rPr>
              <w:t>Governance Decision Memo</w:t>
            </w:r>
          </w:p>
        </w:tc>
        <w:tc>
          <w:tcPr>
            <w:tcW w:type="dxa" w:w="2592"/>
            <w:shd w:val="clear" w:color="auto" w:fill="FFF9E6"/>
            <w:tcBorders>
              <w:top w:val="single" w:sz="4" w:color="C8D8E8"/>
              <w:left w:val="single" w:sz="4" w:color="C8D8E8"/>
              <w:bottom w:val="single" w:sz="4" w:color="C8D8E8"/>
              <w:right w:val="single" w:sz="4" w:color="C8D8E8"/>
            </w:tcBorders>
            <w:vAlign w:val="center"/>
          </w:tcPr>
          <w:p>
            <w:pPr>
              <w:spacing w:before="40" w:after="40"/>
              <w:ind w:left="86"/>
            </w:pPr>
            <w:r>
              <w:rPr>
                <w:rFonts w:ascii="Calibri" w:hAnsi="Calibri"/>
                <w:b/>
                <w:i w:val="0"/>
                <w:color w:val="856004"/>
                <w:sz w:val="16"/>
              </w:rPr>
              <w:t>Pending — final portfolio evidence item</w:t>
            </w:r>
          </w:p>
        </w:tc>
      </w:tr>
    </w:tbl>
    <w:p>
      <w:pPr>
        <w:spacing w:before="0" w:after="160"/>
      </w:pPr>
    </w:p>
    <w:p>
      <w:pPr>
        <w:spacing w:before="280" w:after="100"/>
        <w:shd w:val="clear" w:color="auto" w:fill="1A335C"/>
      </w:pPr>
      <w:r>
        <w:rPr>
          <w:rFonts w:ascii="Calibri" w:hAnsi="Calibri"/>
          <w:b/>
          <w:i w:val="0"/>
          <w:color w:val="FFFFFF"/>
          <w:sz w:val="24"/>
        </w:rPr>
        <w:t xml:space="preserve">  17.  OPEN ISSUES</w:t>
      </w:r>
    </w:p>
    <w:p>
      <w:pPr>
        <w:spacing w:before="80" w:after="80"/>
        <w:ind w:left="0"/>
      </w:pPr>
      <w:r>
        <w:rPr>
          <w:rFonts w:ascii="Calibri" w:hAnsi="Calibri"/>
          <w:b w:val="0"/>
          <w:i w:val="0"/>
          <w:color w:val="1A1A1A"/>
          <w:sz w:val="20"/>
        </w:rPr>
        <w:t>The following items remain open and must be resolved before production approval is granted.</w:t>
      </w:r>
    </w:p>
    <w:p>
      <w:pPr>
        <w:pStyle w:val="ListBullet"/>
        <w:spacing w:before="20" w:after="20"/>
        <w:ind w:left="360"/>
      </w:pPr>
      <w:r>
        <w:rPr>
          <w:rFonts w:ascii="Calibri" w:hAnsi="Calibri"/>
          <w:b w:val="0"/>
          <w:i w:val="0"/>
          <w:color w:val="C00000"/>
          <w:sz w:val="20"/>
        </w:rPr>
        <w:t>Human review thresholds are not finalized</w:t>
      </w:r>
    </w:p>
    <w:p>
      <w:pPr>
        <w:pStyle w:val="ListBullet"/>
        <w:spacing w:before="20" w:after="20"/>
        <w:ind w:left="360"/>
      </w:pPr>
      <w:r>
        <w:rPr>
          <w:rFonts w:ascii="Calibri" w:hAnsi="Calibri"/>
          <w:b w:val="0"/>
          <w:i w:val="0"/>
          <w:color w:val="C00000"/>
          <w:sz w:val="20"/>
        </w:rPr>
        <w:t>Low-confidence threshold requires governance approval</w:t>
      </w:r>
    </w:p>
    <w:p>
      <w:pPr>
        <w:pStyle w:val="ListBullet"/>
        <w:spacing w:before="20" w:after="20"/>
        <w:ind w:left="360"/>
      </w:pPr>
      <w:r>
        <w:rPr>
          <w:rFonts w:ascii="Calibri" w:hAnsi="Calibri"/>
          <w:b w:val="0"/>
          <w:i w:val="0"/>
          <w:color w:val="C00000"/>
          <w:sz w:val="20"/>
        </w:rPr>
        <w:t>Borderline score range requires governance approval</w:t>
      </w:r>
    </w:p>
    <w:p>
      <w:pPr>
        <w:pStyle w:val="ListBullet"/>
        <w:spacing w:before="20" w:after="20"/>
        <w:ind w:left="360"/>
      </w:pPr>
      <w:r>
        <w:rPr>
          <w:rFonts w:ascii="Calibri" w:hAnsi="Calibri"/>
          <w:b w:val="0"/>
          <w:i w:val="0"/>
          <w:color w:val="C00000"/>
          <w:sz w:val="20"/>
        </w:rPr>
        <w:t>Appeal handling service-level expectations are not finalized</w:t>
      </w:r>
    </w:p>
    <w:p>
      <w:pPr>
        <w:pStyle w:val="ListBullet"/>
        <w:spacing w:before="20" w:after="20"/>
        <w:ind w:left="360"/>
      </w:pPr>
      <w:r>
        <w:rPr>
          <w:rFonts w:ascii="Calibri" w:hAnsi="Calibri"/>
          <w:b w:val="0"/>
          <w:i w:val="0"/>
          <w:color w:val="C00000"/>
          <w:sz w:val="20"/>
        </w:rPr>
        <w:t>Reason code validation is pending</w:t>
      </w:r>
    </w:p>
    <w:p>
      <w:pPr>
        <w:pStyle w:val="ListBullet"/>
        <w:spacing w:before="20" w:after="20"/>
        <w:ind w:left="360"/>
      </w:pPr>
      <w:r>
        <w:rPr>
          <w:rFonts w:ascii="Calibri" w:hAnsi="Calibri"/>
          <w:b w:val="0"/>
          <w:i w:val="0"/>
          <w:color w:val="C00000"/>
          <w:sz w:val="20"/>
        </w:rPr>
        <w:t>Sampling methodology is not finalized</w:t>
      </w:r>
    </w:p>
    <w:p>
      <w:pPr>
        <w:pStyle w:val="ListBullet"/>
        <w:spacing w:before="20" w:after="20"/>
        <w:ind w:left="360"/>
      </w:pPr>
      <w:r>
        <w:rPr>
          <w:rFonts w:ascii="Calibri" w:hAnsi="Calibri"/>
          <w:b w:val="0"/>
          <w:i w:val="0"/>
          <w:color w:val="C00000"/>
          <w:sz w:val="20"/>
        </w:rPr>
        <w:t>Monitoring thresholds are not approved</w:t>
      </w:r>
    </w:p>
    <w:p>
      <w:pPr>
        <w:pStyle w:val="ListBullet"/>
        <w:spacing w:before="20" w:after="20"/>
        <w:ind w:left="360"/>
      </w:pPr>
      <w:r>
        <w:rPr>
          <w:rFonts w:ascii="Calibri" w:hAnsi="Calibri"/>
          <w:b w:val="0"/>
          <w:i w:val="0"/>
          <w:color w:val="C00000"/>
          <w:sz w:val="20"/>
        </w:rPr>
        <w:t>Human reviewer training is planned but not completed</w:t>
      </w:r>
    </w:p>
    <w:p>
      <w:pPr>
        <w:pStyle w:val="ListBullet"/>
        <w:spacing w:before="20" w:after="20"/>
        <w:ind w:left="360"/>
      </w:pPr>
      <w:r>
        <w:rPr>
          <w:rFonts w:ascii="Calibri" w:hAnsi="Calibri"/>
          <w:b w:val="0"/>
          <w:i w:val="0"/>
          <w:color w:val="C00000"/>
          <w:sz w:val="20"/>
        </w:rPr>
        <w:t>Pause criteria require executive approval</w:t>
      </w:r>
    </w:p>
    <w:p>
      <w:pPr>
        <w:spacing w:before="0" w:after="120"/>
      </w:pPr>
    </w:p>
    <w:p>
      <w:pPr>
        <w:spacing w:before="280" w:after="100"/>
        <w:shd w:val="clear" w:color="auto" w:fill="1A335C"/>
      </w:pPr>
      <w:r>
        <w:rPr>
          <w:rFonts w:ascii="Calibri" w:hAnsi="Calibri"/>
          <w:b/>
          <w:i w:val="0"/>
          <w:color w:val="FFFFFF"/>
          <w:sz w:val="24"/>
        </w:rPr>
        <w:t xml:space="preserve">  18.  GOVERNANCE RECOMMENDATION</w:t>
      </w:r>
    </w:p>
    <w:p>
      <w:pPr>
        <w:spacing w:before="80" w:after="160"/>
        <w:ind w:left="144" w:right="144"/>
        <w:shd w:val="clear" w:color="auto" w:fill="FDECEA"/>
      </w:pPr>
      <w:r>
        <w:rPr>
          <w:rFonts w:ascii="Calibri" w:hAnsi="Calibri"/>
          <w:b/>
          <w:i w:val="0"/>
          <w:color w:val="C00000"/>
          <w:sz w:val="20"/>
        </w:rPr>
        <w:t xml:space="preserve">  Recommendation: </w:t>
      </w:r>
      <w:r>
        <w:rPr>
          <w:rFonts w:ascii="Calibri" w:hAnsi="Calibri"/>
          <w:b w:val="0"/>
          <w:i w:val="0"/>
          <w:color w:val="1A1A1A"/>
          <w:sz w:val="20"/>
        </w:rPr>
        <w:t>Do not approve full production deployment until human oversight, exception review, appeal handling, escalation, monitoring, and pause procedures are documented, tested, and approved.</w:t>
      </w:r>
    </w:p>
    <w:p>
      <w:pPr>
        <w:spacing w:before="80" w:after="60"/>
        <w:ind w:left="0"/>
      </w:pPr>
      <w:r>
        <w:rPr>
          <w:rFonts w:ascii="Calibri" w:hAnsi="Calibri"/>
          <w:b w:val="0"/>
          <w:i w:val="0"/>
          <w:color w:val="1A1A1A"/>
          <w:sz w:val="20"/>
        </w:rPr>
        <w:t>A limited controlled deployment may be considered only if Meridian can demonstrate that all of the following conditions are satisfied:</w:t>
      </w:r>
    </w:p>
    <w:p>
      <w:pPr>
        <w:pStyle w:val="ListBullet"/>
        <w:spacing w:before="20" w:after="20"/>
        <w:ind w:left="360"/>
      </w:pPr>
      <w:r>
        <w:rPr>
          <w:rFonts w:ascii="Calibri" w:hAnsi="Calibri"/>
          <w:b w:val="0"/>
          <w:i w:val="0"/>
          <w:color w:val="1A1A1A"/>
          <w:sz w:val="20"/>
        </w:rPr>
        <w:t>Human reviewers have meaningful authority and are not required to accept AI outputs by default</w:t>
      </w:r>
    </w:p>
    <w:p>
      <w:pPr>
        <w:pStyle w:val="ListBullet"/>
        <w:spacing w:before="20" w:after="20"/>
        <w:ind w:left="360"/>
      </w:pPr>
      <w:r>
        <w:rPr>
          <w:rFonts w:ascii="Calibri" w:hAnsi="Calibri"/>
          <w:b w:val="0"/>
          <w:i w:val="0"/>
          <w:color w:val="1A1A1A"/>
          <w:sz w:val="20"/>
        </w:rPr>
        <w:t>Automated denials are appealable through a documented and tested process</w:t>
      </w:r>
    </w:p>
    <w:p>
      <w:pPr>
        <w:pStyle w:val="ListBullet"/>
        <w:spacing w:before="20" w:after="20"/>
        <w:ind w:left="360"/>
      </w:pPr>
      <w:r>
        <w:rPr>
          <w:rFonts w:ascii="Calibri" w:hAnsi="Calibri"/>
          <w:b w:val="0"/>
          <w:i w:val="0"/>
          <w:color w:val="1A1A1A"/>
          <w:sz w:val="20"/>
        </w:rPr>
        <w:t>Reason codes are validated and confirmed adequate for adverse action communication</w:t>
      </w:r>
    </w:p>
    <w:p>
      <w:pPr>
        <w:pStyle w:val="ListBullet"/>
        <w:spacing w:before="20" w:after="20"/>
        <w:ind w:left="360"/>
      </w:pPr>
      <w:r>
        <w:rPr>
          <w:rFonts w:ascii="Calibri" w:hAnsi="Calibri"/>
          <w:b w:val="0"/>
          <w:i w:val="0"/>
          <w:color w:val="1A1A1A"/>
          <w:sz w:val="20"/>
        </w:rPr>
        <w:t>Borderline and low-confidence cases are automatically routed to human review</w:t>
      </w:r>
    </w:p>
    <w:p>
      <w:pPr>
        <w:pStyle w:val="ListBullet"/>
        <w:spacing w:before="20" w:after="20"/>
        <w:ind w:left="360"/>
      </w:pPr>
      <w:r>
        <w:rPr>
          <w:rFonts w:ascii="Calibri" w:hAnsi="Calibri"/>
          <w:b w:val="0"/>
          <w:i w:val="0"/>
          <w:color w:val="1A1A1A"/>
          <w:sz w:val="20"/>
        </w:rPr>
        <w:t>Escalation and pause criteria are active and operationally tested</w:t>
      </w:r>
    </w:p>
    <w:p>
      <w:pPr>
        <w:pStyle w:val="ListBullet"/>
        <w:spacing w:before="20" w:after="20"/>
        <w:ind w:left="360"/>
      </w:pPr>
      <w:r>
        <w:rPr>
          <w:rFonts w:ascii="Calibri" w:hAnsi="Calibri"/>
          <w:b w:val="0"/>
          <w:i w:val="0"/>
          <w:color w:val="1A1A1A"/>
          <w:sz w:val="20"/>
        </w:rPr>
        <w:t>Oversight metrics are monitored with defined thresholds and alerting</w:t>
      </w:r>
    </w:p>
    <w:p>
      <w:pPr>
        <w:pStyle w:val="ListBullet"/>
        <w:spacing w:before="20" w:after="20"/>
        <w:ind w:left="360"/>
      </w:pPr>
      <w:r>
        <w:rPr>
          <w:rFonts w:ascii="Calibri" w:hAnsi="Calibri"/>
          <w:b w:val="0"/>
          <w:i w:val="0"/>
          <w:color w:val="1A1A1A"/>
          <w:sz w:val="20"/>
        </w:rPr>
        <w:t>Risk owners have accepted residual risk in writing</w:t>
      </w:r>
    </w:p>
    <w:p>
      <w:pPr>
        <w:spacing w:before="0" w:after="120"/>
      </w:pPr>
    </w:p>
    <w:p>
      <w:pPr>
        <w:spacing w:before="280" w:after="100"/>
        <w:shd w:val="clear" w:color="auto" w:fill="1A335C"/>
      </w:pPr>
      <w:r>
        <w:rPr>
          <w:rFonts w:ascii="Calibri" w:hAnsi="Calibri"/>
          <w:b/>
          <w:i w:val="0"/>
          <w:color w:val="FFFFFF"/>
          <w:sz w:val="24"/>
        </w:rPr>
        <w:t xml:space="preserve">  19.  EVIDENCE MAPPING</w:t>
      </w:r>
    </w:p>
    <w:p>
      <w:pPr>
        <w:spacing w:before="80" w:after="80"/>
        <w:ind w:left="0"/>
      </w:pPr>
      <w:r>
        <w:rPr>
          <w:rFonts w:ascii="Calibri" w:hAnsi="Calibri"/>
          <w:b w:val="0"/>
          <w:i w:val="0"/>
          <w:color w:val="1A1A1A"/>
          <w:sz w:val="20"/>
        </w:rPr>
        <w:t>This document supports the following governance frameworks and competency areas.</w:t>
      </w:r>
    </w:p>
    <w:tbl>
      <w:tblPr>
        <w:tblStyle w:val="TableGrid"/>
        <w:tblW w:type="auto" w:w="0"/>
        <w:jc w:val="left"/>
        <w:tblLook w:firstColumn="1" w:firstRow="1" w:lastColumn="0" w:lastRow="0" w:noHBand="0" w:noVBand="1" w:val="04A0"/>
      </w:tblPr>
      <w:tblGrid>
        <w:gridCol w:w="4824"/>
        <w:gridCol w:w="4824"/>
      </w:tblGrid>
      <w:tr>
        <w:tc>
          <w:tcPr>
            <w:tcW w:type="dxa" w:w="2880"/>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Framework</w:t>
            </w:r>
          </w:p>
        </w:tc>
        <w:tc>
          <w:tcPr>
            <w:tcW w:type="dxa" w:w="8064"/>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Governance Competencies Demonstrated</w:t>
            </w:r>
          </w:p>
        </w:tc>
      </w:tr>
      <w:tr>
        <w:tc>
          <w:tcPr>
            <w:tcW w:type="dxa" w:w="288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EU AI Act</w:t>
            </w:r>
          </w:p>
        </w:tc>
        <w:tc>
          <w:tcPr>
            <w:tcW w:type="dxa" w:w="806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Human oversight requirements; transparency and explainability; high-risk AI safeguards; ability to intervene, challenge, or stop AI-assisted decisions; monitoring and incident escalation</w:t>
            </w:r>
          </w:p>
        </w:tc>
      </w:tr>
      <w:tr>
        <w:tc>
          <w:tcPr>
            <w:tcW w:type="dxa" w:w="288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ISO/IEC 42001</w:t>
            </w:r>
          </w:p>
        </w:tc>
        <w:tc>
          <w:tcPr>
            <w:tcW w:type="dxa" w:w="806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Operational control; role awareness and accountability; competence and training; corrective action; monitoring and continual improvement</w:t>
            </w:r>
          </w:p>
        </w:tc>
      </w:tr>
      <w:tr>
        <w:tc>
          <w:tcPr>
            <w:tcW w:type="dxa" w:w="288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NIST AI RMF</w:t>
            </w:r>
          </w:p>
        </w:tc>
        <w:tc>
          <w:tcPr>
            <w:tcW w:type="dxa" w:w="806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Govern — human accountability and role clarity</w:t>
              <w:br/>
              <w:t>Map — stakeholder impact and decision context</w:t>
              <w:br/>
              <w:t>Measure — appeal, override, complaint, and review metrics</w:t>
              <w:br/>
              <w:t>Manage — risk treatment, escalation, and pause criteria</w:t>
            </w:r>
          </w:p>
        </w:tc>
      </w:tr>
    </w:tbl>
    <w:p>
      <w:pPr>
        <w:spacing w:before="0" w:after="200"/>
      </w:pPr>
    </w:p>
    <w:p>
      <w:pPr>
        <w:spacing w:before="160" w:after="0"/>
        <w:shd w:val="clear" w:color="auto" w:fill="C9A02B"/>
      </w:pPr>
      <w:r>
        <w:rPr>
          <w:rFonts w:ascii="Calibri" w:hAnsi="Calibri"/>
          <w:b w:val="0"/>
          <w:i w:val="0"/>
          <w:color w:val="C9A02B"/>
          <w:sz w:val="10"/>
        </w:rPr>
        <w:t xml:space="preserve"> </w:t>
      </w:r>
    </w:p>
    <w:p>
      <w:pPr>
        <w:spacing w:before="0" w:after="0"/>
        <w:jc w:val="center"/>
        <w:shd w:val="clear" w:color="auto" w:fill="1A335C"/>
      </w:pPr>
      <w:r>
        <w:rPr>
          <w:rFonts w:ascii="Calibri" w:hAnsi="Calibri"/>
          <w:b w:val="0"/>
          <w:i/>
          <w:color w:val="FFFFFF"/>
          <w:sz w:val="16"/>
        </w:rPr>
        <w:t>FICTIONAL — FOR PORTFOLIO USE ONLY  |  AI Governance Program  |  Meridian Financial Services  |  Version 1.0  |  May 23, 2026</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