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Отчёт по лабораторной работе №</w:t>
      </w:r>
      <w:r>
        <w:rPr>
          <w:rFonts w:eastAsia="Times New Roman" w:cs="Times New Roman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Алгоритмы компьютерной графики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Преподаватель: Потемин И.С.</w:t>
      </w:r>
    </w:p>
    <w:p>
      <w:pPr>
        <w:pStyle w:val="Normal"/>
        <w:ind w:left="709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>Цель работы</w:t>
          </w:r>
          <w:r>
            <w:rPr/>
            <w:tab/>
            <w:t>3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Задание</w:t>
            <w:tab/>
            <w:t>3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Алгоритм разработанного приложения</w:t>
            <w:tab/>
            <w:t>5</w:t>
          </w:r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r>
            <w:rPr/>
            <w:t>Интерфейс пользователя</w:t>
            <w:tab/>
            <w:t>5</w:t>
          </w:r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r>
            <w:rPr/>
            <w:t>Алгоритм работы</w:t>
            <w:tab/>
            <w:t>5</w:t>
          </w:r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r>
            <w:rPr/>
            <w:t>Формула</w:t>
            <w:tab/>
            <w:t>5</w:t>
          </w:r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r>
            <w:rPr/>
            <w:t>Сохранение файла</w:t>
            <w:tab/>
            <w:t>6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Листинг программы</w:t>
            <w:tab/>
            <w:t>7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Результаты работы программы</w:t>
            <w:tab/>
            <w:t>7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Выводы</w:t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Овладеть навыками расчета и визуализации распределения яркости на диффузной сфере, освещенной точечными источниками света.</w:t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 xml:space="preserve">Провести расчет </w:t>
      </w:r>
      <w:r>
        <w:rPr>
          <w:lang w:val="ru-RU"/>
        </w:rPr>
        <w:t>распределения яркости на сфере в пределах заданной области.</w:t>
      </w:r>
    </w:p>
    <w:p>
      <w:pPr>
        <w:pStyle w:val="BodyText"/>
        <w:numPr>
          <w:ilvl w:val="0"/>
          <w:numId w:val="2"/>
        </w:numPr>
        <w:rPr/>
      </w:pPr>
      <w:r>
        <w:rPr/>
        <w:t>Рекомендуемые пределы значений параметров для расчёта:</w:t>
      </w:r>
    </w:p>
    <w:p>
      <w:pPr>
        <w:pStyle w:val="BodyText"/>
        <w:numPr>
          <w:ilvl w:val="1"/>
          <w:numId w:val="2"/>
        </w:numPr>
        <w:rPr/>
      </w:pPr>
      <w:r>
        <w:rPr/>
        <w:t>Размер прямоугольного экрана по высоте (</w:t>
      </w:r>
      <w:r>
        <w:rPr>
          <w:lang w:val="en-US"/>
        </w:rPr>
        <w:t>H</w:t>
      </w:r>
      <w:r>
        <w:rPr/>
        <w:t>) и ширине (</w:t>
      </w:r>
      <w:r>
        <w:rPr>
          <w:lang w:val="en-US"/>
        </w:rPr>
        <w:t>W</w:t>
      </w:r>
      <w:r>
        <w:rPr/>
        <w:t>) варьируются в диапазоне от 100 до 10000 миллиметров.</w:t>
      </w:r>
    </w:p>
    <w:p>
      <w:pPr>
        <w:pStyle w:val="BodyText"/>
        <w:numPr>
          <w:ilvl w:val="1"/>
          <w:numId w:val="2"/>
        </w:numPr>
        <w:rPr/>
      </w:pPr>
      <w:r>
        <w:rPr/>
        <w:t>Разрешение изображения по высоте</w:t>
      </w:r>
      <w:r>
        <w:rPr>
          <w:lang w:val="en-US"/>
        </w:rPr>
        <w:t xml:space="preserve"> (Hres) </w:t>
      </w:r>
      <w:r>
        <w:rPr/>
        <w:t>и ширине</w:t>
      </w:r>
      <w:r>
        <w:rPr>
          <w:lang w:val="en-US"/>
        </w:rPr>
        <w:t xml:space="preserve"> (Wres) </w:t>
      </w:r>
      <w:r>
        <w:rPr/>
        <w:t>варьируются в диапазоне от 200 до 800 пикселей. Разрешение должно обеспечивать квадратные пиксели.</w:t>
      </w:r>
    </w:p>
    <w:p>
      <w:pPr>
        <w:pStyle w:val="BodyText"/>
        <w:numPr>
          <w:ilvl w:val="1"/>
          <w:numId w:val="2"/>
        </w:numPr>
        <w:rPr/>
      </w:pPr>
      <w:r>
        <w:rPr/>
        <w:t>Координаты источников света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</m:oMath>
      <w:r>
        <w:rPr/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наблюдателя: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>].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центра сферы: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 Сфера должна целиком помещаться в область видимости.</w:t>
      </w:r>
    </w:p>
    <w:p>
      <w:pPr>
        <w:pStyle w:val="BodyText"/>
        <w:numPr>
          <w:ilvl w:val="1"/>
          <w:numId w:val="2"/>
        </w:numPr>
        <w:rPr/>
      </w:pPr>
      <w:r>
        <w:rPr>
          <w:lang w:val="ru-RU"/>
        </w:rPr>
        <w:t xml:space="preserve">Сила излучения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lang w:val="ru-RU"/>
        </w:rPr>
        <w:t xml:space="preserve"> варьируются от 0.01 до 10000 Вт/ср.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Параметры модели Блинн-Фонга. Выбираются так, чтобы на изображении был виден ярко выраженный пик.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Написать приложение на </w:t>
      </w:r>
      <w:r>
        <w:rPr>
          <w:lang w:val="en-US"/>
        </w:rPr>
        <w:t xml:space="preserve">Python, </w:t>
      </w:r>
      <w:r>
        <w:rPr>
          <w:lang w:val="ru-RU"/>
        </w:rPr>
        <w:t>формирующее изображение рассчитанного распределения яркости для заданного разрешения с нормировкой (0-255) на максимальное значение яркости.</w:t>
      </w:r>
    </w:p>
    <w:p>
      <w:pPr>
        <w:pStyle w:val="BodyText"/>
        <w:numPr>
          <w:ilvl w:val="0"/>
          <w:numId w:val="2"/>
        </w:numPr>
        <w:rPr/>
      </w:pPr>
      <w:r>
        <w:rPr/>
        <w:t>Записать сформированное изображение в файл.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изображение на мониторе.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0"/>
      <w:bookmarkEnd w:id="3"/>
      <w:r>
        <w:rPr>
          <w:rFonts w:eastAsia="Times New Roman" w:cs="Times New Roman"/>
          <w:bCs/>
          <w:color w:val="auto"/>
        </w:rPr>
        <w:t>Алгоритм разработанного приложения</w:t>
      </w:r>
      <w:bookmarkEnd w:id="4"/>
    </w:p>
    <w:p>
      <w:pPr>
        <w:pStyle w:val="Heading2"/>
        <w:spacing w:before="0" w:after="159"/>
        <w:rPr/>
      </w:pPr>
      <w:bookmarkStart w:id="5" w:name="__RefHeading___Toc913_30801287_Копия_1_К"/>
      <w:bookmarkEnd w:id="5"/>
      <w:r>
        <w:rPr/>
        <w:t>Интерфейс пользователя</w:t>
      </w:r>
      <w:bookmarkStart w:id="6" w:name="_Toc213488753_Копия_2_Копия_1_Копия_1"/>
      <w:bookmarkEnd w:id="6"/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Приложение позволяет изменять все основные параметры: размер области, разрешение изображения, координаты источников света и их силу излучения, координаты наблюдателя (по оси </w:t>
      </w:r>
      <w:r>
        <w:rPr>
          <w:lang w:val="en-US" w:eastAsia="en-US" w:bidi="ar-SA"/>
        </w:rPr>
        <w:t>z</w:t>
      </w:r>
      <w:r>
        <w:rPr>
          <w:lang w:val="ru-RU" w:eastAsia="en-US" w:bidi="ar-SA"/>
        </w:rPr>
        <w:t>), координаты центра сферы и её радиус, а также коэффициенты диффузного отражения, зеркального отражения и блеска. Ошибки ввода автоматически выводятся пользователю, что предотвращает некорректные расчёты.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rPr/>
      </w:pPr>
      <w:bookmarkStart w:id="7" w:name="__RefHeading___Toc913_30801287_Копия_1_1"/>
      <w:bookmarkEnd w:id="7"/>
      <w:r>
        <w:rPr/>
        <w:t>Алгоритм работы</w:t>
      </w:r>
      <w:bookmarkStart w:id="8" w:name="_Toc213488753_Копия_1"/>
      <w:bookmarkEnd w:id="8"/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ввода параметров со стороны пользователя используется библиотека </w:t>
      </w:r>
      <w:r>
        <w:rPr>
          <w:lang w:val="en-US" w:eastAsia="en-US" w:bidi="ar-SA"/>
        </w:rPr>
        <w:t>Tkinter</w:t>
      </w:r>
      <w:r>
        <w:rPr>
          <w:lang w:val="ru-RU"/>
        </w:rPr>
        <w:t xml:space="preserve"> для создания интерфейса. При нажатии на кнопку «Рассчитать» вызывается основная функция </w:t>
      </w:r>
      <w:r>
        <w:rPr>
          <w:lang w:val="en-US" w:eastAsia="en-US" w:bidi="ar-SA"/>
        </w:rPr>
        <w:t>calculate</w:t>
      </w:r>
      <w:r>
        <w:rPr>
          <w:lang w:val="ru-RU"/>
        </w:rPr>
        <w:t>(), которая с помощью вспомогательных функций проверяет корректность введённых данных. Если все параметры верны, осуществляется расчёт яркости.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9" w:name="__RefHeading___Toc913_30801287_Копия_1"/>
      <w:bookmarkEnd w:id="9"/>
      <w:r>
        <w:rPr/>
        <w:t>Формула</w:t>
      </w:r>
      <w:bookmarkStart w:id="10" w:name="_Toc213488753"/>
      <w:bookmarkEnd w:id="10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Обозначения: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/>
        <w:t xml:space="preserve"> – </w:t>
      </w:r>
      <w:r>
        <w:rPr/>
        <w:t>фоновая составляющая освещенности в точке.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 – </w:t>
      </w:r>
      <w:r>
        <w:rPr/>
        <w:t>рассеянная составляющая освещенности в точке.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 – </w:t>
      </w:r>
      <w:r>
        <w:rPr/>
        <w:t>свойство материала воспринимать рассеянное освещение.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 – </w:t>
      </w:r>
      <w:r>
        <w:rPr/>
        <w:t xml:space="preserve">мощность рассеянного освещения. 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L</m:t>
            </m:r>
          </m:e>
        </m:acc>
      </m:oMath>
      <w:r>
        <w:rPr/>
        <w:t xml:space="preserve"> – </w:t>
      </w:r>
      <w:r>
        <w:rPr/>
        <w:t>направление из точки на источник.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N</m:t>
            </m:r>
          </m:e>
        </m:acc>
      </m:oMath>
      <w:r>
        <w:rPr/>
        <w:t xml:space="preserve"> – </w:t>
      </w:r>
      <w:r>
        <w:rPr/>
        <w:t xml:space="preserve">вектор нормали в точке. 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 – </w:t>
      </w:r>
      <w:r>
        <w:rPr/>
        <w:t>зеркальная составляющая освещенности в точке.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 – </w:t>
      </w:r>
      <w:r>
        <w:rPr/>
        <w:t xml:space="preserve">коэффициент зеркального отражения. 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 – </w:t>
      </w:r>
      <w:r>
        <w:rPr/>
        <w:t>мощность зеркального освещения.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/>
        <w:t xml:space="preserve"> – </w:t>
      </w:r>
      <w:r>
        <w:rPr/>
        <w:t>коэффициент блеска, свойство материала.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H</m:t>
            </m:r>
          </m:e>
        </m:acc>
      </m:oMath>
      <w:r>
        <w:rPr/>
        <w:t xml:space="preserve"> – </w:t>
      </w:r>
      <w:r>
        <w:rPr/>
        <w:t xml:space="preserve">"медиана" угла между векторами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L</m:t>
            </m:r>
          </m:e>
        </m:acc>
      </m:oMath>
      <w:r>
        <w:rPr/>
        <w:t xml:space="preserve"> и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V</m:t>
            </m:r>
          </m:e>
        </m:acc>
      </m:oMath>
      <w:r>
        <w:rPr/>
        <w:t xml:space="preserve">, где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V</m:t>
            </m:r>
          </m:e>
        </m:acc>
      </m:oMath>
      <w:r>
        <w:rPr/>
        <w:t xml:space="preserve"> – направление на наблюдателя.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/>
        <w:t xml:space="preserve"> – </w:t>
      </w:r>
      <w:r>
        <w:rPr/>
        <w:t>освещение точки поверхности.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 xml:space="preserve">Для расчёта яркости используется модель Блинн-Фонга: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+</m:t>
        </m:r>
        <m:nary>
          <m:naryPr>
            <m:chr m:val="∑"/>
          </m:naryPr>
          <m:sub>
            <m:r>
              <w:rPr>
                <w:rFonts w:ascii="Cambria Math" w:hAnsi="Cambria Math"/>
              </w:rPr>
              <m:t xml:space="preserve">i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=</m:t>
            </m:r>
            <m:r>
              <w:rPr>
                <w:rFonts w:ascii="Cambria Math" w:hAnsi="Cambria Math"/>
              </w:rPr>
              <m:t xml:space="preserve">0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  <m:e>
            <m:d>
              <m:dPr>
                <m:begChr m:val="("/>
                <m:endChr m:val=")"/>
              </m:dPr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d</m:t>
                    </m:r>
                  </m:sub>
                  <m:sup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e>
                    </m:d>
                  </m:sup>
                </m:sSubSup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+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s</m:t>
                    </m:r>
                  </m:sub>
                  <m:sup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e>
                    </m:d>
                  </m:sup>
                </m:sSubSup>
              </m:e>
            </m:d>
          </m:e>
        </m:nary>
      </m:oMath>
      <w:r>
        <w:rPr/>
        <w:t xml:space="preserve">, где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cos</m:t>
        </m:r>
        <m:d>
          <m:dPr>
            <m:begChr m:val="("/>
            <m:endChr m:val=")"/>
          </m:dPr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acc>
          </m:e>
        </m:d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sSup>
          <m:e>
            <m:r>
              <w:rPr>
                <w:rFonts w:ascii="Cambria Math" w:hAnsi="Cambria Math"/>
              </w:rPr>
              <m:t xml:space="preserve">cos</m:t>
            </m:r>
          </m:e>
          <m:sup>
            <m:r>
              <w:rPr>
                <w:rFonts w:ascii="Cambria Math" w:hAnsi="Cambria Math"/>
              </w:rPr>
              <m:t xml:space="preserve">α</m:t>
            </m:r>
          </m:sup>
        </m:sSup>
        <m:d>
          <m:dPr>
            <m:begChr m:val="("/>
            <m:endChr m:val=")"/>
          </m:dPr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H</m:t>
                </m:r>
              </m:e>
            </m:acc>
          </m:e>
        </m:d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. (ссылка на источник: </w:t>
      </w:r>
      <w:hyperlink r:id="rId2">
        <w:r>
          <w:rPr>
            <w:rStyle w:val="Hyperlink"/>
          </w:rPr>
          <w:t>https://kpfu.ru/staff_files/F823558158/Lecture5.pdf</w:t>
        </w:r>
      </w:hyperlink>
      <w:r>
        <w:rPr/>
        <w:t>).</w:t>
      </w:r>
    </w:p>
    <w:p>
      <w:pPr>
        <w:pStyle w:val="Heading2"/>
        <w:rPr/>
      </w:pPr>
      <w:bookmarkStart w:id="11" w:name="__RefHeading___Toc673_3612759378"/>
      <w:bookmarkEnd w:id="11"/>
      <w:r>
        <w:rPr/>
        <w:t xml:space="preserve">Сохранение </w:t>
      </w:r>
      <w:bookmarkStart w:id="12" w:name="_Toc213488753_Копия_2_Копия_1"/>
      <w:r>
        <w:rPr/>
        <w:t>ф</w:t>
      </w:r>
      <w:bookmarkEnd w:id="12"/>
      <w:r>
        <w:rPr/>
        <w:t>айла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Сформированное изображение можно сохранить на диск с помощью кнопки «Сохранить», которая вызывает функцию </w:t>
      </w:r>
      <w:r>
        <w:rPr>
          <w:lang w:val="en-US" w:eastAsia="en-US" w:bidi="ar-SA"/>
        </w:rPr>
        <w:t>save</w:t>
      </w:r>
      <w:r>
        <w:rPr>
          <w:lang w:val="ru-RU" w:eastAsia="en-US" w:bidi="ar-SA"/>
        </w:rPr>
        <w:t xml:space="preserve">(). Поддерживаются форматы PNG, JPEG и </w:t>
      </w:r>
      <w:r>
        <w:rPr>
          <w:lang w:val="en-US" w:eastAsia="en-US" w:bidi="ar-SA"/>
        </w:rPr>
        <w:t>BMP</w:t>
      </w:r>
      <w:r>
        <w:rPr>
          <w:lang w:val="ru-RU" w:eastAsia="en-US" w:bidi="ar-SA"/>
        </w:rPr>
        <w:t>.</w:t>
      </w:r>
    </w:p>
    <w:p>
      <w:pPr>
        <w:pStyle w:val="Heading2"/>
        <w:spacing w:before="0" w:after="159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3" w:name="__RefHeading___Toc522_1614521587_Копия_2"/>
      <w:bookmarkStart w:id="14" w:name="_Toc213488756"/>
      <w:bookmarkEnd w:id="13"/>
      <w:r>
        <w:rPr>
          <w:rFonts w:eastAsia="Times New Roman" w:cs="Times New Roman"/>
          <w:bCs/>
          <w:color w:val="auto"/>
        </w:rPr>
        <w:t>Листинг программы</w:t>
      </w:r>
      <w:bookmarkEnd w:id="14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Полный исходный код приложения:</w:t>
      </w:r>
    </w:p>
    <w:p>
      <w:pPr>
        <w:pStyle w:val="BodyText"/>
        <w:spacing w:lineRule="auto" w:line="360" w:before="0" w:after="159"/>
        <w:ind w:firstLine="709"/>
        <w:jc w:val="both"/>
        <w:rPr/>
      </w:pPr>
      <w:hyperlink r:id="rId3">
        <w:r>
          <w:rPr>
            <w:rStyle w:val="Hyperlink"/>
          </w:rPr>
          <w:t>https://github.com/vvlaads/Computer-graphics-4</w:t>
        </w:r>
      </w:hyperlink>
    </w:p>
    <w:p>
      <w:pPr>
        <w:pStyle w:val="Heading1"/>
        <w:spacing w:lineRule="auto" w:line="360" w:before="0" w:after="0"/>
        <w:ind w:left="709"/>
        <w:jc w:val="center"/>
        <w:rPr/>
      </w:pPr>
      <w:bookmarkStart w:id="15" w:name="__RefHeading___Toc524_1614521587_Копия_2"/>
      <w:bookmarkEnd w:id="15"/>
      <w:r>
        <w:rPr>
          <w:rFonts w:eastAsia="Times New Roman" w:cs="Times New Roman"/>
          <w:bCs/>
          <w:color w:val="auto"/>
        </w:rPr>
        <w:t>Результаты</w:t>
      </w:r>
      <w:bookmarkStart w:id="16" w:name="_Toc213488757"/>
      <w:r>
        <w:rPr>
          <w:rFonts w:eastAsia="Times New Roman" w:cs="Times New Roman"/>
          <w:bCs/>
          <w:color w:val="auto"/>
        </w:rPr>
        <w:t xml:space="preserve"> работы программы</w:t>
      </w:r>
      <w:bookmarkEnd w:id="16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3565525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56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940425" cy="3192780"/>
                                  <wp:effectExtent l="0" t="0" r="0" b="0"/>
                                  <wp:docPr id="5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192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Входные данные.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fillcolor="white" stroked="f" o:allowincell="f" style="position:absolute;margin-left:-0.05pt;margin-top:0.05pt;width:467.7pt;height:280.7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940425" cy="3192780"/>
                            <wp:effectExtent l="0" t="0" r="0" b="0"/>
                            <wp:docPr id="6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192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Входные данные.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0</wp:posOffset>
                </wp:positionH>
                <wp:positionV relativeFrom="paragraph">
                  <wp:posOffset>4504055</wp:posOffset>
                </wp:positionV>
                <wp:extent cx="5940425" cy="1490980"/>
                <wp:effectExtent l="0" t="0" r="0" b="0"/>
                <wp:wrapSquare wrapText="largest"/>
                <wp:docPr id="7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491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940425" cy="1118235"/>
                                  <wp:effectExtent l="0" t="0" r="0" b="0"/>
                                  <wp:docPr id="8" name="Изображение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1182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Вывод информации в консоль.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0pt;margin-top:354.65pt;width:467.7pt;height:117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940425" cy="1118235"/>
                            <wp:effectExtent l="0" t="0" r="0" b="0"/>
                            <wp:docPr id="9" name="Изображение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1182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Вывод информации в консоль.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align>center</wp:align>
                </wp:positionH>
                <wp:positionV relativeFrom="paragraph">
                  <wp:posOffset>214630</wp:posOffset>
                </wp:positionV>
                <wp:extent cx="5490210" cy="5862955"/>
                <wp:effectExtent l="0" t="0" r="0" b="0"/>
                <wp:wrapSquare wrapText="largest"/>
                <wp:docPr id="10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90360" cy="586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6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5490210"/>
                                  <wp:effectExtent l="0" t="0" r="0" b="0"/>
                                  <wp:docPr id="11" name="Изображение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54902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Полученное изображение.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6" path="m0,0l-2147483645,0l-2147483645,-2147483646l0,-2147483646xe" fillcolor="white" stroked="f" o:allowincell="f" style="position:absolute;margin-left:17.7pt;margin-top:16.9pt;width:432.25pt;height:461.6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6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490210" cy="5490210"/>
                            <wp:effectExtent l="0" t="0" r="0" b="0"/>
                            <wp:docPr id="12" name="Изображение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54902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Полученное изображение.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bookmarkStart w:id="17" w:name="__RefHeading___Toc644_3412834385"/>
      <w:bookmarkStart w:id="18" w:name="_Toc213488761"/>
      <w:bookmarkStart w:id="19" w:name="_Toc146616696"/>
      <w:bookmarkEnd w:id="17"/>
      <w:r>
        <w:rPr>
          <w:rFonts w:eastAsia="Times New Roman" w:cs="Times New Roman"/>
          <w:bCs/>
          <w:color w:val="auto"/>
        </w:rPr>
        <w:t>В</w:t>
      </w:r>
      <w:bookmarkEnd w:id="19"/>
      <w:r>
        <w:rPr>
          <w:rFonts w:eastAsia="Times New Roman" w:cs="Times New Roman"/>
          <w:bCs/>
          <w:color w:val="auto"/>
        </w:rPr>
        <w:t>ыводы</w:t>
      </w:r>
      <w:bookmarkEnd w:id="18"/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В ходе выполнения работы была реализована математическая модель расчёта распределения яркости на поверхности сферы с использованием модели Блинн-Фонга. Алгоритм учитывает координаты двух точечных источников света, их интенсивность, геометрические параметры сферы (координаты центра и радиус), положение наблюдателя, а также коэффициенты диффузного и зеркального отражения вместе с показателем блеска. Для каждого пикселя результирующего изображения производится расчёт пересечения луча наблюдателя со сферой, определяется нормаль в точке пересечения и вычисляется освещённость по модели Блинн-Фонга, после чего полученные значения яркости нормируются в диапазон 0–255 для формирования изображения.</w:t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Программа включает систему валидации входных параметров, которая проверяет соответствие введённых значений допустимым диапазонам, что предотвращает ошибки в расчётах. Пользовательский интерфейс, разработанный на Tkinter, позволяет интерактивно изменять все параметры сцены и визуализировать результат в реальном времени, а также сохранять итоговое изображение в файл стандартных графических форматов.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en-US"/>
            </w:rPr>
            <w:t>5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character" w:styleId="user">
    <w:name w:val="Ссылка указателя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" w:customStyle="1">
    <w:name w:val="index heading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>
    <w:name w:val="Колонтитулы"/>
    <w:basedOn w:val="Normal"/>
    <w:qFormat/>
    <w:pPr/>
    <w:rPr/>
  </w:style>
  <w:style w:type="paragraph" w:styleId="user4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>
    <w:name w:val="index heading2"/>
    <w:basedOn w:val="Style17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 w:customStyle="1">
    <w:name w:val="Рисунок"/>
    <w:basedOn w:val="caption111"/>
    <w:qFormat/>
    <w:pPr/>
    <w:rPr>
      <w:i w:val="false"/>
      <w:iCs w:val="false"/>
      <w:sz w:val="28"/>
      <w:szCs w:val="28"/>
    </w:rPr>
  </w:style>
  <w:style w:type="paragraph" w:styleId="Style22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"/>
    <w:qFormat/>
    <w:pPr/>
    <w:rPr/>
  </w:style>
  <w:style w:type="paragraph" w:styleId="Style26" w:customStyle="1">
    <w:name w:val="График"/>
    <w:basedOn w:val="caption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paragraph" w:styleId="user5">
    <w:name w:val="Содержимое врезки (user)"/>
    <w:basedOn w:val="Normal"/>
    <w:qFormat/>
    <w:pPr/>
    <w:rPr/>
  </w:style>
  <w:style w:type="paragraph" w:styleId="user6">
    <w:name w:val="Рисунок (user)"/>
    <w:basedOn w:val="Caption"/>
    <w:qFormat/>
    <w:pPr/>
    <w:rPr/>
  </w:style>
  <w:style w:type="numbering" w:styleId="Style27" w:default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c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pfu.ru/staff_files/F823558158/Lecture5.pdf" TargetMode="External"/><Relationship Id="rId3" Type="http://schemas.openxmlformats.org/officeDocument/2006/relationships/hyperlink" Target="https://github.com/vvlaads/Computer-graphics-4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8341</TotalTime>
  <Application>LibreOffice/25.8.3.2$Windows_X86_64 LibreOffice_project/8ca8d55c161d602844f5428fa4b58097424e324e</Application>
  <AppVersion>15.0000</AppVersion>
  <Pages>10</Pages>
  <Words>594</Words>
  <Characters>4121</Characters>
  <CharactersWithSpaces>4655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2025-10-11T12:33:00Z</cp:lastPrinted>
  <dcterms:modified xsi:type="dcterms:W3CDTF">2025-12-23T23:47:14Z</dcterms:modified>
  <cp:revision>1464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